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bidi w:val="0"/>
        <w:spacing w:lineRule="auto" w:line="360" w:before="140" w:after="120"/>
        <w:jc w:val="both"/>
        <w:rPr/>
      </w:pPr>
      <w:r>
        <w:rPr>
          <w:rStyle w:val="Nfaseforte"/>
          <w:rFonts w:ascii="Times New Roman" w:hAnsi="Times New Roman"/>
          <w:b/>
          <w:sz w:val="24"/>
          <w:szCs w:val="24"/>
        </w:rPr>
        <w:t>Engajamento dos Stakeholders na Avaliação de Indicadores</w:t>
      </w:r>
    </w:p>
    <w:p>
      <w:pPr>
        <w:pStyle w:val="Corpodotexto"/>
        <w:bidi w:val="0"/>
        <w:spacing w:lineRule="auto" w:line="360" w:before="140" w:after="12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Corpodotexto"/>
        <w:bidi w:val="0"/>
        <w:spacing w:lineRule="auto" w:line="360"/>
        <w:jc w:val="both"/>
        <w:rPr/>
      </w:pPr>
      <w:r>
        <w:rPr>
          <w:rStyle w:val="Nfaseforte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Olá, </w:t>
      </w:r>
    </w:p>
    <w:p>
      <w:pPr>
        <w:pStyle w:val="Corpodotexto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Meu nome é Leonardo Tomadon e sou doutorando no Programa de Pós-Graduação em Engenharia e Tecnologia Ambiental (PPGETA) da Universidade Federal do Paraná (UFPR).</w:t>
      </w:r>
    </w:p>
    <w:p>
      <w:pPr>
        <w:pStyle w:val="Corpodotexto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parte da minha pesquisa, estou desenvolvendo um Índice de Sustentabilidade para Cidades Inteligentes no Paraná. Para sua construção, estou aplicando uma metodologia que envolve a consulta pública a stakeholders (partes interessadas), com o objetivo de compreender a percepção desses atores sobre a relevância dos indicadores utilizados no índice. Suas respostas contribuirão para a definição dos pesos de cada indicador, assegurando que o índice represente, de forma equilibrada e fiel, os diferentes aspectos do desenvolvimento urbano sustentável.</w:t>
      </w:r>
    </w:p>
    <w:p>
      <w:pPr>
        <w:pStyle w:val="Corpodotexto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Abaixo, encontra-se um questionário voltado à avaliação das dimensões que compõem o desenvolvimento sustentável, abrangendo os seguintes eixos: ambiental, econômico, economia circular, governança, mobilidade, resiliência, social e tecnologia. O tempo estimado para preenchimento é de 35 a 40 minutos.</w:t>
      </w:r>
    </w:p>
    <w:p>
      <w:pPr>
        <w:pStyle w:val="Corpodotexto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Sua participação é fundamental para o avanço deste estudo, e desde já agradeço imensamente por sua atenção e contribuição.</w:t>
      </w:r>
    </w:p>
    <w:p>
      <w:pPr>
        <w:pStyle w:val="Corpodotexto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bidi w:val="0"/>
        <w:spacing w:lineRule="auto" w:line="360"/>
        <w:jc w:val="both"/>
        <w:rPr/>
      </w:pPr>
      <w:r>
        <w:rPr>
          <w:rStyle w:val="Nfaseforte"/>
          <w:rFonts w:ascii="Times New Roman" w:hAnsi="Times New Roman"/>
          <w:b/>
          <w:sz w:val="24"/>
          <w:szCs w:val="24"/>
        </w:rPr>
        <w:t>Ferramenta AHP-OS</w:t>
      </w:r>
    </w:p>
    <w:p>
      <w:pPr>
        <w:pStyle w:val="Corpodotexto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Nesta consulta, utilizamos a ferramenta </w:t>
      </w:r>
      <w:r>
        <w:rPr>
          <w:rStyle w:val="Nfaseforte"/>
          <w:rFonts w:ascii="Times New Roman" w:hAnsi="Times New Roman"/>
          <w:b w:val="false"/>
          <w:bCs w:val="false"/>
          <w:sz w:val="24"/>
          <w:szCs w:val="24"/>
        </w:rPr>
        <w:t>AHP-OS (Analytic Hierarchy Process – Online System)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para definir a relevância de cada indicador na construção do </w:t>
      </w:r>
      <w:r>
        <w:rPr>
          <w:rStyle w:val="Nfaseforte"/>
          <w:rFonts w:ascii="Times New Roman" w:hAnsi="Times New Roman"/>
          <w:b w:val="false"/>
          <w:bCs w:val="false"/>
          <w:sz w:val="24"/>
          <w:szCs w:val="24"/>
        </w:rPr>
        <w:t>Índice de Sustentabilidade para Cidades Inteligentes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Corpodotexto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Link AHP-OS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→ </w:t>
      </w:r>
      <w:hyperlink r:id="rId2">
        <w:r>
          <w:rPr>
            <w:rStyle w:val="LinkdaInternet"/>
            <w:rFonts w:ascii="Times New Roman" w:hAnsi="Times New Roman"/>
            <w:b w:val="false"/>
            <w:bCs w:val="false"/>
            <w:sz w:val="24"/>
            <w:szCs w:val="24"/>
          </w:rPr>
          <w:t>https://bpmsg.com/ahp/</w:t>
        </w:r>
      </w:hyperlink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Corpodotexto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 método funciona por meio de </w:t>
      </w:r>
      <w:r>
        <w:rPr>
          <w:rStyle w:val="Nfaseforte"/>
          <w:rFonts w:ascii="Times New Roman" w:hAnsi="Times New Roman"/>
          <w:b w:val="false"/>
          <w:bCs w:val="false"/>
          <w:sz w:val="24"/>
          <w:szCs w:val="24"/>
        </w:rPr>
        <w:t>comparações par a par</w:t>
      </w:r>
      <w:r>
        <w:rPr>
          <w:rFonts w:ascii="Times New Roman" w:hAnsi="Times New Roman"/>
          <w:b w:val="false"/>
          <w:bCs w:val="false"/>
          <w:sz w:val="24"/>
          <w:szCs w:val="24"/>
        </w:rPr>
        <w:t>, onde você será solicitado a indicar qual dos dois indicadores apresentados é mais importante para medir a sustentabilidade urbana. Esse processo ajudará a estabelecer um ranking de prioridade, garantindo que os indicadores mais essenciais tenham um peso maior no índice final. O AHP segue um princípio matemático estruturado, onde: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Fonts w:ascii="Times New Roman" w:hAnsi="Times New Roman"/>
          <w:sz w:val="24"/>
          <w:szCs w:val="24"/>
        </w:rPr>
        <w:t xml:space="preserve">Se </w:t>
      </w:r>
      <w:r>
        <w:rPr>
          <w:rStyle w:val="Nfaseforte"/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é mais importante que </w:t>
      </w:r>
      <w:r>
        <w:rPr>
          <w:rStyle w:val="Nfaseforte"/>
          <w:rFonts w:ascii="Times New Roman" w:hAnsi="Times New Roman"/>
          <w:sz w:val="24"/>
          <w:szCs w:val="24"/>
        </w:rPr>
        <w:t>B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Style w:val="Nfaseforte"/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é mais importante que </w:t>
      </w:r>
      <w:r>
        <w:rPr>
          <w:rStyle w:val="Nfaseforte"/>
          <w:rFonts w:ascii="Times New Roman" w:hAnsi="Times New Roman"/>
          <w:sz w:val="24"/>
          <w:szCs w:val="24"/>
        </w:rPr>
        <w:t>C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Fonts w:ascii="Times New Roman" w:hAnsi="Times New Roman"/>
          <w:sz w:val="24"/>
          <w:szCs w:val="24"/>
        </w:rPr>
        <w:t xml:space="preserve">Então </w:t>
      </w:r>
      <w:r>
        <w:rPr>
          <w:rStyle w:val="Nfaseforte"/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deve ser mais importante que </w:t>
      </w:r>
      <w:r>
        <w:rPr>
          <w:rStyle w:val="Nfaseforte"/>
          <w:rFonts w:ascii="Times New Roman" w:hAnsi="Times New Roman"/>
          <w:sz w:val="24"/>
          <w:szCs w:val="24"/>
        </w:rPr>
        <w:t>C</w:t>
      </w:r>
    </w:p>
    <w:p>
      <w:pPr>
        <w:pStyle w:val="Corpodotexto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Instruções de uso da ferramenta</w:t>
      </w:r>
    </w:p>
    <w:p>
      <w:pPr>
        <w:pStyle w:val="Corpodotexto"/>
        <w:widowControl/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Ao abrir o link, você será direcionado à página inicial do questionário AHP, onde você deve se identificar colocando o seu nome, para avançar clique em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Check input. 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Na aba seguinte, não é necessário fazer nenhuma alteração, para avançar clique no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Go.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Continuando, a próxima aba, contém uma breve descrição do objetivo da dimensão abordada em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Project description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Em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Decision Hierarchy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é possível encontrar dimensão do desenvolvimento sustentável que será avaliada se encontra no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Level 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enquanto os indicadores que compõem essa dimensão e que de fato serão pesados estão no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Level 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Na frente da informação da dimensão no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Level 0,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contém um círculo vermelho escrito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AHP,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clique nele para avançar. 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Você será direcionado para o questionário AHP, e o processo é simples, você irá escolher entre duas opções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 ou 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e deverá atribuir um peso de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1 a 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para representar o quanto você considera a opção escolhida mais importante que a alternativa (Figura 1).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Figura 1: Escala de importância dos pesos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610870</wp:posOffset>
            </wp:positionH>
            <wp:positionV relativeFrom="paragraph">
              <wp:posOffset>-114300</wp:posOffset>
            </wp:positionV>
            <wp:extent cx="5056505" cy="12553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376" r="0" b="11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Dentro do questionário AHP contém os indicadores em pares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 e 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em uma sequência numérica no canto esquerdo da calculadora, que corresponde a cada comparação par-a-par que será feita. Ao lado, da sequência numérica a sua direita, existe a opção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 e 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cada uma delas representa um indicador, dessa forma cabe a você, escolher entre as opções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 ou 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qual delas possui o maior grau de importância para alcançar a dimensão do desenvolvimento sustentável correspondente. Ao escolher entre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 ou 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você deverá atribuir um valor entre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1 a 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que representa o quanto aquela opção escolhida é mais importante para alcançar o objetivo. 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Ao finalizar as avaliações, é necessário enviar os dados para serem calculados, dessa forma clique no botão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Calculate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O questionário AHP, faz de forma automática o cálculo da Razão de Consistência (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CR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), caso sua avaliação resultar em um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maior que 10%, será considerado que você avaliou de forma inconsistente os indicadores, e a própria ferramenta sugerirá qual a melhor opção para que sua avaliação seja consistente, basta aceitar as sugestões, e clicar em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Calculate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novamente, que será calculado um novo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 base nas alterações realizadas.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Lembrete: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É importante avaliar cada uma das opções entre 1 a 9, para que a Razão de Consistência (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CR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 fique dentro do limite aceitável de 10%.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Caso sua avaliação esteja correta com um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CR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menor que 10%, basta clicar em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Submit,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para encerrar a avaliação. Para salvar suas informações, clique na aba vermelha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Save Judgments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, para que sua avaliação seja computada.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Para finalizar o processo clique na aba vermelha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Done.</w:t>
      </w:r>
    </w:p>
    <w:p>
      <w:pPr>
        <w:pStyle w:val="Corpodotexto"/>
        <w:widowControl/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OBS: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A ferramenta apresenta um pequeno erro de acesso, o qual aparece a seguinte frase: "Pairwise comparisons under Fulano completed". Para contornar este erro, é necessário abrir e fechar o navegador, dessa forma este erro será corrigido, e você terá acesso ao questionário normalmente.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As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instruções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abaixo tem como objetivo, auxiliar o manuseio do questionário AHP. Caso as informações constantes nas instruções não sejam suficientes, foi elaborado um vídeo de apoio.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tulo3"/>
        <w:bidi w:val="0"/>
        <w:spacing w:lineRule="auto" w:line="360"/>
        <w:jc w:val="both"/>
        <w:rPr/>
      </w:pPr>
      <w:r>
        <w:rPr>
          <w:rStyle w:val="Nfaseforte"/>
          <w:rFonts w:ascii="Times New Roman" w:hAnsi="Times New Roman"/>
          <w:b/>
          <w:sz w:val="24"/>
          <w:szCs w:val="24"/>
        </w:rPr>
        <w:t>Vídeo de Apoio</w:t>
      </w:r>
    </w:p>
    <w:p>
      <w:pPr>
        <w:pStyle w:val="Corpodotexto"/>
        <w:bidi w:val="0"/>
        <w:spacing w:lineRule="auto" w:line="360"/>
        <w:jc w:val="both"/>
        <w:rPr/>
      </w:pPr>
      <w:r>
        <w:rPr>
          <w:rFonts w:ascii="Times New Roman" w:hAnsi="Times New Roman"/>
          <w:sz w:val="24"/>
          <w:szCs w:val="24"/>
        </w:rPr>
        <w:t xml:space="preserve">Preparamos um vídeo explicativo para orientar você no uso da ferramenta </w:t>
      </w:r>
      <w:r>
        <w:rPr>
          <w:rStyle w:val="Nfaseforte"/>
          <w:rFonts w:ascii="Times New Roman" w:hAnsi="Times New Roman"/>
          <w:sz w:val="24"/>
          <w:szCs w:val="24"/>
        </w:rPr>
        <w:t>AHP-OS</w:t>
      </w:r>
      <w:r>
        <w:rPr>
          <w:rFonts w:ascii="Times New Roman" w:hAnsi="Times New Roman"/>
          <w:sz w:val="24"/>
          <w:szCs w:val="24"/>
        </w:rPr>
        <w:t xml:space="preserve">. Nele, você encontrará um passo a passo sobre como realizar as comparações entre os indicadores e contribuir de forma efetiva para a construção do </w:t>
      </w:r>
      <w:r>
        <w:rPr>
          <w:rStyle w:val="Nfaseforte"/>
          <w:rFonts w:ascii="Times New Roman" w:hAnsi="Times New Roman"/>
          <w:sz w:val="24"/>
          <w:szCs w:val="24"/>
        </w:rPr>
        <w:t>Índice de Sustentabilidade para Cidades Inteligentes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Link vídeo no Youtube</w:t>
      </w:r>
      <w:r>
        <w:rPr>
          <w:rFonts w:ascii="Times New Roman" w:hAnsi="Times New Roman"/>
          <w:sz w:val="24"/>
          <w:szCs w:val="24"/>
        </w:rPr>
        <w:t xml:space="preserve"> → </w:t>
      </w:r>
      <w:hyperlink r:id="rId4">
        <w:r>
          <w:rPr>
            <w:rStyle w:val="LinkdaInternet"/>
            <w:rFonts w:ascii="Times New Roman" w:hAnsi="Times New Roman"/>
            <w:sz w:val="24"/>
            <w:szCs w:val="24"/>
          </w:rPr>
          <w:t>https://youtu.be/iePT1LxcQRo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Avaliação</w:t>
      </w:r>
    </w:p>
    <w:p>
      <w:pPr>
        <w:pStyle w:val="Corpodotexto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seguir, são apresentadas as dimensões que serão avaliadas, com uma breve explicação sobre o conteúdo de cada uma, juntamente com um link para a ferramenta AHP-OS. Como os indicadores podem ser de difícil interpretação apenas a partir de seus nomes, foi criada uma planilha detalhada para cada indicador, disponível em um repositório online. Caso seja necessário mais esclarecimentos, basta acessar o link fornecido. O repositório </w:t>
      </w:r>
      <w:r>
        <w:rPr>
          <w:rFonts w:ascii="Times New Roman" w:hAnsi="Times New Roman"/>
          <w:b/>
          <w:bCs/>
          <w:sz w:val="24"/>
          <w:szCs w:val="24"/>
        </w:rPr>
        <w:t>Metadados-indicadores</w:t>
      </w:r>
      <w:r>
        <w:rPr>
          <w:rFonts w:ascii="Times New Roman" w:hAnsi="Times New Roman"/>
          <w:sz w:val="24"/>
          <w:szCs w:val="24"/>
        </w:rPr>
        <w:t xml:space="preserve"> contém três arquivos: </w:t>
      </w:r>
    </w:p>
    <w:p>
      <w:pPr>
        <w:pStyle w:val="Corpodotexto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DIRETRIZES CONSULTA PUBLICA: </w:t>
      </w:r>
      <w:r>
        <w:rPr>
          <w:rFonts w:ascii="Times New Roman" w:hAnsi="Times New Roman"/>
          <w:sz w:val="24"/>
          <w:szCs w:val="24"/>
        </w:rPr>
        <w:t xml:space="preserve">que explicam o processo de consulta pública; </w:t>
      </w:r>
    </w:p>
    <w:p>
      <w:pPr>
        <w:pStyle w:val="Corpodotexto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M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ETADADOS INDICADORES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detalham o significado de cada coluna na tabela de indicadores; </w:t>
      </w:r>
    </w:p>
    <w:p>
      <w:pPr>
        <w:pStyle w:val="Corpodotexto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NDICADORES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planilha em formato Excel, que lista os indicadores. </w:t>
      </w:r>
    </w:p>
    <w:p>
      <w:pPr>
        <w:pStyle w:val="Corpodotexto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Link repositório</w:t>
      </w:r>
      <w:r>
        <w:rPr>
          <w:rFonts w:ascii="Times New Roman" w:hAnsi="Times New Roman"/>
          <w:sz w:val="24"/>
          <w:szCs w:val="24"/>
        </w:rPr>
        <w:t xml:space="preserve"> → </w:t>
      </w:r>
      <w:hyperlink r:id="rId5">
        <w:r>
          <w:rPr>
            <w:rStyle w:val="LinkdaInternet"/>
            <w:rFonts w:ascii="Times New Roman" w:hAnsi="Times New Roman"/>
            <w:sz w:val="24"/>
            <w:szCs w:val="24"/>
          </w:rPr>
          <w:t>https://github.com/LeonardoTomadon/Metadados-indicadores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Dimensões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dimensões do Índice de Sustentabilidade representam diferentes aspectos do desenvolvimento urbano sustentável e inteligente. Cada uma delas avalia um conjunto específico de fatores essenciais para garantir qualidade de vida, eficiência na gestão pública e equilíbrio ambiental.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Link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dimensões </w:t>
      </w:r>
      <w:r>
        <w:rPr>
          <w:rFonts w:ascii="Times New Roman" w:hAnsi="Times New Roman"/>
          <w:sz w:val="24"/>
          <w:szCs w:val="24"/>
        </w:rPr>
        <w:t xml:space="preserve">→ </w:t>
      </w:r>
      <w:r>
        <w:rPr>
          <w:rStyle w:val="LinkdaInternet"/>
          <w:rFonts w:ascii="Times New Roman" w:hAnsi="Times New Roman"/>
          <w:sz w:val="24"/>
          <w:szCs w:val="24"/>
        </w:rPr>
        <w:t>https://bpmsg.com/ahp/ahp-hiergini.php?sc=kumegU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Ambiental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dimensão ambiental busca a preservação dos recursos naturais e a resiliência dos ecossistemas urbanos. Uma gestão ambiental eficiente contribui para a mitigação das mudanças climáticas, a qualidade do ar e da água, a conservação da biodiversidade e o uso sustentável dos recursos. Além disso, promovem maior qualidade de vida para a população e reduzem riscos associados a eventos extremos.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Link ambiental </w:t>
      </w:r>
      <w:r>
        <w:rPr>
          <w:rFonts w:ascii="Times New Roman" w:hAnsi="Times New Roman"/>
          <w:sz w:val="24"/>
          <w:szCs w:val="24"/>
        </w:rPr>
        <w:t xml:space="preserve">→ </w:t>
      </w:r>
      <w:r>
        <w:rPr>
          <w:rStyle w:val="LinkdaInternet"/>
          <w:rFonts w:ascii="Times New Roman" w:hAnsi="Times New Roman"/>
          <w:sz w:val="24"/>
          <w:szCs w:val="24"/>
        </w:rPr>
        <w:t>https://bpmsg.com/ahp/ahp-hiergini.php?sc=HeTa8E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Economia circular</w:t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economia circular avalia a eficiência no uso de recursos, promovendo a redução, reutilização e reciclagem de materiais para minimizar resíduos e impactos ambientais. Seu objetivo é medir a transição das cidades para modelos mais sustentáveis e resilientes, reduzindo a dependência de matérias-primas virgens e incentivando inovações em logística reversa e design sustentável.</w:t>
      </w:r>
    </w:p>
    <w:p>
      <w:pPr>
        <w:pStyle w:val="Contedodatabela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Link economia circular</w:t>
      </w:r>
      <w:r>
        <w:rPr>
          <w:rFonts w:ascii="Times New Roman" w:hAnsi="Times New Roman"/>
          <w:sz w:val="24"/>
          <w:szCs w:val="24"/>
        </w:rPr>
        <w:t xml:space="preserve"> → </w:t>
      </w:r>
      <w:hyperlink r:id="rId6">
        <w:r>
          <w:rPr>
            <w:rStyle w:val="LinkdaInternet"/>
            <w:rFonts w:ascii="Times New Roman" w:hAnsi="Times New Roman"/>
            <w:sz w:val="24"/>
            <w:szCs w:val="24"/>
          </w:rPr>
          <w:t>https://bpmsg.com/ahp/ahp-hiergini.php?sc=uSyGAk</w:t>
        </w:r>
      </w:hyperlink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Econômico</w:t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dimensão econômica mede o desenvolvimento e a resiliência da economia urbana, avaliando a geração de riqueza, oportunidades de emprego e distribuição de renda. Além disso, métricas como a renda média ajudam a identificar desigualdades e promover políticas de equidade econômica, essenciais para um desenvolvimento urbano inteligente e sustentável. </w:t>
      </w:r>
    </w:p>
    <w:p>
      <w:pPr>
        <w:pStyle w:val="Contedodatabela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Link economia </w:t>
      </w:r>
      <w:r>
        <w:rPr>
          <w:rFonts w:ascii="Times New Roman" w:hAnsi="Times New Roman"/>
          <w:sz w:val="24"/>
          <w:szCs w:val="24"/>
        </w:rPr>
        <w:t xml:space="preserve">→ </w:t>
      </w:r>
      <w:hyperlink r:id="rId7">
        <w:r>
          <w:rPr>
            <w:rStyle w:val="LinkdaInternet"/>
            <w:rFonts w:ascii="Times New Roman" w:hAnsi="Times New Roman"/>
            <w:sz w:val="24"/>
            <w:szCs w:val="24"/>
          </w:rPr>
          <w:t>https://bpmsg.com/ahp/ahp-hiergini.php?sc=evYtyM</w:t>
        </w:r>
      </w:hyperlink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Governança </w:t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dimensão de governança é fundamental para garantir a transparência, participação social e eficiência na gestão pública das cidades inteligentes e sustentáveis. Um bom modelo de governança promove a tomada de decisão baseada em dados, a inclusão da sociedade no planejamento urbano e a implementação de políticas que equilibrem desenvolvimento econômico, social e ambiental. </w:t>
      </w:r>
    </w:p>
    <w:p>
      <w:pPr>
        <w:pStyle w:val="Contedodatabela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Link governança </w:t>
      </w:r>
      <w:r>
        <w:rPr>
          <w:rFonts w:ascii="Times New Roman" w:hAnsi="Times New Roman"/>
          <w:sz w:val="24"/>
          <w:szCs w:val="24"/>
        </w:rPr>
        <w:t xml:space="preserve">→ </w:t>
      </w:r>
      <w:hyperlink r:id="rId8">
        <w:r>
          <w:rPr>
            <w:rStyle w:val="LinkdaInternet"/>
            <w:rFonts w:ascii="Times New Roman" w:hAnsi="Times New Roman"/>
            <w:sz w:val="24"/>
            <w:szCs w:val="24"/>
          </w:rPr>
          <w:t>https://bpmsg.com/ahp/ahp-hiergini.php?sc=gYvUky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Mobilidade </w:t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mobilidade urbana é um elemento central para a construção de cidades inteligentes e sustentáveis, influenciando diretamente a qualidade de vida, a eficiência econômica e o impacto ambiental. Uma infraestrutura de transporte bem planejada reduz congestionamentos, melhora o acesso a serviços essenciais e contribui para a diminuição das emissões de poluentes. </w:t>
      </w:r>
    </w:p>
    <w:p>
      <w:pPr>
        <w:pStyle w:val="Contedodatabela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Link mobilidade</w:t>
      </w:r>
      <w:r>
        <w:rPr>
          <w:rFonts w:ascii="Times New Roman" w:hAnsi="Times New Roman"/>
          <w:sz w:val="24"/>
          <w:szCs w:val="24"/>
        </w:rPr>
        <w:t xml:space="preserve"> → </w:t>
      </w:r>
      <w:hyperlink r:id="rId9">
        <w:r>
          <w:rPr>
            <w:rStyle w:val="LinkdaInternet"/>
            <w:rFonts w:ascii="Times New Roman" w:hAnsi="Times New Roman"/>
            <w:sz w:val="24"/>
            <w:szCs w:val="24"/>
          </w:rPr>
          <w:t>https://bpmsg.com/ahp/ahp-hiergini.php?sc=9EKAry</w:t>
        </w:r>
      </w:hyperlink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Resiliência </w:t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resiliência urbana é essencial para que as cidades inteligentes e sustentáveis possam antecipar, absorver e se recuperar de choques e crises, como desastres naturais, mudanças climáticas e instabilidades socioeconômicas. Uma cidade resiliente adota estratégias eficazes de gestão de riscos, planejamento territorial e infraestrutura adaptativa, garantindo maior segurança e qualidade de vida. </w:t>
      </w:r>
    </w:p>
    <w:p>
      <w:pPr>
        <w:pStyle w:val="Contedodatabela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Link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resiliência </w:t>
      </w:r>
      <w:r>
        <w:rPr>
          <w:rFonts w:ascii="Times New Roman" w:hAnsi="Times New Roman"/>
          <w:sz w:val="24"/>
          <w:szCs w:val="24"/>
        </w:rPr>
        <w:t xml:space="preserve">→ </w:t>
      </w:r>
      <w:hyperlink r:id="rId10">
        <w:r>
          <w:rPr>
            <w:rStyle w:val="LinkdaInternet"/>
            <w:rFonts w:ascii="Times New Roman" w:hAnsi="Times New Roman"/>
            <w:sz w:val="24"/>
            <w:szCs w:val="24"/>
          </w:rPr>
          <w:t>https://bpmsg.com/ahp/ahp-hiergini.php?sc=avA8UB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Social</w:t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dimensão social é fundamental para avaliar o bem-estar da população e a equidade no acesso a serviços essenciais, como educação, saúde, segurança e cultura. Uma cidade inteligente e sustentável deve garantir condições de vida dignas para todos os cidadãos, promovendo inclusão social, redução das desigualdades e fortalecimento da coesão comunitária.</w:t>
      </w:r>
    </w:p>
    <w:p>
      <w:pPr>
        <w:pStyle w:val="Contedodatabela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Link social</w:t>
      </w:r>
      <w:r>
        <w:rPr>
          <w:rFonts w:ascii="Times New Roman" w:hAnsi="Times New Roman"/>
          <w:sz w:val="24"/>
          <w:szCs w:val="24"/>
        </w:rPr>
        <w:t xml:space="preserve"> → </w:t>
      </w:r>
      <w:hyperlink r:id="rId11">
        <w:r>
          <w:rPr>
            <w:rStyle w:val="LinkdaInternet"/>
            <w:rFonts w:ascii="Times New Roman" w:hAnsi="Times New Roman"/>
            <w:sz w:val="24"/>
            <w:szCs w:val="24"/>
          </w:rPr>
          <w:t>https://bpmsg.com/ahp/ahp-hiergini.php?sc=u9ArY7</w:t>
        </w:r>
      </w:hyperlink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Tecnologia</w:t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dimensão tecnológica é um pilar essencial para o desenvolvimento de cidades inteligentes e sustentáveis, impulsionando a inovação, a digitalização de serviços e a conectividade urbana. O uso de tecnologias avançadas, como internet das coisas (IoT), inteligência artificial e big data, melhora a eficiência dos serviços públicos, otimiza a mobilidade urbana e fortalece a gestão de recursos naturais. </w:t>
      </w:r>
    </w:p>
    <w:p>
      <w:pPr>
        <w:pStyle w:val="Contedodatabela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Link tecnologia </w:t>
      </w:r>
      <w:r>
        <w:rPr>
          <w:rFonts w:ascii="Times New Roman" w:hAnsi="Times New Roman"/>
          <w:sz w:val="24"/>
          <w:szCs w:val="24"/>
        </w:rPr>
        <w:t xml:space="preserve">→ </w:t>
      </w:r>
      <w:hyperlink r:id="rId12">
        <w:r>
          <w:rPr>
            <w:rStyle w:val="LinkdaInternet"/>
            <w:rFonts w:ascii="Times New Roman" w:hAnsi="Times New Roman"/>
            <w:sz w:val="24"/>
            <w:szCs w:val="24"/>
          </w:rPr>
          <w:t>https://bpmsg.com/ahp/ahp-hiergini.php?sc=YPumYq</w:t>
        </w:r>
      </w:hyperlink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Conclusão</w:t>
      </w:r>
    </w:p>
    <w:p>
      <w:pPr>
        <w:pStyle w:val="Corpodotexto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Agradecemos sua participação neste processo! Sua contribuição é fundamental para garantir que o </w:t>
      </w:r>
      <w:r>
        <w:rPr>
          <w:rStyle w:val="Nfaseforte"/>
          <w:rFonts w:ascii="Times New Roman" w:hAnsi="Times New Roman"/>
          <w:b w:val="false"/>
          <w:bCs w:val="false"/>
          <w:sz w:val="24"/>
          <w:szCs w:val="24"/>
        </w:rPr>
        <w:t>Índice de Sustentabilidade para Cidades Inteligentes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seja construído de forma precisa e representativa. As informações coletadas ajudarão a estabelecer um ranking de indicadores alinhado às reais necessidades e desafios urbanos.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Em caso de dúvidas entre em contato pelo e-mail </w:t>
      </w:r>
      <w:hyperlink r:id="rId13">
        <w:r>
          <w:rPr>
            <w:rStyle w:val="LinkdaInternet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  <w:shd w:fill="auto" w:val="clear"/>
          </w:rPr>
          <w:t>leonardotomadon@hotmail.com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, agradecemos sua participação!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otexto"/>
        <w:widowControl/>
        <w:bidi w:val="0"/>
        <w:spacing w:lineRule="auto" w:line="276" w:before="0" w:after="1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Muito obrigado pelo seu tempo e colaboração!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pmsg.com/ahp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youtu.be/iePT1LxcQRo" TargetMode="External"/><Relationship Id="rId5" Type="http://schemas.openxmlformats.org/officeDocument/2006/relationships/hyperlink" Target="https://github.com/LeonardoTomadon/Metadados-indicadores" TargetMode="External"/><Relationship Id="rId6" Type="http://schemas.openxmlformats.org/officeDocument/2006/relationships/hyperlink" Target="https://bpmsg.com/ahp/ahp-hiergini.php?sc=uSyGAk" TargetMode="External"/><Relationship Id="rId7" Type="http://schemas.openxmlformats.org/officeDocument/2006/relationships/hyperlink" Target="https://bpmsg.com/ahp/ahp-hiergini.php?sc=evYtyM" TargetMode="External"/><Relationship Id="rId8" Type="http://schemas.openxmlformats.org/officeDocument/2006/relationships/hyperlink" Target="https://bpmsg.com/ahp/ahp-hiergini.php?sc=gYvUky" TargetMode="External"/><Relationship Id="rId9" Type="http://schemas.openxmlformats.org/officeDocument/2006/relationships/hyperlink" Target="https://bpmsg.com/ahp/ahp-hiergini.php?sc=9EKAry" TargetMode="External"/><Relationship Id="rId10" Type="http://schemas.openxmlformats.org/officeDocument/2006/relationships/hyperlink" Target="https://bpmsg.com/ahp/ahp-hiergini.php?sc=avA8UB" TargetMode="External"/><Relationship Id="rId11" Type="http://schemas.openxmlformats.org/officeDocument/2006/relationships/hyperlink" Target="https://bpmsg.com/ahp/ahp-hiergini.php?sc=u9ArY7" TargetMode="External"/><Relationship Id="rId12" Type="http://schemas.openxmlformats.org/officeDocument/2006/relationships/hyperlink" Target="https://bpmsg.com/ahp/ahp-hiergini.php?sc=YPumYq" TargetMode="External"/><Relationship Id="rId13" Type="http://schemas.openxmlformats.org/officeDocument/2006/relationships/hyperlink" Target="mailto:leonardotomadon@hotmail.com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</TotalTime>
  <Application>LibreOffice/7.2.1.2$Windows_X86_64 LibreOffice_project/87b77fad49947c1441b67c559c339af8f3517e22</Application>
  <AppVersion>15.0000</AppVersion>
  <Pages>6</Pages>
  <Words>1526</Words>
  <Characters>9261</Characters>
  <CharactersWithSpaces>10738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2025-02-06T20:01:51Z</dcterms:created>
  <dc:creator/>
  <dc:description/>
  <dc:language>pt-BR</dc:language>
  <cp:lastModifiedBy/>
  <dcterms:modified xsi:type="dcterms:W3CDTF">2025-02-12T18:09:29Z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