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F5F0" w14:textId="77777777" w:rsidR="00597921" w:rsidRDefault="000736DD" w:rsidP="000736DD">
      <w:pPr>
        <w:jc w:val="center"/>
        <w:rPr>
          <w:b/>
          <w:bCs/>
          <w:color w:val="0070C0"/>
        </w:rPr>
      </w:pPr>
      <w:r w:rsidRPr="000736DD">
        <w:rPr>
          <w:b/>
          <w:bCs/>
          <w:color w:val="0070C0"/>
        </w:rPr>
        <w:t>LEI DE EXECUÇÃO PENAL</w:t>
      </w:r>
      <w:r w:rsidR="00AB7B54">
        <w:rPr>
          <w:b/>
          <w:bCs/>
          <w:color w:val="0070C0"/>
        </w:rPr>
        <w:t xml:space="preserve"> </w:t>
      </w:r>
      <w:r w:rsidRPr="000736DD">
        <w:rPr>
          <w:b/>
          <w:bCs/>
          <w:color w:val="0070C0"/>
        </w:rPr>
        <w:t xml:space="preserve"> </w:t>
      </w:r>
    </w:p>
    <w:p w14:paraId="665A0E0A" w14:textId="17BCCE5C" w:rsidR="00597921" w:rsidRDefault="00597921" w:rsidP="0059792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597921">
        <w:rPr>
          <w:rFonts w:ascii="Times New Roman" w:hAnsi="Times New Roman" w:cs="Times New Roman"/>
          <w:sz w:val="20"/>
          <w:szCs w:val="20"/>
        </w:rPr>
        <w:t xml:space="preserve">A </w:t>
      </w:r>
      <w:r w:rsidR="00AB7B54" w:rsidRPr="00597921">
        <w:rPr>
          <w:rFonts w:ascii="Times New Roman" w:hAnsi="Times New Roman" w:cs="Times New Roman"/>
          <w:sz w:val="20"/>
          <w:szCs w:val="20"/>
        </w:rPr>
        <w:t>L</w:t>
      </w:r>
      <w:r w:rsidRPr="00597921">
        <w:rPr>
          <w:rFonts w:ascii="Times New Roman" w:hAnsi="Times New Roman" w:cs="Times New Roman"/>
          <w:sz w:val="20"/>
          <w:szCs w:val="20"/>
        </w:rPr>
        <w:t xml:space="preserve">ei </w:t>
      </w:r>
      <w:r w:rsidR="00AB7B54" w:rsidRPr="00597921">
        <w:rPr>
          <w:rFonts w:ascii="Times New Roman" w:hAnsi="Times New Roman" w:cs="Times New Roman"/>
          <w:sz w:val="20"/>
          <w:szCs w:val="20"/>
        </w:rPr>
        <w:t xml:space="preserve">Nº 7.210, </w:t>
      </w:r>
      <w:r>
        <w:rPr>
          <w:rFonts w:ascii="Times New Roman" w:hAnsi="Times New Roman" w:cs="Times New Roman"/>
          <w:sz w:val="20"/>
          <w:szCs w:val="20"/>
        </w:rPr>
        <w:t>de</w:t>
      </w:r>
      <w:r w:rsidR="00AB7B54" w:rsidRPr="00597921">
        <w:rPr>
          <w:rFonts w:ascii="Times New Roman" w:hAnsi="Times New Roman" w:cs="Times New Roman"/>
          <w:sz w:val="20"/>
          <w:szCs w:val="20"/>
        </w:rPr>
        <w:t xml:space="preserve"> 11 </w:t>
      </w:r>
      <w:r>
        <w:rPr>
          <w:rFonts w:ascii="Times New Roman" w:hAnsi="Times New Roman" w:cs="Times New Roman"/>
          <w:sz w:val="20"/>
          <w:szCs w:val="20"/>
        </w:rPr>
        <w:t>de</w:t>
      </w:r>
      <w:r w:rsidR="00AB7B54" w:rsidRPr="0059792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AB7B54" w:rsidRPr="00597921">
        <w:rPr>
          <w:rFonts w:ascii="Times New Roman" w:hAnsi="Times New Roman" w:cs="Times New Roman"/>
          <w:sz w:val="20"/>
          <w:szCs w:val="20"/>
        </w:rPr>
        <w:t>J</w:t>
      </w:r>
      <w:r>
        <w:rPr>
          <w:rFonts w:ascii="Times New Roman" w:hAnsi="Times New Roman" w:cs="Times New Roman"/>
          <w:sz w:val="20"/>
          <w:szCs w:val="20"/>
        </w:rPr>
        <w:t>ulho</w:t>
      </w:r>
      <w:proofErr w:type="gramEnd"/>
      <w:r w:rsidR="00AB7B54" w:rsidRPr="005979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</w:t>
      </w:r>
      <w:r w:rsidR="00AB7B54" w:rsidRPr="00597921">
        <w:rPr>
          <w:rFonts w:ascii="Times New Roman" w:hAnsi="Times New Roman" w:cs="Times New Roman"/>
          <w:sz w:val="20"/>
          <w:szCs w:val="20"/>
        </w:rPr>
        <w:t xml:space="preserve"> 1984</w:t>
      </w:r>
      <w:r w:rsidRPr="005979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 w:rsidR="00AB7B54" w:rsidRPr="00597921">
        <w:rPr>
          <w:rFonts w:ascii="Times New Roman" w:hAnsi="Times New Roman" w:cs="Times New Roman"/>
          <w:sz w:val="20"/>
          <w:szCs w:val="20"/>
        </w:rPr>
        <w:t>nstitui a Lei de Execução Penal</w:t>
      </w:r>
      <w:r>
        <w:rPr>
          <w:rFonts w:ascii="Times New Roman" w:hAnsi="Times New Roman" w:cs="Times New Roman"/>
          <w:sz w:val="20"/>
          <w:szCs w:val="20"/>
        </w:rPr>
        <w:t xml:space="preserve"> (LEP). </w:t>
      </w:r>
      <w:r w:rsidRPr="00597921">
        <w:rPr>
          <w:rFonts w:ascii="Times New Roman" w:hAnsi="Times New Roman" w:cs="Times New Roman"/>
          <w:sz w:val="20"/>
          <w:szCs w:val="20"/>
        </w:rPr>
        <w:t xml:space="preserve"> A execução penal tem por objetivo efetivar as disposições de sentença ou decisão criminal e proporcionar condições para a harmônica integração social do condenado e do internado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2651F61" w14:textId="5D287AFD" w:rsidR="00597921" w:rsidRDefault="00A0261F" w:rsidP="0059792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Esta legislação favorece a ressocialização das pessoas privadas de liberdade, uma vez que visa reduzir o tempo de prisão e proporcionar a extinção da pena, incentivando a adoção de um comportamento adequado e a busca pela reinserção social.</w:t>
      </w:r>
    </w:p>
    <w:p w14:paraId="4FC6CA88" w14:textId="57388706" w:rsidR="00350D30" w:rsidRDefault="00350D30" w:rsidP="0059792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A LEP estabelece que a assistência ao privado de liberdade é dever do Estado, objetivando prevenir o crime e orientar o retorno à convivência em sociedade, devendo ser: material, à saúde, jurídica, educacional, social e religiosa.</w:t>
      </w:r>
    </w:p>
    <w:p w14:paraId="6DFA5E0C" w14:textId="0FDC174A" w:rsidR="00350D30" w:rsidRDefault="00350D30" w:rsidP="0059792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No que concerne a assistência à saúde a LEP dispões em seu </w:t>
      </w:r>
      <w:proofErr w:type="spellStart"/>
      <w:r>
        <w:rPr>
          <w:rFonts w:ascii="Times New Roman" w:hAnsi="Times New Roman" w:cs="Times New Roman"/>
          <w:sz w:val="20"/>
          <w:szCs w:val="20"/>
        </w:rPr>
        <w:t>Art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14.:</w:t>
      </w:r>
    </w:p>
    <w:p w14:paraId="24E9BE63" w14:textId="77777777" w:rsidR="00350D30" w:rsidRDefault="00350D30" w:rsidP="00350D30">
      <w:pPr>
        <w:ind w:left="2832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“</w:t>
      </w:r>
      <w:r w:rsidRPr="00350D30">
        <w:rPr>
          <w:rFonts w:ascii="Times New Roman" w:hAnsi="Times New Roman" w:cs="Times New Roman"/>
          <w:i/>
          <w:iCs/>
          <w:sz w:val="20"/>
          <w:szCs w:val="20"/>
        </w:rPr>
        <w:t>A assistência à saúde do preso e do internado de caráter preventivo e curativo, compreenderá atendimento médico, farmacêutico e odontológico.</w:t>
      </w:r>
    </w:p>
    <w:p w14:paraId="5B3A9CF6" w14:textId="77777777" w:rsidR="00350D30" w:rsidRDefault="00350D30" w:rsidP="00350D30">
      <w:pPr>
        <w:ind w:left="2832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350D30">
        <w:rPr>
          <w:rFonts w:ascii="Times New Roman" w:hAnsi="Times New Roman" w:cs="Times New Roman"/>
          <w:i/>
          <w:iCs/>
          <w:sz w:val="20"/>
          <w:szCs w:val="20"/>
        </w:rPr>
        <w:t xml:space="preserve"> § 1º (Vetado).</w:t>
      </w:r>
    </w:p>
    <w:p w14:paraId="27F7747F" w14:textId="77777777" w:rsidR="00350D30" w:rsidRDefault="00350D30" w:rsidP="00350D30">
      <w:pPr>
        <w:ind w:left="2832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350D30">
        <w:rPr>
          <w:rFonts w:ascii="Times New Roman" w:hAnsi="Times New Roman" w:cs="Times New Roman"/>
          <w:i/>
          <w:iCs/>
          <w:sz w:val="20"/>
          <w:szCs w:val="20"/>
        </w:rPr>
        <w:t xml:space="preserve"> § 2º Quando o estabelecimento penal não estiver aparelhado para prover a assistência médica necessária, esta será prestada em outro local, mediante autorização da direção do estabelecimento.</w:t>
      </w:r>
    </w:p>
    <w:p w14:paraId="4C18BC27" w14:textId="77777777" w:rsidR="00350D30" w:rsidRDefault="00350D30" w:rsidP="00350D30">
      <w:pPr>
        <w:ind w:left="2832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350D30">
        <w:rPr>
          <w:rFonts w:ascii="Times New Roman" w:hAnsi="Times New Roman" w:cs="Times New Roman"/>
          <w:i/>
          <w:iCs/>
          <w:sz w:val="20"/>
          <w:szCs w:val="20"/>
        </w:rPr>
        <w:t xml:space="preserve"> § 3o Será assegurado acompanhamento médico à mulher, principalmente no pré-natal e no pós-parto, extensivo ao recém-nascido. (Incluído pela Lei nº 11.942, de 2009)</w:t>
      </w:r>
    </w:p>
    <w:p w14:paraId="1D4FECAD" w14:textId="5B3CF1E5" w:rsidR="00350D30" w:rsidRPr="00350D30" w:rsidRDefault="00350D30" w:rsidP="00350D30">
      <w:pPr>
        <w:ind w:left="2832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350D30">
        <w:rPr>
          <w:rFonts w:ascii="Times New Roman" w:hAnsi="Times New Roman" w:cs="Times New Roman"/>
          <w:i/>
          <w:iCs/>
          <w:sz w:val="20"/>
          <w:szCs w:val="20"/>
        </w:rPr>
        <w:t xml:space="preserve"> § 4º Será assegurado tratamento humanitário à mulher grávida durante os atos médico-hospitalares preparatórios para a realização do parto e durante o trabalho de parto, bem como à mulher no período de puerpério, cabendo ao poder público promover a assistência integral à sua saúde e à do recém-nascido.</w:t>
      </w:r>
    </w:p>
    <w:p w14:paraId="14560E2A" w14:textId="77777777" w:rsidR="00350D30" w:rsidRPr="00597921" w:rsidRDefault="00350D30" w:rsidP="0059792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BBBA4F2" w14:textId="115A7FDC" w:rsidR="00597921" w:rsidRDefault="00F064D0" w:rsidP="0059792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Faz-se importante destacar na LEP o </w:t>
      </w:r>
      <w:proofErr w:type="spellStart"/>
      <w:r>
        <w:rPr>
          <w:rFonts w:ascii="Times New Roman" w:hAnsi="Times New Roman" w:cs="Times New Roman"/>
          <w:sz w:val="20"/>
          <w:szCs w:val="20"/>
        </w:rPr>
        <w:t>Art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83.B que relata sobre as funções indelegáveis dentre elas:</w:t>
      </w:r>
    </w:p>
    <w:p w14:paraId="73D58363" w14:textId="77777777" w:rsidR="00F064D0" w:rsidRDefault="00AB7B54" w:rsidP="00597921">
      <w:pPr>
        <w:jc w:val="both"/>
        <w:rPr>
          <w:rFonts w:ascii="Times New Roman" w:hAnsi="Times New Roman" w:cs="Times New Roman"/>
          <w:sz w:val="20"/>
          <w:szCs w:val="20"/>
        </w:rPr>
      </w:pPr>
      <w:r w:rsidRPr="00597921">
        <w:rPr>
          <w:rFonts w:ascii="Times New Roman" w:hAnsi="Times New Roman" w:cs="Times New Roman"/>
          <w:sz w:val="20"/>
          <w:szCs w:val="20"/>
        </w:rPr>
        <w:t xml:space="preserve"> I - </w:t>
      </w:r>
      <w:proofErr w:type="gramStart"/>
      <w:r w:rsidRPr="00597921">
        <w:rPr>
          <w:rFonts w:ascii="Times New Roman" w:hAnsi="Times New Roman" w:cs="Times New Roman"/>
          <w:sz w:val="20"/>
          <w:szCs w:val="20"/>
        </w:rPr>
        <w:t>classificação</w:t>
      </w:r>
      <w:proofErr w:type="gramEnd"/>
      <w:r w:rsidRPr="00597921">
        <w:rPr>
          <w:rFonts w:ascii="Times New Roman" w:hAnsi="Times New Roman" w:cs="Times New Roman"/>
          <w:sz w:val="20"/>
          <w:szCs w:val="20"/>
        </w:rPr>
        <w:t xml:space="preserve"> de condenados;</w:t>
      </w:r>
    </w:p>
    <w:p w14:paraId="166FD1F4" w14:textId="77777777" w:rsidR="00F064D0" w:rsidRDefault="00AB7B54" w:rsidP="00597921">
      <w:pPr>
        <w:jc w:val="both"/>
        <w:rPr>
          <w:rFonts w:ascii="Times New Roman" w:hAnsi="Times New Roman" w:cs="Times New Roman"/>
          <w:sz w:val="20"/>
          <w:szCs w:val="20"/>
        </w:rPr>
      </w:pPr>
      <w:r w:rsidRPr="00597921">
        <w:rPr>
          <w:rFonts w:ascii="Times New Roman" w:hAnsi="Times New Roman" w:cs="Times New Roman"/>
          <w:sz w:val="20"/>
          <w:szCs w:val="20"/>
        </w:rPr>
        <w:t xml:space="preserve"> II - </w:t>
      </w:r>
      <w:proofErr w:type="gramStart"/>
      <w:r w:rsidRPr="00597921">
        <w:rPr>
          <w:rFonts w:ascii="Times New Roman" w:hAnsi="Times New Roman" w:cs="Times New Roman"/>
          <w:sz w:val="20"/>
          <w:szCs w:val="20"/>
        </w:rPr>
        <w:t>aplicação</w:t>
      </w:r>
      <w:proofErr w:type="gramEnd"/>
      <w:r w:rsidRPr="00597921">
        <w:rPr>
          <w:rFonts w:ascii="Times New Roman" w:hAnsi="Times New Roman" w:cs="Times New Roman"/>
          <w:sz w:val="20"/>
          <w:szCs w:val="20"/>
        </w:rPr>
        <w:t xml:space="preserve"> de sanções disciplinares; </w:t>
      </w:r>
    </w:p>
    <w:p w14:paraId="0C899A72" w14:textId="1DA18775" w:rsidR="003437F9" w:rsidRPr="003437F9" w:rsidRDefault="003437F9" w:rsidP="0059792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3437F9">
        <w:rPr>
          <w:rFonts w:ascii="Times New Roman" w:hAnsi="Times New Roman" w:cs="Times New Roman"/>
          <w:sz w:val="20"/>
          <w:szCs w:val="20"/>
        </w:rPr>
        <w:t>A classificação técnica dos indivíduos privados de liberdade e a aplicação de sanções disciplinares no sistema prisional de Minas Gerais dependem da atuação dos cargos de Analista Executivo de Defesa Social e Médico da Área de Defesa Social. Dessa forma, a Comissão Técnica de Classificação tem por finalidade orientar a individualização da execução penal por meio da elaboração de um Programa Individualizado de Ressocialização, que busca dirigir, orientar, coordenar, controlar, analisar e acompanhar o referido programa, zelando pelo cumprimento dos seus objetivos e o Conselho Disciplinar realizar o julgamento de faltas disciplinares cometidas por custodiados nos estabelecimentos prisionais, ou seja são a exteriorização do poder disciplinar e do poder de polícia estatal.</w:t>
      </w:r>
    </w:p>
    <w:p w14:paraId="5A262D5A" w14:textId="647E9485" w:rsidR="00727B42" w:rsidRDefault="00F064D0" w:rsidP="00597921">
      <w:pPr>
        <w:jc w:val="both"/>
        <w:rPr>
          <w:rFonts w:ascii="Times New Roman" w:hAnsi="Times New Roman" w:cs="Times New Roman"/>
          <w:sz w:val="20"/>
          <w:szCs w:val="20"/>
        </w:rPr>
      </w:pPr>
      <w:r w:rsidRPr="00F75015">
        <w:rPr>
          <w:rFonts w:ascii="Times New Roman" w:hAnsi="Times New Roman" w:cs="Times New Roman"/>
          <w:sz w:val="20"/>
          <w:szCs w:val="20"/>
        </w:rPr>
        <w:t>Ve</w:t>
      </w:r>
      <w:r w:rsidR="00FD3A43" w:rsidRPr="00F75015">
        <w:rPr>
          <w:rFonts w:ascii="Times New Roman" w:hAnsi="Times New Roman" w:cs="Times New Roman"/>
          <w:sz w:val="20"/>
          <w:szCs w:val="20"/>
        </w:rPr>
        <w:t>ja</w:t>
      </w:r>
      <w:r w:rsidRPr="00F75015">
        <w:rPr>
          <w:rFonts w:ascii="Times New Roman" w:hAnsi="Times New Roman" w:cs="Times New Roman"/>
          <w:sz w:val="20"/>
          <w:szCs w:val="20"/>
        </w:rPr>
        <w:t xml:space="preserve"> mais em: </w:t>
      </w:r>
      <w:hyperlink r:id="rId4" w:history="1">
        <w:r w:rsidR="009508ED" w:rsidRPr="00B07BEC">
          <w:rPr>
            <w:rStyle w:val="Hyperlink"/>
            <w:rFonts w:ascii="Times New Roman" w:hAnsi="Times New Roman" w:cs="Times New Roman"/>
            <w:sz w:val="20"/>
            <w:szCs w:val="20"/>
          </w:rPr>
          <w:t>https://www.planalto.gov.br/ccivil_03/leis/l7210.htm</w:t>
        </w:r>
      </w:hyperlink>
    </w:p>
    <w:p w14:paraId="4443CCC6" w14:textId="77777777" w:rsidR="009508ED" w:rsidRPr="00F75015" w:rsidRDefault="009508ED" w:rsidP="00597921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9508ED" w:rsidRPr="00F75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DD"/>
    <w:rsid w:val="00056621"/>
    <w:rsid w:val="000736DD"/>
    <w:rsid w:val="0033780D"/>
    <w:rsid w:val="003437F9"/>
    <w:rsid w:val="00350D30"/>
    <w:rsid w:val="00597921"/>
    <w:rsid w:val="006B641B"/>
    <w:rsid w:val="00727B42"/>
    <w:rsid w:val="009508ED"/>
    <w:rsid w:val="009F627C"/>
    <w:rsid w:val="00A0261F"/>
    <w:rsid w:val="00AA33F1"/>
    <w:rsid w:val="00AB7B54"/>
    <w:rsid w:val="00F064D0"/>
    <w:rsid w:val="00F75015"/>
    <w:rsid w:val="00FD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1D285"/>
  <w15:chartTrackingRefBased/>
  <w15:docId w15:val="{9F46C1DC-7A07-4C2A-826A-CF7A2C93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508E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50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lanalto.gov.br/ccivil_03/leis/l7210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437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2023-09-15T00:22:00Z</dcterms:created>
  <dcterms:modified xsi:type="dcterms:W3CDTF">2023-12-19T20:23:00Z</dcterms:modified>
</cp:coreProperties>
</file>