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Inteligente de Análise de Risco de Crédito</w:t>
      </w:r>
    </w:p>
    <w:p>
      <w:pPr>
        <w:pStyle w:val="Heading1"/>
      </w:pPr>
      <w:r>
        <w:t>Integração de Machine Learning e Lógica Fuzzy</w:t>
      </w:r>
    </w:p>
    <w:p>
      <w:r>
        <w:rPr>
          <w:b/>
        </w:rPr>
        <w:t>Trabalho Final Prático — Inteligência Artificial</w:t>
      </w:r>
    </w:p>
    <w:p>
      <w:pPr>
        <w:pStyle w:val="Heading2"/>
      </w:pPr>
      <w:r>
        <w:t>Capa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Instituição</w:t>
            </w:r>
          </w:p>
        </w:tc>
        <w:tc>
          <w:tcPr>
            <w:tcW w:type="dxa" w:w="4680"/>
          </w:tcPr>
          <w:p>
            <w:r/>
            <w:r>
              <w:t>Universidade Católica de Brasília (UCB)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Curso</w:t>
            </w:r>
          </w:p>
        </w:tc>
        <w:tc>
          <w:tcPr>
            <w:tcW w:type="dxa" w:w="4680"/>
          </w:tcPr>
          <w:p>
            <w:r/>
            <w:r>
              <w:t>Engenharia de Software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Disciplina</w:t>
            </w:r>
          </w:p>
        </w:tc>
        <w:tc>
          <w:tcPr>
            <w:tcW w:type="dxa" w:w="4680"/>
          </w:tcPr>
          <w:p>
            <w:r/>
            <w:r>
              <w:t>Inteligência Artificial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Professor</w:t>
            </w:r>
          </w:p>
        </w:tc>
        <w:tc>
          <w:tcPr>
            <w:tcW w:type="dxa" w:w="4680"/>
          </w:tcPr>
          <w:p>
            <w:r/>
            <w:r>
              <w:t>William Malvezzi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680"/>
          </w:tcPr>
          <w:p>
            <w:r/>
            <w:r>
              <w:t>Sistema Inteligente de Análise de Risco de Crédito: Integração de Machine Learning e Lógica Fuzzy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Grupo</w:t>
            </w:r>
          </w:p>
        </w:tc>
        <w:tc>
          <w:tcPr>
            <w:tcW w:type="dxa" w:w="4680"/>
          </w:tcPr>
          <w:p>
            <w:r/>
            <w:r>
              <w:t>Grupo 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Integrantes</w:t>
            </w:r>
          </w:p>
        </w:tc>
        <w:tc>
          <w:tcPr>
            <w:tcW w:type="dxa" w:w="4680"/>
          </w:tcPr>
          <w:p>
            <w:r/>
            <w:r>
              <w:t>_Edson Marcelino Luiz neto_ · _Leonardo Rodrigues Amorim Filho_ · _Cayky Emilio Vieira Neves_ · _Júlia Caroline Fernandes Borges_· _Arthur de Oliveira Freire_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Data de entrega</w:t>
            </w:r>
          </w:p>
        </w:tc>
        <w:tc>
          <w:tcPr>
            <w:tcW w:type="dxa" w:w="4680"/>
          </w:tcPr>
          <w:p>
            <w:r/>
            <w:r>
              <w:t>_16/06/2026_</w:t>
            </w:r>
          </w:p>
        </w:tc>
      </w:tr>
    </w:tbl>
    <w:p/>
    <w:p>
      <w:pPr>
        <w:pStyle w:val="Heading1"/>
      </w:pPr>
      <w:r>
        <w:t>Resumo</w:t>
      </w:r>
    </w:p>
    <w:p>
      <w:r>
        <w:t xml:space="preserve">Este trabalho apresenta o desenvolvimento de um sistema inteligente de apoio à decisão para </w:t>
      </w:r>
      <w:r>
        <w:rPr>
          <w:b/>
        </w:rPr>
        <w:t>análise de risco de concessão de crédito</w:t>
      </w:r>
      <w:r>
        <w:t xml:space="preserve">, construído pela </w:t>
      </w:r>
      <w:r>
        <w:rPr>
          <w:b/>
        </w:rPr>
        <w:t>integração</w:t>
      </w:r>
      <w:r>
        <w:t xml:space="preserve"> de duas abordagens centrais da disciplina de Inteligência Artificial: </w:t>
      </w:r>
      <w:r>
        <w:rPr>
          <w:b/>
        </w:rPr>
        <w:t>Aprendizado de Máquina supervisionado</w:t>
      </w:r>
      <w:r>
        <w:t xml:space="preserve"> (Machine Learning) e </w:t>
      </w:r>
      <w:r>
        <w:rPr>
          <w:b/>
        </w:rPr>
        <w:t>Lógica Fuzzy</w:t>
      </w:r>
      <w:r>
        <w:t xml:space="preserve">. Um modelo de Árvore de Decisão é treinado sobre a base pública *Statlog (German Credit Data)*, com 1.000 registros reais, para estimar a probabilidade de inadimplência de um solicitante. Essa probabilidade é então fornecida como entrada a um Sistema de Inferência Fuzzy que, combinando-a ao comprometimento da renda e ao histórico de crédito por meio de regras linguísticas do tipo SE–ENTÃO, produz um </w:t>
      </w:r>
      <w:r>
        <w:rPr>
          <w:b/>
        </w:rPr>
        <w:t>risco final interpretável</w:t>
      </w:r>
      <w:r>
        <w:t xml:space="preserve"> (baixo, médio ou alto). O modelo de classificação alcançou </w:t>
      </w:r>
      <w:r>
        <w:rPr>
          <w:b/>
        </w:rPr>
        <w:t>acurácia de 74,5%</w:t>
      </w:r>
      <w:r>
        <w:t xml:space="preserve"> no conjunto de teste, e a camada fuzzy reclassificou </w:t>
      </w:r>
      <w:r>
        <w:rPr>
          <w:b/>
        </w:rPr>
        <w:t>28% dos clientes</w:t>
      </w:r>
      <w:r>
        <w:t xml:space="preserve"> em relação ao uso isolado do modelo, demonstrando seu valor como camada de regras de negócio. O documento detalha a fundamentação teórica, a base de dados, o pré-processamento, a arquitetura da solução, os resultados experimentais e uma discussão crítica das limitações e melhorias.</w:t>
      </w:r>
    </w:p>
    <w:p>
      <w:r>
        <w:rPr>
          <w:b/>
        </w:rPr>
        <w:t>Palavras-chave:</w:t>
      </w:r>
      <w:r>
        <w:t xml:space="preserve"> Inteligência Artificial; Lógica Fuzzy; Machine Learning; Árvore de Decisão; Risco de Crédito; Sistemas de Inferência Fuzzy.</w:t>
      </w:r>
    </w:p>
    <w:p>
      <w:pPr>
        <w:pStyle w:val="Heading1"/>
      </w:pPr>
      <w:r>
        <w:t>1. Introdução</w:t>
      </w:r>
    </w:p>
    <w:p>
      <w:pPr>
        <w:pStyle w:val="Heading2"/>
      </w:pPr>
      <w:r>
        <w:t>1.1 Contexto e problema</w:t>
      </w:r>
    </w:p>
    <w:p>
      <w:r>
        <w:t xml:space="preserve">A concessão de crédito é uma das decisões mais críticas no setor financeiro. Conceder crédito a um cliente que não honrará a dívida (inadimplente) gera perdas diretas; recusar crédito a um bom pagador representa perda de oportunidade. A decisão é, por natureza, </w:t>
      </w:r>
      <w:r>
        <w:rPr>
          <w:b/>
        </w:rPr>
        <w:t>incerta</w:t>
      </w:r>
      <w:r>
        <w:t xml:space="preserve"> e baseada em múltiplos fatores parcialmente subjetivos — renda, histórico de pagamento, comprometimento da renda, score — que raramente possuem fronteiras nítidas (a partir de qual renda um cliente é "de renda alta"?).</w:t>
      </w:r>
    </w:p>
    <w:p>
      <w:r>
        <w:t>Esse cenário é especialmente adequado à combinação de duas técnicas de Inteligência Artificial:</w:t>
      </w:r>
    </w:p>
    <w:p>
      <w:pPr>
        <w:pStyle w:val="ListBullet"/>
      </w:pPr>
      <w:r>
        <w:t xml:space="preserve">O </w:t>
      </w:r>
      <w:r>
        <w:rPr>
          <w:b/>
        </w:rPr>
        <w:t>Machine Learning</w:t>
      </w:r>
      <w:r>
        <w:t xml:space="preserve"> identifica, a partir de dados históricos, padrões estatísticos associados à inadimplência que seriam difíceis de codificar manualmente.</w:t>
      </w:r>
    </w:p>
    <w:p>
      <w:pPr>
        <w:pStyle w:val="ListBullet"/>
      </w:pPr>
      <w:r>
        <w:t xml:space="preserve">A </w:t>
      </w:r>
      <w:r>
        <w:rPr>
          <w:b/>
        </w:rPr>
        <w:t>Lógica Fuzzy</w:t>
      </w:r>
      <w:r>
        <w:t xml:space="preserve"> representa a imprecisão dos conceitos do domínio ("comprometimento alto", "histórico ruim") por meio de variáveis linguísticas, permitindo decisões graduais e </w:t>
      </w:r>
      <w:r>
        <w:rPr>
          <w:b/>
        </w:rPr>
        <w:t>explicáveis</w:t>
      </w:r>
      <w:r>
        <w:t xml:space="preserve"> por regras próximas ao raciocínio de um analista humano.</w:t>
      </w:r>
    </w:p>
    <w:p>
      <w:pPr>
        <w:pStyle w:val="Heading2"/>
      </w:pPr>
      <w:r>
        <w:t>1.2 Justificativa da aplicação de IA</w:t>
      </w:r>
    </w:p>
    <w:p>
      <w:r>
        <w:t xml:space="preserve">A aplicação de IA justifica-se porque o problema envolve (i) </w:t>
      </w:r>
      <w:r>
        <w:rPr>
          <w:b/>
        </w:rPr>
        <w:t>aprendizado de padrões</w:t>
      </w:r>
      <w:r>
        <w:t xml:space="preserve"> a partir de um volume de dados não tratável manualmente e (ii) </w:t>
      </w:r>
      <w:r>
        <w:rPr>
          <w:b/>
        </w:rPr>
        <w:t>representação de incerteza e linguagem</w:t>
      </w:r>
      <w:r>
        <w:t xml:space="preserve"> imprecisa. Modelos puramente baseados em regras fixas (limiares rígidos) ignoram a transição suave entre categorias; modelos puramente estatísticos produzem uma probabilidade pouco interpretável para o tomador de decisão. A integração das duas abordagens visa uma solução simultaneamente </w:t>
      </w:r>
      <w:r>
        <w:rPr>
          <w:b/>
        </w:rPr>
        <w:t>acurada</w:t>
      </w:r>
      <w:r>
        <w:t xml:space="preserve"> (orientada a dados) e </w:t>
      </w:r>
      <w:r>
        <w:rPr>
          <w:b/>
        </w:rPr>
        <w:t>interpretável</w:t>
      </w:r>
      <w:r>
        <w:t xml:space="preserve"> (orientada a regras).</w:t>
      </w:r>
    </w:p>
    <w:p>
      <w:pPr>
        <w:pStyle w:val="Heading2"/>
      </w:pPr>
      <w:r>
        <w:t>1.3 Objetivo geral</w:t>
      </w:r>
    </w:p>
    <w:p>
      <w:r>
        <w:t>Desenvolver uma solução prática de Inteligência Artificial capaz de analisar dados de solicitantes de crédito e apoiar a decisão de concessão, por meio da combinação entre Machine Learning e Lógica Fuzzy.</w:t>
      </w:r>
    </w:p>
    <w:p>
      <w:pPr>
        <w:pStyle w:val="Heading2"/>
      </w:pPr>
      <w:r>
        <w:t>1.4 Objetivos específicos</w:t>
      </w:r>
    </w:p>
    <w:p>
      <w:pPr>
        <w:pStyle w:val="ListNumber"/>
      </w:pPr>
      <w:r>
        <w:t>Selecionar um problema adequado à aplicação de IA — análise de risco de crédito (Tema 4).</w:t>
      </w:r>
    </w:p>
    <w:p>
      <w:pPr>
        <w:pStyle w:val="ListNumber"/>
      </w:pPr>
      <w:r>
        <w:t>Utilizar uma base de dados pública e coerente com o problema.</w:t>
      </w:r>
    </w:p>
    <w:p>
      <w:pPr>
        <w:pStyle w:val="ListNumber"/>
      </w:pPr>
      <w:r>
        <w:t>Realizar pré-processamento e análise exploratória dos dados.</w:t>
      </w:r>
    </w:p>
    <w:p>
      <w:pPr>
        <w:pStyle w:val="ListNumber"/>
      </w:pPr>
      <w:r>
        <w:t>Implementar um modelo de Machine Learning para classificação.</w:t>
      </w:r>
    </w:p>
    <w:p>
      <w:pPr>
        <w:pStyle w:val="ListNumber"/>
      </w:pPr>
      <w:r>
        <w:t>Avaliar o modelo com métricas adequadas ao tipo de problema.</w:t>
      </w:r>
    </w:p>
    <w:p>
      <w:pPr>
        <w:pStyle w:val="ListNumber"/>
      </w:pPr>
      <w:r>
        <w:t>Construir um sistema fuzzy com variáveis linguísticas, funções de pertinência e regras de inferência.</w:t>
      </w:r>
    </w:p>
    <w:p>
      <w:pPr>
        <w:pStyle w:val="ListNumber"/>
      </w:pPr>
      <w:r>
        <w:t>Integrar os resultados do modelo de Machine Learning ao sistema fuzzy.</w:t>
      </w:r>
    </w:p>
    <w:p>
      <w:pPr>
        <w:pStyle w:val="ListNumber"/>
      </w:pPr>
      <w:r>
        <w:t>Apresentar uma análise crítica dos resultados, limitações e melhorias.</w:t>
      </w:r>
    </w:p>
    <w:p>
      <w:pPr>
        <w:pStyle w:val="Heading1"/>
      </w:pPr>
      <w:r>
        <w:t>2. Fundamentação Teórica</w:t>
      </w:r>
    </w:p>
    <w:p>
      <w:pPr>
        <w:pStyle w:val="Heading2"/>
      </w:pPr>
      <w:r>
        <w:t>2.1 Inteligência Artificial e Aprendizado de Máquina</w:t>
      </w:r>
    </w:p>
    <w:p>
      <w:r>
        <w:rPr>
          <w:b/>
        </w:rPr>
        <w:t>Inteligência Artificial (IA)</w:t>
      </w:r>
      <w:r>
        <w:t xml:space="preserve"> é o campo que estuda a construção de agentes capazes de perceber o ambiente e agir de modo a maximizar suas chances de atingir objetivos (RUSSELL; NORVIG, 2013). O </w:t>
      </w:r>
      <w:r>
        <w:rPr>
          <w:b/>
        </w:rPr>
        <w:t>Aprendizado de Máquina (Machine Learning)</w:t>
      </w:r>
      <w:r>
        <w:t xml:space="preserve"> é o subcampo no qual os sistemas aprendem padrões a partir de dados, em vez de serem explicitamente programados para cada caso.</w:t>
      </w:r>
    </w:p>
    <w:p>
      <w:r>
        <w:t xml:space="preserve">No </w:t>
      </w:r>
      <w:r>
        <w:rPr>
          <w:b/>
        </w:rPr>
        <w:t>aprendizado supervisionado</w:t>
      </w:r>
      <w:r>
        <w:t>, o modelo é treinado com exemplos rotulados (entrada → saída conhecida). Distinguem-se dois tipos de problema:</w:t>
      </w:r>
    </w:p>
    <w:p>
      <w:pPr>
        <w:pStyle w:val="ListBullet"/>
      </w:pPr>
      <w:r>
        <w:rPr>
          <w:b/>
        </w:rPr>
        <w:t>Classificação:</w:t>
      </w:r>
      <w:r>
        <w:t xml:space="preserve"> a saída é uma categoria (ex.: bom pagador / mau pagador).</w:t>
      </w:r>
    </w:p>
    <w:p>
      <w:pPr>
        <w:pStyle w:val="ListBullet"/>
      </w:pPr>
      <w:r>
        <w:rPr>
          <w:b/>
        </w:rPr>
        <w:t>Regressão:</w:t>
      </w:r>
      <w:r>
        <w:t xml:space="preserve"> a saída é um valor numérico contínuo.</w:t>
      </w:r>
    </w:p>
    <w:p>
      <w:r>
        <w:t xml:space="preserve">Este trabalho trata de um problema de </w:t>
      </w:r>
      <w:r>
        <w:rPr>
          <w:b/>
        </w:rPr>
        <w:t>classificação binária</w:t>
      </w:r>
      <w:r>
        <w:t xml:space="preserve"> (adimplente / inadimplente).</w:t>
      </w:r>
    </w:p>
    <w:p>
      <w:pPr>
        <w:pStyle w:val="Heading2"/>
      </w:pPr>
      <w:r>
        <w:t>2.2 Árvore de Decisão</w:t>
      </w:r>
    </w:p>
    <w:p>
      <w:r>
        <w:t xml:space="preserve">A </w:t>
      </w:r>
      <w:r>
        <w:rPr>
          <w:b/>
        </w:rPr>
        <w:t>Árvore de Decisão</w:t>
      </w:r>
      <w:r>
        <w:t xml:space="preserve"> é um algoritmo de aprendizado supervisionado que constrói uma estrutura hierárquica de testes condicionais sobre os atributos. Cada nó interno representa uma pergunta sobre uma variável (ex.: "a duração do crédito é maior que 24 meses?"), cada ramo uma resposta, e cada folha uma decisão (classe prevista). A árvore é construída de forma a maximizar a separação entre as classes a cada divisão, tipicamente por critérios como o índice de Gini ou a entropia.</w:t>
      </w:r>
    </w:p>
    <w:p>
      <w:r>
        <w:t xml:space="preserve">Foi escolhida por dois motivos alinhados ao enunciado: é a </w:t>
      </w:r>
      <w:r>
        <w:rPr>
          <w:b/>
        </w:rPr>
        <w:t>preferência da disciplina</w:t>
      </w:r>
      <w:r>
        <w:t xml:space="preserve"> e oferece </w:t>
      </w:r>
      <w:r>
        <w:rPr>
          <w:b/>
        </w:rPr>
        <w:t>alta interpretabilidade</w:t>
      </w:r>
      <w:r>
        <w:t xml:space="preserve"> — é possível visualizar e justificar cada decisão, o que dialoga diretamente com as regras explícitas do sistema fuzzy.</w:t>
      </w:r>
    </w:p>
    <w:p>
      <w:pPr>
        <w:pStyle w:val="Heading2"/>
      </w:pPr>
      <w:r>
        <w:t>2.3 Lógica Fuzzy e Conjuntos Nebulosos</w:t>
      </w:r>
    </w:p>
    <w:p>
      <w:r>
        <w:t xml:space="preserve">A </w:t>
      </w:r>
      <w:r>
        <w:rPr>
          <w:b/>
        </w:rPr>
        <w:t>Lógica Fuzzy</w:t>
      </w:r>
      <w:r>
        <w:t xml:space="preserve">, formalizada por Zadeh (1965), generaliza a lógica clássica binária ao admitir </w:t>
      </w:r>
      <w:r>
        <w:rPr>
          <w:b/>
        </w:rPr>
        <w:t>valores de verdade parciais</w:t>
      </w:r>
      <w:r>
        <w:t xml:space="preserve">. Enquanto na teoria clássica um elemento pertence ou não pertence a um conjunto (pertinência 0 ou 1), na </w:t>
      </w:r>
      <w:r>
        <w:rPr>
          <w:b/>
        </w:rPr>
        <w:t>teoria dos conjuntos nebulosos (fuzzy)</w:t>
      </w:r>
      <w:r>
        <w:t xml:space="preserve"> um elemento pertence a um conjunto com um </w:t>
      </w:r>
      <w:r>
        <w:rPr>
          <w:b/>
        </w:rPr>
        <w:t>grau de pertinência</w:t>
      </w:r>
      <w:r>
        <w:t xml:space="preserve"> no intervalo [0, 1].</w:t>
      </w:r>
    </w:p>
    <w:p>
      <w:r>
        <w:t>Essa propriedade permite representar conceitos imprecisos do mundo real. Um comprometimento de renda de 50% pode pertencer simultaneamente, com graus distintos, aos conjuntos "médio" e "alto".</w:t>
      </w:r>
    </w:p>
    <w:p>
      <w:pPr>
        <w:pStyle w:val="Heading2"/>
      </w:pPr>
      <w:r>
        <w:t>2.4 Componentes de um Sistema de Inferência Fuzzy</w:t>
      </w:r>
    </w:p>
    <w:p>
      <w:pPr>
        <w:pStyle w:val="ListBullet"/>
      </w:pPr>
      <w:r>
        <w:rPr>
          <w:b/>
        </w:rPr>
        <w:t>Variável linguística:</w:t>
      </w:r>
      <w:r>
        <w:t xml:space="preserve"> variável cujos valores são termos da linguagem (ex.: a variável *comprometimento* assume os termos *baixo*, *médio*, *alto*). Formalmente descrita pela quíntupla </w:t>
      </w:r>
      <w:r>
        <w:rPr>
          <w:rFonts w:ascii="Consolas" w:hAnsi="Consolas"/>
          <w:color w:val="B03060"/>
          <w:sz w:val="19"/>
        </w:rPr>
        <w:t>&lt;x, T(x), U, G, M&gt;</w:t>
      </w:r>
      <w:r>
        <w:t>.</w:t>
      </w:r>
    </w:p>
    <w:p>
      <w:pPr>
        <w:pStyle w:val="ListBullet"/>
      </w:pPr>
      <w:r>
        <w:rPr>
          <w:b/>
        </w:rPr>
        <w:t>Função de pertinência μ(x):</w:t>
      </w:r>
      <w:r>
        <w:t xml:space="preserve"> função que quantifica o grau de pertinência de cada elemento do universo a um conjunto fuzzy. Neste trabalho utilizam-se funções </w:t>
      </w:r>
      <w:r>
        <w:rPr>
          <w:b/>
        </w:rPr>
        <w:t>triangulares</w:t>
      </w:r>
      <w:r>
        <w:t xml:space="preserve"> (</w:t>
      </w:r>
      <w:r>
        <w:rPr>
          <w:rFonts w:ascii="Consolas" w:hAnsi="Consolas"/>
          <w:color w:val="B03060"/>
          <w:sz w:val="19"/>
        </w:rPr>
        <w:t>trimf</w:t>
      </w:r>
      <w:r>
        <w:t>), definidas por três pontos.</w:t>
      </w:r>
    </w:p>
    <w:p>
      <w:pPr>
        <w:pStyle w:val="ListBullet"/>
      </w:pPr>
      <w:r>
        <w:rPr>
          <w:b/>
        </w:rPr>
        <w:t>Regras de inferência (SE–ENTÃO):</w:t>
      </w:r>
      <w:r>
        <w:t xml:space="preserve"> codificam o conhecimento especialista. Ex.: *SE prob. de inadimplência é alta E comprometimento é alto ENTÃO risco é alto*. Os operadores são E = mínimo, OU = máximo, NÃO = complemento (1 − μ).</w:t>
      </w:r>
    </w:p>
    <w:p>
      <w:pPr>
        <w:pStyle w:val="ListBullet"/>
      </w:pPr>
      <w:r>
        <w:rPr>
          <w:b/>
        </w:rPr>
        <w:t>Fuzzificação:</w:t>
      </w:r>
      <w:r>
        <w:t xml:space="preserve"> conversão dos valores numéricos de entrada em graus de pertinência.</w:t>
      </w:r>
    </w:p>
    <w:p>
      <w:pPr>
        <w:pStyle w:val="ListBullet"/>
      </w:pPr>
      <w:r>
        <w:rPr>
          <w:b/>
        </w:rPr>
        <w:t>Inferência:</w:t>
      </w:r>
      <w:r>
        <w:t xml:space="preserve"> aplicação da base de regras sobre os valores fuzzificados, agregando as conclusões.</w:t>
      </w:r>
    </w:p>
    <w:p>
      <w:pPr>
        <w:pStyle w:val="ListBullet"/>
      </w:pPr>
      <w:r>
        <w:rPr>
          <w:b/>
        </w:rPr>
        <w:t>Defuzzificação:</w:t>
      </w:r>
      <w:r>
        <w:t xml:space="preserve"> conversão do conjunto fuzzy resultante de volta para um número único. Adota-se o método do </w:t>
      </w:r>
      <w:r>
        <w:rPr>
          <w:b/>
        </w:rPr>
        <w:t>centroide (centro de gravidade)</w:t>
      </w:r>
      <w:r>
        <w:t>.</w:t>
      </w:r>
    </w:p>
    <w:p>
      <w:pPr>
        <w:pStyle w:val="Heading1"/>
      </w:pPr>
      <w:r>
        <w:t>3. Descrição da Base de Dados</w:t>
      </w:r>
    </w:p>
    <w:p>
      <w:pPr>
        <w:pStyle w:val="Heading2"/>
      </w:pPr>
      <w:r>
        <w:t>3.1 Origem e características</w:t>
      </w:r>
    </w:p>
    <w:p>
      <w:r>
        <w:t xml:space="preserve">Utilizou-se a base </w:t>
      </w:r>
      <w:r>
        <w:rPr>
          <w:b/>
        </w:rPr>
        <w:t>Statlog (German Credit Data)</w:t>
      </w:r>
      <w:r>
        <w:t>, disponibilizada pelo *UCI Machine Learning Repository* (HOFMANN). Por se tratar de base pública, conforme o enunciado, apenas o link de acesso é informado, dispensando o envio do arquivo.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Característica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t>Registros</w:t>
            </w:r>
          </w:p>
        </w:tc>
        <w:tc>
          <w:tcPr>
            <w:tcW w:type="dxa" w:w="4680"/>
          </w:tcPr>
          <w:p>
            <w:r/>
            <w:r>
              <w:t>1.000 solicitantes de crédito</w:t>
            </w:r>
          </w:p>
        </w:tc>
      </w:tr>
      <w:tr>
        <w:tc>
          <w:tcPr>
            <w:tcW w:type="dxa" w:w="4680"/>
          </w:tcPr>
          <w:p>
            <w:r/>
            <w:r>
              <w:t>Atributos</w:t>
            </w:r>
          </w:p>
        </w:tc>
        <w:tc>
          <w:tcPr>
            <w:tcW w:type="dxa" w:w="4680"/>
          </w:tcPr>
          <w:p>
            <w:r/>
            <w:r>
              <w:t>20 (+ variável-alvo)</w:t>
            </w:r>
          </w:p>
        </w:tc>
      </w:tr>
      <w:tr>
        <w:tc>
          <w:tcPr>
            <w:tcW w:type="dxa" w:w="4680"/>
          </w:tcPr>
          <w:p>
            <w:r/>
            <w:r>
              <w:t>Variável-alvo original</w:t>
            </w:r>
          </w:p>
        </w:tc>
        <w:tc>
          <w:tcPr>
            <w:tcW w:type="dxa" w:w="4680"/>
          </w:tcPr>
          <w:p>
            <w:r/>
            <w:r>
              <w:t>1 = bom pagador; 2 = mau pagador</w:t>
            </w:r>
          </w:p>
        </w:tc>
      </w:tr>
      <w:tr>
        <w:tc>
          <w:tcPr>
            <w:tcW w:type="dxa" w:w="4680"/>
          </w:tcPr>
          <w:p>
            <w:r/>
            <w:r>
              <w:t>Origem</w:t>
            </w:r>
          </w:p>
        </w:tc>
        <w:tc>
          <w:tcPr>
            <w:tcW w:type="dxa" w:w="4680"/>
          </w:tcPr>
          <w:p>
            <w:r/>
            <w:r>
              <w:t>Alemanha (dados reais)</w:t>
            </w:r>
          </w:p>
        </w:tc>
      </w:tr>
      <w:tr>
        <w:tc>
          <w:tcPr>
            <w:tcW w:type="dxa" w:w="4680"/>
          </w:tcPr>
          <w:p>
            <w:r/>
            <w:r>
              <w:t>Valores faltantes</w:t>
            </w:r>
          </w:p>
        </w:tc>
        <w:tc>
          <w:tcPr>
            <w:tcW w:type="dxa" w:w="4680"/>
          </w:tcPr>
          <w:p>
            <w:r/>
            <w:r>
              <w:t>Nenhum</w:t>
            </w:r>
          </w:p>
        </w:tc>
      </w:tr>
    </w:tbl>
    <w:p/>
    <w:p>
      <w:pPr>
        <w:pStyle w:val="Heading2"/>
      </w:pPr>
      <w:r>
        <w:t>3.2 Variável-alvo</w:t>
      </w:r>
    </w:p>
    <w:p>
      <w:r>
        <w:t>A variável-alvo foi recodificada para uso binário em classificação:</w:t>
      </w:r>
    </w:p>
    <w:p>
      <w:pPr>
        <w:spacing w:before="80" w:after="160"/>
        <w:ind w:left="288"/>
      </w:pPr>
      <w:r>
        <w:rPr>
          <w:rFonts w:ascii="Consolas" w:hAnsi="Consolas"/>
          <w:sz w:val="18"/>
        </w:rPr>
        <w:t>df['inadimplente'] = (df['class'] == 2).astype(int)   # 1 = inadimplente, 0 = adimplente</w:t>
      </w:r>
    </w:p>
    <w:p>
      <w:pPr>
        <w:pStyle w:val="Heading2"/>
      </w:pPr>
      <w:r>
        <w:t>3.3 Atributos utilizados</w:t>
      </w:r>
    </w:p>
    <w:p>
      <w:r>
        <w:t xml:space="preserve">Os 20 atributos incluem situação da conta corrente, duração do crédito, </w:t>
      </w:r>
      <w:r>
        <w:rPr>
          <w:b/>
        </w:rPr>
        <w:t>histórico de crédito</w:t>
      </w:r>
      <w:r>
        <w:t xml:space="preserve">, finalidade, valor solicitado, poupança, tempo de emprego, </w:t>
      </w:r>
      <w:r>
        <w:rPr>
          <w:b/>
        </w:rPr>
        <w:t>taxa de comprometimento da renda (installment rate)</w:t>
      </w:r>
      <w:r>
        <w:t>, estado civil/sexo, fiadores, tempo de residência, propriedades, idade, outros planos de crédito, moradia, créditos existentes, tipo de emprego, número de dependentes, telefone e situação de estrangeiro.</w:t>
      </w:r>
    </w:p>
    <w:p>
      <w:r>
        <w:t>Três atributos têm papel central na camada fuzzy (Seção 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Atributo da base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Uso no sistema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credit_history</w:t>
            </w:r>
            <w:r>
              <w:t xml:space="preserve"> (códigos A30–A34)</w:t>
            </w:r>
          </w:p>
        </w:tc>
        <w:tc>
          <w:tcPr>
            <w:tcW w:type="dxa" w:w="4680"/>
          </w:tcPr>
          <w:p>
            <w:r/>
            <w:r>
              <w:t xml:space="preserve">derivação do </w:t>
            </w:r>
            <w:r>
              <w:rPr>
                <w:rFonts w:ascii="Consolas" w:hAnsi="Consolas"/>
                <w:color w:val="B03060"/>
                <w:sz w:val="19"/>
              </w:rPr>
              <w:t>score_historico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installment_rate</w:t>
            </w:r>
            <w:r>
              <w:t xml:space="preserve"> (1–4)</w:t>
            </w:r>
          </w:p>
        </w:tc>
        <w:tc>
          <w:tcPr>
            <w:tcW w:type="dxa" w:w="4680"/>
          </w:tcPr>
          <w:p>
            <w:r/>
            <w:r>
              <w:t xml:space="preserve">derivação do </w:t>
            </w:r>
            <w:r>
              <w:rPr>
                <w:rFonts w:ascii="Consolas" w:hAnsi="Consolas"/>
                <w:color w:val="B03060"/>
                <w:sz w:val="19"/>
              </w:rPr>
              <w:t>comprometimento</w:t>
            </w:r>
          </w:p>
        </w:tc>
      </w:tr>
      <w:tr>
        <w:tc>
          <w:tcPr>
            <w:tcW w:type="dxa" w:w="4680"/>
          </w:tcPr>
          <w:p>
            <w:r/>
            <w:r>
              <w:t>probabilidade prevista pelo modelo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prob_inadimplencia</w:t>
            </w:r>
          </w:p>
        </w:tc>
      </w:tr>
    </w:tbl>
    <w:p/>
    <w:p>
      <w:pPr>
        <w:pStyle w:val="Heading2"/>
      </w:pPr>
      <w:r>
        <w:t>3.4 Limitações da base</w:t>
      </w:r>
    </w:p>
    <w:p>
      <w:r>
        <w:t xml:space="preserve">A base data da década de 1990 e refere-se ao mercado alemão; seus padrões podem não refletir o contexto atual. Além disso, é </w:t>
      </w:r>
      <w:r>
        <w:rPr>
          <w:b/>
        </w:rPr>
        <w:t>desbalanceada</w:t>
      </w:r>
      <w:r>
        <w:t xml:space="preserve"> (700 adimplentes / 300 inadimplentes), o que exige atenção na avaliação (Seção 7).</w:t>
      </w:r>
    </w:p>
    <w:p>
      <w:pPr>
        <w:pStyle w:val="Heading1"/>
      </w:pPr>
      <w:r>
        <w:t>4. Pré-processamento dos Dados</w:t>
      </w:r>
    </w:p>
    <w:p>
      <w:pPr>
        <w:pStyle w:val="Heading2"/>
      </w:pPr>
      <w:r>
        <w:t>4.1 Análise exploratória (EDA)</w:t>
      </w:r>
    </w:p>
    <w:p>
      <w:r>
        <w:t>A análise exploratória confirmou a ausência de valores faltantes e quantificou o desbalanceamento das classes (70% adimplentes / 30% inadimplentes). Foram inspecionadas as distribuições de variáveis numéricas (idade, valor do crédito e duração) por histogramas.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096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lancea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Figura 1 —</w:t>
      </w:r>
      <w:r>
        <w:t xml:space="preserve"> Distribuição das classes na base: 700 adimplentes e 300 inadimplentes, evidenciando o desbalanceamento.</w:t>
      </w:r>
    </w:p>
    <w:p>
      <w:pPr>
        <w:pStyle w:val="Heading2"/>
      </w:pPr>
      <w:r>
        <w:t>4.2 Determinação empírica da direção do `installment_rate`</w:t>
      </w:r>
    </w:p>
    <w:p>
      <w:r>
        <w:t xml:space="preserve">A documentação do UCI não especifica se um </w:t>
      </w:r>
      <w:r>
        <w:rPr>
          <w:rFonts w:ascii="Consolas" w:hAnsi="Consolas"/>
          <w:color w:val="B03060"/>
          <w:sz w:val="19"/>
        </w:rPr>
        <w:t>installment_rate</w:t>
      </w:r>
      <w:r>
        <w:t xml:space="preserve"> maior corresponde a maior ou menor comprometimento da renda. Em vez de assumir arbitrariamente, a direção foi determinada </w:t>
      </w:r>
      <w:r>
        <w:rPr>
          <w:b/>
        </w:rPr>
        <w:t>empiricamente</w:t>
      </w:r>
      <w:r>
        <w:t xml:space="preserve"> pela correlação do atributo com a inadimplência:</w:t>
      </w:r>
    </w:p>
    <w:p>
      <w:pPr>
        <w:spacing w:before="80" w:after="160"/>
        <w:ind w:left="288"/>
      </w:pPr>
      <w:r>
        <w:rPr>
          <w:rFonts w:ascii="Consolas" w:hAnsi="Consolas"/>
          <w:sz w:val="18"/>
        </w:rPr>
        <w:t>correlacao = df['installment_rate'].corr(df['inadimplente'])   # resultado: 0,072 (positiva)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  <w:sz w:val="19"/>
              </w:rPr>
              <w:t>installment_rate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Inadimplência média</w:t>
            </w:r>
          </w:p>
        </w:tc>
      </w:tr>
      <w:tr>
        <w:tc>
          <w:tcPr>
            <w:tcW w:type="dxa" w:w="4680"/>
          </w:tcPr>
          <w:p>
            <w:r/>
            <w:r>
              <w:t>1</w:t>
            </w:r>
          </w:p>
        </w:tc>
        <w:tc>
          <w:tcPr>
            <w:tcW w:type="dxa" w:w="4680"/>
          </w:tcPr>
          <w:p>
            <w:r/>
            <w:r>
              <w:t>0,250</w:t>
            </w:r>
          </w:p>
        </w:tc>
      </w:tr>
      <w:tr>
        <w:tc>
          <w:tcPr>
            <w:tcW w:type="dxa" w:w="4680"/>
          </w:tcPr>
          <w:p>
            <w:r/>
            <w:r>
              <w:t>2</w:t>
            </w:r>
          </w:p>
        </w:tc>
        <w:tc>
          <w:tcPr>
            <w:tcW w:type="dxa" w:w="4680"/>
          </w:tcPr>
          <w:p>
            <w:r/>
            <w:r>
              <w:t>0,268</w:t>
            </w:r>
          </w:p>
        </w:tc>
      </w:tr>
      <w:tr>
        <w:tc>
          <w:tcPr>
            <w:tcW w:type="dxa" w:w="4680"/>
          </w:tcPr>
          <w:p>
            <w:r/>
            <w:r>
              <w:t>3</w:t>
            </w:r>
          </w:p>
        </w:tc>
        <w:tc>
          <w:tcPr>
            <w:tcW w:type="dxa" w:w="4680"/>
          </w:tcPr>
          <w:p>
            <w:r/>
            <w:r>
              <w:t>0,287</w:t>
            </w:r>
          </w:p>
        </w:tc>
      </w:tr>
      <w:tr>
        <w:tc>
          <w:tcPr>
            <w:tcW w:type="dxa" w:w="4680"/>
          </w:tcPr>
          <w:p>
            <w:r/>
            <w:r>
              <w:t>4</w:t>
            </w:r>
          </w:p>
        </w:tc>
        <w:tc>
          <w:tcPr>
            <w:tcW w:type="dxa" w:w="4680"/>
          </w:tcPr>
          <w:p>
            <w:r/>
            <w:r>
              <w:t>0,334</w:t>
            </w:r>
          </w:p>
        </w:tc>
      </w:tr>
    </w:tbl>
    <w:p/>
    <w:p>
      <w:r>
        <w:t xml:space="preserve">A correlação positiva (0,072) confirma que </w:t>
      </w:r>
      <w:r>
        <w:rPr>
          <w:b/>
        </w:rPr>
        <w:t>valores maiores indicam maior comprometimento</w:t>
      </w:r>
      <w:r>
        <w:t>, validando a normalização direta para a escala 0–100:</w:t>
      </w:r>
    </w:p>
    <w:p>
      <w:pPr>
        <w:spacing w:before="80" w:after="160"/>
        <w:ind w:left="288"/>
      </w:pPr>
      <w:r>
        <w:rPr>
          <w:rFonts w:ascii="Consolas" w:hAnsi="Consolas"/>
          <w:sz w:val="18"/>
        </w:rPr>
        <w:t>df['comprometimento'] = (df['installment_rate'] - 1) / 3 * 100   # 1→0, 4→100</w:t>
      </w:r>
    </w:p>
    <w:p>
      <w:pPr>
        <w:pStyle w:val="Heading2"/>
      </w:pPr>
      <w:r>
        <w:t>4.3 Construção das variáveis linguísticas derivadas</w:t>
      </w:r>
    </w:p>
    <w:p>
      <w:r>
        <w:t xml:space="preserve">O </w:t>
      </w:r>
      <w:r>
        <w:rPr>
          <w:rFonts w:ascii="Consolas" w:hAnsi="Consolas"/>
          <w:color w:val="B03060"/>
          <w:sz w:val="19"/>
        </w:rPr>
        <w:t>score_historico</w:t>
      </w:r>
      <w:r>
        <w:t xml:space="preserve"> (0–100) foi derivado do </w:t>
      </w:r>
      <w:r>
        <w:rPr>
          <w:rFonts w:ascii="Consolas" w:hAnsi="Consolas"/>
          <w:color w:val="B03060"/>
          <w:sz w:val="19"/>
        </w:rPr>
        <w:t>credit_history</w:t>
      </w:r>
      <w:r>
        <w:t xml:space="preserve"> por uma </w:t>
      </w:r>
      <w:r>
        <w:rPr>
          <w:b/>
        </w:rPr>
        <w:t>regra de negócio</w:t>
      </w:r>
      <w:r>
        <w:t>, na qual históricos de pagamento melhores recebem notas maiores: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Significado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r/>
            <w:r>
              <w:t>A34</w:t>
            </w:r>
          </w:p>
        </w:tc>
        <w:tc>
          <w:tcPr>
            <w:tcW w:type="dxa" w:w="3120"/>
          </w:tcPr>
          <w:p>
            <w:r/>
            <w:r>
              <w:t>conta crítica / outros créditos</w:t>
            </w:r>
          </w:p>
        </w:tc>
        <w:tc>
          <w:tcPr>
            <w:tcW w:type="dxa" w:w="3120"/>
          </w:tcPr>
          <w:p>
            <w:r/>
            <w:r>
              <w:t>10</w:t>
            </w:r>
          </w:p>
        </w:tc>
      </w:tr>
      <w:tr>
        <w:tc>
          <w:tcPr>
            <w:tcW w:type="dxa" w:w="3120"/>
          </w:tcPr>
          <w:p>
            <w:r/>
            <w:r>
              <w:t>A33</w:t>
            </w:r>
          </w:p>
        </w:tc>
        <w:tc>
          <w:tcPr>
            <w:tcW w:type="dxa" w:w="3120"/>
          </w:tcPr>
          <w:p>
            <w:r/>
            <w:r>
              <w:t>atraso de pagamento no passado</w:t>
            </w:r>
          </w:p>
        </w:tc>
        <w:tc>
          <w:tcPr>
            <w:tcW w:type="dxa" w:w="3120"/>
          </w:tcPr>
          <w:p>
            <w:r/>
            <w:r>
              <w:t>30</w:t>
            </w:r>
          </w:p>
        </w:tc>
      </w:tr>
      <w:tr>
        <w:tc>
          <w:tcPr>
            <w:tcW w:type="dxa" w:w="3120"/>
          </w:tcPr>
          <w:p>
            <w:r/>
            <w:r>
              <w:t>A30</w:t>
            </w:r>
          </w:p>
        </w:tc>
        <w:tc>
          <w:tcPr>
            <w:tcW w:type="dxa" w:w="3120"/>
          </w:tcPr>
          <w:p>
            <w:r/>
            <w:r>
              <w:t>nenhum crédito / todos quitados</w:t>
            </w:r>
          </w:p>
        </w:tc>
        <w:tc>
          <w:tcPr>
            <w:tcW w:type="dxa" w:w="3120"/>
          </w:tcPr>
          <w:p>
            <w:r/>
            <w:r>
              <w:t>50</w:t>
            </w:r>
          </w:p>
        </w:tc>
      </w:tr>
      <w:tr>
        <w:tc>
          <w:tcPr>
            <w:tcW w:type="dxa" w:w="3120"/>
          </w:tcPr>
          <w:p>
            <w:r/>
            <w:r>
              <w:t>A32</w:t>
            </w:r>
          </w:p>
        </w:tc>
        <w:tc>
          <w:tcPr>
            <w:tcW w:type="dxa" w:w="3120"/>
          </w:tcPr>
          <w:p>
            <w:r/>
            <w:r>
              <w:t>créditos existentes pagos em dia</w:t>
            </w:r>
          </w:p>
        </w:tc>
        <w:tc>
          <w:tcPr>
            <w:tcW w:type="dxa" w:w="3120"/>
          </w:tcPr>
          <w:p>
            <w:r/>
            <w:r>
              <w:t>70</w:t>
            </w:r>
          </w:p>
        </w:tc>
      </w:tr>
      <w:tr>
        <w:tc>
          <w:tcPr>
            <w:tcW w:type="dxa" w:w="3120"/>
          </w:tcPr>
          <w:p>
            <w:r/>
            <w:r>
              <w:t>A31</w:t>
            </w:r>
          </w:p>
        </w:tc>
        <w:tc>
          <w:tcPr>
            <w:tcW w:type="dxa" w:w="3120"/>
          </w:tcPr>
          <w:p>
            <w:r/>
            <w:r>
              <w:t>todos os créditos no banco pagos em dia</w:t>
            </w:r>
          </w:p>
        </w:tc>
        <w:tc>
          <w:tcPr>
            <w:tcW w:type="dxa" w:w="3120"/>
          </w:tcPr>
          <w:p>
            <w:r/>
            <w:r>
              <w:t>90</w:t>
            </w:r>
          </w:p>
        </w:tc>
      </w:tr>
    </w:tbl>
    <w:p/>
    <w:p>
      <w:pPr>
        <w:pStyle w:val="Heading2"/>
      </w:pPr>
      <w:r>
        <w:t>4.4 Codificação e particionamento</w:t>
      </w:r>
    </w:p>
    <w:p>
      <w:r>
        <w:t xml:space="preserve">As variáveis categóricas (codificadas como </w:t>
      </w:r>
      <w:r>
        <w:rPr>
          <w:rFonts w:ascii="Consolas" w:hAnsi="Consolas"/>
          <w:color w:val="B03060"/>
          <w:sz w:val="19"/>
        </w:rPr>
        <w:t>A11</w:t>
      </w:r>
      <w:r>
        <w:t xml:space="preserve">, </w:t>
      </w:r>
      <w:r>
        <w:rPr>
          <w:rFonts w:ascii="Consolas" w:hAnsi="Consolas"/>
          <w:color w:val="B03060"/>
          <w:sz w:val="19"/>
        </w:rPr>
        <w:t>A34</w:t>
      </w:r>
      <w:r>
        <w:t xml:space="preserve"> etc.) foram convertidas para valores numéricos com </w:t>
      </w:r>
      <w:r>
        <w:rPr>
          <w:rFonts w:ascii="Consolas" w:hAnsi="Consolas"/>
          <w:color w:val="B03060"/>
          <w:sz w:val="19"/>
        </w:rPr>
        <w:t>LabelEncoder</w:t>
      </w:r>
      <w:r>
        <w:t xml:space="preserve">, requisito para o treinamento da árvore. A base foi particionada em </w:t>
      </w:r>
      <w:r>
        <w:rPr>
          <w:b/>
        </w:rPr>
        <w:t>treino (80% = 800 registros)</w:t>
      </w:r>
      <w:r>
        <w:t xml:space="preserve"> e </w:t>
      </w:r>
      <w:r>
        <w:rPr>
          <w:b/>
        </w:rPr>
        <w:t>teste (20% = 200 registros)</w:t>
      </w:r>
      <w:r>
        <w:t xml:space="preserve">, com </w:t>
      </w:r>
      <w:r>
        <w:rPr>
          <w:rFonts w:ascii="Consolas" w:hAnsi="Consolas"/>
          <w:color w:val="B03060"/>
          <w:sz w:val="19"/>
        </w:rPr>
        <w:t>random_state=42</w:t>
      </w:r>
      <w:r>
        <w:t xml:space="preserve"> para reprodutibilidade e estratificação pela variável-alvo:</w:t>
      </w:r>
    </w:p>
    <w:p>
      <w:pPr>
        <w:spacing w:before="80" w:after="160"/>
        <w:ind w:left="288"/>
      </w:pPr>
      <w:r>
        <w:rPr>
          <w:rFonts w:ascii="Consolas" w:hAnsi="Consolas"/>
          <w:sz w:val="18"/>
        </w:rPr>
        <w:t>idx_treino, idx_teste = train_test_split(</w:t>
        <w:br/>
      </w:r>
      <w:r>
        <w:rPr>
          <w:rFonts w:ascii="Consolas" w:hAnsi="Consolas"/>
          <w:sz w:val="18"/>
        </w:rPr>
        <w:t xml:space="preserve">    df.index, test_size=0.2, random_state=SEMENTE, stratify=y)</w:t>
      </w:r>
    </w:p>
    <w:p>
      <w:r>
        <w:t>O particionamento por índice permite recuperar, na fase de integração, as variáveis fuzzy (</w:t>
      </w:r>
      <w:r>
        <w:rPr>
          <w:rFonts w:ascii="Consolas" w:hAnsi="Consolas"/>
          <w:color w:val="B03060"/>
          <w:sz w:val="19"/>
        </w:rPr>
        <w:t>comprometimento</w:t>
      </w:r>
      <w:r>
        <w:t xml:space="preserve">, </w:t>
      </w:r>
      <w:r>
        <w:rPr>
          <w:rFonts w:ascii="Consolas" w:hAnsi="Consolas"/>
          <w:color w:val="B03060"/>
          <w:sz w:val="19"/>
        </w:rPr>
        <w:t>score_historico</w:t>
      </w:r>
      <w:r>
        <w:t>) alinhadas a cada cliente do conjunto de teste.</w:t>
      </w:r>
    </w:p>
    <w:p>
      <w:pPr>
        <w:pStyle w:val="Heading1"/>
      </w:pPr>
      <w:r>
        <w:t>5. Modelo de Machine Learning</w:t>
      </w:r>
    </w:p>
    <w:p>
      <w:pPr>
        <w:pStyle w:val="Heading2"/>
      </w:pPr>
      <w:r>
        <w:t>5.1 Algoritmo e configuração</w:t>
      </w:r>
    </w:p>
    <w:p>
      <w:r>
        <w:t xml:space="preserve">Foi utilizado o </w:t>
      </w:r>
      <w:r>
        <w:rPr>
          <w:rFonts w:ascii="Consolas" w:hAnsi="Consolas"/>
          <w:color w:val="B03060"/>
          <w:sz w:val="19"/>
        </w:rPr>
        <w:t>DecisionTreeClassifier</w:t>
      </w:r>
      <w:r>
        <w:t xml:space="preserve"> da biblioteca *scikit-learn*, com profundidade máxima limitada a 5 níveis (</w:t>
      </w:r>
      <w:r>
        <w:rPr>
          <w:rFonts w:ascii="Consolas" w:hAnsi="Consolas"/>
          <w:color w:val="B03060"/>
          <w:sz w:val="19"/>
        </w:rPr>
        <w:t>max_depth=5</w:t>
      </w:r>
      <w:r>
        <w:t>) para mitigar o sobreajuste (*overfitting*) e favorecer a generalização:</w:t>
      </w:r>
    </w:p>
    <w:p>
      <w:pPr>
        <w:spacing w:before="80" w:after="160"/>
        <w:ind w:left="288"/>
      </w:pPr>
      <w:r>
        <w:rPr>
          <w:rFonts w:ascii="Consolas" w:hAnsi="Consolas"/>
          <w:sz w:val="18"/>
        </w:rPr>
        <w:t>arvore = DecisionTreeClassifier(max_depth=5, random_state=SEMENTE)</w:t>
        <w:br/>
      </w:r>
      <w:r>
        <w:rPr>
          <w:rFonts w:ascii="Consolas" w:hAnsi="Consolas"/>
          <w:sz w:val="18"/>
        </w:rPr>
        <w:t>arvore.fit(X_treino, y_treino)</w:t>
      </w:r>
    </w:p>
    <w:p>
      <w:pPr>
        <w:pStyle w:val="Heading2"/>
      </w:pPr>
      <w:r>
        <w:t>5.2 Métricas de avaliação e seu significado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Métrica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Definição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Acurácia</w:t>
            </w:r>
          </w:p>
        </w:tc>
        <w:tc>
          <w:tcPr>
            <w:tcW w:type="dxa" w:w="4680"/>
          </w:tcPr>
          <w:p>
            <w:r/>
            <w:r>
              <w:t>proporção total de previsões corretas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Matriz de confusão</w:t>
            </w:r>
          </w:p>
        </w:tc>
        <w:tc>
          <w:tcPr>
            <w:tcW w:type="dxa" w:w="4680"/>
          </w:tcPr>
          <w:p>
            <w:r/>
            <w:r>
              <w:t>distribuição de acertos e erros por classe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Precisão</w:t>
            </w:r>
          </w:p>
        </w:tc>
        <w:tc>
          <w:tcPr>
            <w:tcW w:type="dxa" w:w="4680"/>
          </w:tcPr>
          <w:p>
            <w:r/>
            <w:r>
              <w:t>dos classificados como inadimplentes, quantos de fato eram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Recall</w:t>
            </w:r>
          </w:p>
        </w:tc>
        <w:tc>
          <w:tcPr>
            <w:tcW w:type="dxa" w:w="4680"/>
          </w:tcPr>
          <w:p>
            <w:r/>
            <w:r>
              <w:t>dos inadimplentes reais, quantos foram identificados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F1-score</w:t>
            </w:r>
          </w:p>
        </w:tc>
        <w:tc>
          <w:tcPr>
            <w:tcW w:type="dxa" w:w="4680"/>
          </w:tcPr>
          <w:p>
            <w:r/>
            <w:r>
              <w:t>média harmônica entre precisão e recall</w:t>
            </w:r>
          </w:p>
        </w:tc>
      </w:tr>
    </w:tbl>
    <w:p/>
    <w:p>
      <w:r>
        <w:t xml:space="preserve">No domínio de crédito, o </w:t>
      </w:r>
      <w:r>
        <w:rPr>
          <w:b/>
        </w:rPr>
        <w:t>recall da classe inadimplente</w:t>
      </w:r>
      <w:r>
        <w:t xml:space="preserve"> é particularmente relevante, pois deixar de identificar um mau pagador (falso negativo) costuma ter custo superior ao de recusar um bom pagador (falso positivo).</w:t>
      </w:r>
    </w:p>
    <w:p>
      <w:pPr>
        <w:pStyle w:val="Heading2"/>
      </w:pPr>
      <w:r>
        <w:t>5.3 Resultados do modelo</w:t>
      </w:r>
    </w:p>
    <w:p>
      <w:r>
        <w:t xml:space="preserve">O modelo obteve </w:t>
      </w:r>
      <w:r>
        <w:rPr>
          <w:b/>
        </w:rPr>
        <w:t>acurácia de 74,5%</w:t>
      </w:r>
      <w:r>
        <w:t xml:space="preserve"> no conjunto de teste. O relatório de classificação completo: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Classe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Precisão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F1-score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Suporte</w:t>
            </w:r>
          </w:p>
        </w:tc>
      </w:tr>
      <w:tr>
        <w:tc>
          <w:tcPr>
            <w:tcW w:type="dxa" w:w="1872"/>
          </w:tcPr>
          <w:p>
            <w:r/>
            <w:r>
              <w:t>Adimplente (0)</w:t>
            </w:r>
          </w:p>
        </w:tc>
        <w:tc>
          <w:tcPr>
            <w:tcW w:type="dxa" w:w="1872"/>
          </w:tcPr>
          <w:p>
            <w:r/>
            <w:r>
              <w:t>0,79</w:t>
            </w:r>
          </w:p>
        </w:tc>
        <w:tc>
          <w:tcPr>
            <w:tcW w:type="dxa" w:w="1872"/>
          </w:tcPr>
          <w:p>
            <w:r/>
            <w:r>
              <w:t>0,86</w:t>
            </w:r>
          </w:p>
        </w:tc>
        <w:tc>
          <w:tcPr>
            <w:tcW w:type="dxa" w:w="1872"/>
          </w:tcPr>
          <w:p>
            <w:r/>
            <w:r>
              <w:t>0,82</w:t>
            </w:r>
          </w:p>
        </w:tc>
        <w:tc>
          <w:tcPr>
            <w:tcW w:type="dxa" w:w="1872"/>
          </w:tcPr>
          <w:p>
            <w:r/>
            <w:r>
              <w:t>140</w:t>
            </w:r>
          </w:p>
        </w:tc>
      </w:tr>
      <w:tr>
        <w:tc>
          <w:tcPr>
            <w:tcW w:type="dxa" w:w="1872"/>
          </w:tcPr>
          <w:p>
            <w:r/>
            <w:r>
              <w:t>Inadimplente (1)</w:t>
            </w:r>
          </w:p>
        </w:tc>
        <w:tc>
          <w:tcPr>
            <w:tcW w:type="dxa" w:w="1872"/>
          </w:tcPr>
          <w:p>
            <w:r/>
            <w:r>
              <w:t>0,59</w:t>
            </w:r>
          </w:p>
        </w:tc>
        <w:tc>
          <w:tcPr>
            <w:tcW w:type="dxa" w:w="1872"/>
          </w:tcPr>
          <w:p>
            <w:r/>
            <w:r>
              <w:t>0,48</w:t>
            </w:r>
          </w:p>
        </w:tc>
        <w:tc>
          <w:tcPr>
            <w:tcW w:type="dxa" w:w="1872"/>
          </w:tcPr>
          <w:p>
            <w:r/>
            <w:r>
              <w:t>0,53</w:t>
            </w:r>
          </w:p>
        </w:tc>
        <w:tc>
          <w:tcPr>
            <w:tcW w:type="dxa" w:w="1872"/>
          </w:tcPr>
          <w:p>
            <w:r/>
            <w:r>
              <w:t>60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Acurácia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  <w:r>
              <w:rPr>
                <w:b/>
              </w:rPr>
              <w:t>0,74</w:t>
            </w:r>
          </w:p>
        </w:tc>
        <w:tc>
          <w:tcPr>
            <w:tcW w:type="dxa" w:w="1872"/>
          </w:tcPr>
          <w:p>
            <w:r/>
            <w:r>
              <w:t>200</w:t>
            </w:r>
          </w:p>
        </w:tc>
      </w:tr>
      <w:tr>
        <w:tc>
          <w:tcPr>
            <w:tcW w:type="dxa" w:w="1872"/>
          </w:tcPr>
          <w:p>
            <w:r/>
            <w:r>
              <w:t>Média macro</w:t>
            </w:r>
          </w:p>
        </w:tc>
        <w:tc>
          <w:tcPr>
            <w:tcW w:type="dxa" w:w="1872"/>
          </w:tcPr>
          <w:p>
            <w:r/>
            <w:r>
              <w:t>0,69</w:t>
            </w:r>
          </w:p>
        </w:tc>
        <w:tc>
          <w:tcPr>
            <w:tcW w:type="dxa" w:w="1872"/>
          </w:tcPr>
          <w:p>
            <w:r/>
            <w:r>
              <w:t>0,67</w:t>
            </w:r>
          </w:p>
        </w:tc>
        <w:tc>
          <w:tcPr>
            <w:tcW w:type="dxa" w:w="1872"/>
          </w:tcPr>
          <w:p>
            <w:r/>
            <w:r>
              <w:t>0,68</w:t>
            </w:r>
          </w:p>
        </w:tc>
        <w:tc>
          <w:tcPr>
            <w:tcW w:type="dxa" w:w="1872"/>
          </w:tcPr>
          <w:p>
            <w:r/>
            <w:r>
              <w:t>200</w:t>
            </w:r>
          </w:p>
        </w:tc>
      </w:tr>
      <w:tr>
        <w:tc>
          <w:tcPr>
            <w:tcW w:type="dxa" w:w="1872"/>
          </w:tcPr>
          <w:p>
            <w:r/>
            <w:r>
              <w:t>Média ponderada</w:t>
            </w:r>
          </w:p>
        </w:tc>
        <w:tc>
          <w:tcPr>
            <w:tcW w:type="dxa" w:w="1872"/>
          </w:tcPr>
          <w:p>
            <w:r/>
            <w:r>
              <w:t>0,73</w:t>
            </w:r>
          </w:p>
        </w:tc>
        <w:tc>
          <w:tcPr>
            <w:tcW w:type="dxa" w:w="1872"/>
          </w:tcPr>
          <w:p>
            <w:r/>
            <w:r>
              <w:t>0,74</w:t>
            </w:r>
          </w:p>
        </w:tc>
        <w:tc>
          <w:tcPr>
            <w:tcW w:type="dxa" w:w="1872"/>
          </w:tcPr>
          <w:p>
            <w:r/>
            <w:r>
              <w:t>0,74</w:t>
            </w:r>
          </w:p>
        </w:tc>
        <w:tc>
          <w:tcPr>
            <w:tcW w:type="dxa" w:w="1872"/>
          </w:tcPr>
          <w:p>
            <w:r/>
            <w:r>
              <w:t>200</w:t>
            </w:r>
          </w:p>
        </w:tc>
      </w:tr>
    </w:tbl>
    <w:p/>
    <w:p>
      <w:r>
        <w:rPr>
          <w:b/>
        </w:rPr>
        <w:t>Matriz de confusão (conjunto de teste, 200 clientes):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Previsto: Adimplente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Previsto: Inadimplente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Real: Adimplente</w:t>
            </w:r>
          </w:p>
        </w:tc>
        <w:tc>
          <w:tcPr>
            <w:tcW w:type="dxa" w:w="3120"/>
          </w:tcPr>
          <w:p>
            <w:r/>
            <w:r>
              <w:t>120 (VN)</w:t>
            </w:r>
          </w:p>
        </w:tc>
        <w:tc>
          <w:tcPr>
            <w:tcW w:type="dxa" w:w="3120"/>
          </w:tcPr>
          <w:p>
            <w:r/>
            <w:r>
              <w:t>20 (FP)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Real: Inadimplente</w:t>
            </w:r>
          </w:p>
        </w:tc>
        <w:tc>
          <w:tcPr>
            <w:tcW w:type="dxa" w:w="3120"/>
          </w:tcPr>
          <w:p>
            <w:r/>
            <w:r>
              <w:t>31 (FN)</w:t>
            </w:r>
          </w:p>
        </w:tc>
        <w:tc>
          <w:tcPr>
            <w:tcW w:type="dxa" w:w="3120"/>
          </w:tcPr>
          <w:p>
            <w:r/>
            <w:r>
              <w:t>29 (VP)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2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triz_confu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Figura 2 —</w:t>
      </w:r>
      <w:r>
        <w:t xml:space="preserve"> Matriz de confusão no conjunto de teste (200 clientes).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6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v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Figura 3 —</w:t>
      </w:r>
      <w:r>
        <w:t xml:space="preserve"> Três primeiros níveis da Árvore de Decisão treinada, evidenciando as decisões interpretáveis do modelo.</w:t>
      </w:r>
    </w:p>
    <w:p>
      <w:pPr>
        <w:pStyle w:val="Heading2"/>
      </w:pPr>
      <w:r>
        <w:t>5.4 Interpretação</w:t>
      </w:r>
    </w:p>
    <w:p>
      <w:r>
        <w:t xml:space="preserve">O modelo apresenta bom desempenho na identificação de adimplentes (recall 0,86), mas recall de apenas </w:t>
      </w:r>
      <w:r>
        <w:rPr>
          <w:b/>
        </w:rPr>
        <w:t>0,48</w:t>
      </w:r>
      <w:r>
        <w:t xml:space="preserve"> para inadimplentes — identifica menos da metade dos maus pagadores (29 de 60). Esse comportamento é consequência direta do </w:t>
      </w:r>
      <w:r>
        <w:rPr>
          <w:b/>
        </w:rPr>
        <w:t>desbalanceamento da base</w:t>
      </w:r>
      <w:r>
        <w:t xml:space="preserve"> (a classe adimplente domina o aprendizado) e constitui a principal limitação do modelo, discutida na Seção 8.</w:t>
      </w:r>
    </w:p>
    <w:p>
      <w:pPr>
        <w:pStyle w:val="Heading2"/>
      </w:pPr>
      <w:r>
        <w:t>5.5 A ponte entre os modelos</w:t>
      </w:r>
    </w:p>
    <w:p>
      <w:r>
        <w:t xml:space="preserve">O método </w:t>
      </w:r>
      <w:r>
        <w:rPr>
          <w:rFonts w:ascii="Consolas" w:hAnsi="Consolas"/>
          <w:color w:val="B03060"/>
          <w:sz w:val="19"/>
        </w:rPr>
        <w:t>predict_proba</w:t>
      </w:r>
      <w:r>
        <w:t xml:space="preserve"> fornece a probabilidade de inadimplência de cada cliente, em vez de apenas o rótulo. Esse valor (0–100%) é a saída do ML que alimenta o sistema fuzzy:</w:t>
      </w:r>
    </w:p>
    <w:p>
      <w:pPr>
        <w:spacing w:before="80" w:after="160"/>
        <w:ind w:left="288"/>
      </w:pPr>
      <w:r>
        <w:rPr>
          <w:rFonts w:ascii="Consolas" w:hAnsi="Consolas"/>
          <w:sz w:val="18"/>
        </w:rPr>
        <w:t>prob_inadimplencia_teste = arvore.predict_proba(X_teste)[:, 1] * 100</w:t>
      </w:r>
    </w:p>
    <w:p>
      <w:pPr>
        <w:pStyle w:val="Heading1"/>
      </w:pPr>
      <w:r>
        <w:t>6. Sistema de Inferência Fuzzy</w:t>
      </w:r>
    </w:p>
    <w:p>
      <w:r>
        <w:t>Implementado com a biblioteca *scikit-fuzzy* (</w:t>
      </w:r>
      <w:r>
        <w:rPr>
          <w:rFonts w:ascii="Consolas" w:hAnsi="Consolas"/>
          <w:color w:val="B03060"/>
          <w:sz w:val="19"/>
        </w:rPr>
        <w:t>skfuzzy.control</w:t>
      </w:r>
      <w:r>
        <w:t>).</w:t>
      </w:r>
    </w:p>
    <w:p>
      <w:pPr>
        <w:pStyle w:val="Heading2"/>
      </w:pPr>
      <w:r>
        <w:t>6.1 Variáveis e universos de discurso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Variável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Universo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Termos linguísticos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prob_inadimplencia</w:t>
            </w:r>
          </w:p>
        </w:tc>
        <w:tc>
          <w:tcPr>
            <w:tcW w:type="dxa" w:w="2340"/>
          </w:tcPr>
          <w:p>
            <w:r/>
            <w:r>
              <w:t>entrada (antecedente)</w:t>
            </w:r>
          </w:p>
        </w:tc>
        <w:tc>
          <w:tcPr>
            <w:tcW w:type="dxa" w:w="2340"/>
          </w:tcPr>
          <w:p>
            <w:r/>
            <w:r>
              <w:t>0–100</w:t>
            </w:r>
          </w:p>
        </w:tc>
        <w:tc>
          <w:tcPr>
            <w:tcW w:type="dxa" w:w="2340"/>
          </w:tcPr>
          <w:p>
            <w:r/>
            <w:r>
              <w:t>baixa, media, alta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comprometimento</w:t>
            </w:r>
          </w:p>
        </w:tc>
        <w:tc>
          <w:tcPr>
            <w:tcW w:type="dxa" w:w="2340"/>
          </w:tcPr>
          <w:p>
            <w:r/>
            <w:r>
              <w:t>entrada (antecedente)</w:t>
            </w:r>
          </w:p>
        </w:tc>
        <w:tc>
          <w:tcPr>
            <w:tcW w:type="dxa" w:w="2340"/>
          </w:tcPr>
          <w:p>
            <w:r/>
            <w:r>
              <w:t>0–100</w:t>
            </w:r>
          </w:p>
        </w:tc>
        <w:tc>
          <w:tcPr>
            <w:tcW w:type="dxa" w:w="2340"/>
          </w:tcPr>
          <w:p>
            <w:r/>
            <w:r>
              <w:t>baixo, medio, alto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score_historico</w:t>
            </w:r>
          </w:p>
        </w:tc>
        <w:tc>
          <w:tcPr>
            <w:tcW w:type="dxa" w:w="2340"/>
          </w:tcPr>
          <w:p>
            <w:r/>
            <w:r>
              <w:t>entrada (antecedente)</w:t>
            </w:r>
          </w:p>
        </w:tc>
        <w:tc>
          <w:tcPr>
            <w:tcW w:type="dxa" w:w="2340"/>
          </w:tcPr>
          <w:p>
            <w:r/>
            <w:r>
              <w:t>0–100</w:t>
            </w:r>
          </w:p>
        </w:tc>
        <w:tc>
          <w:tcPr>
            <w:tcW w:type="dxa" w:w="2340"/>
          </w:tcPr>
          <w:p>
            <w:r/>
            <w:r>
              <w:t>ruim, regular, bom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risco_credito</w:t>
            </w:r>
          </w:p>
        </w:tc>
        <w:tc>
          <w:tcPr>
            <w:tcW w:type="dxa" w:w="2340"/>
          </w:tcPr>
          <w:p>
            <w:r/>
            <w:r>
              <w:t>saída (consequente)</w:t>
            </w:r>
          </w:p>
        </w:tc>
        <w:tc>
          <w:tcPr>
            <w:tcW w:type="dxa" w:w="2340"/>
          </w:tcPr>
          <w:p>
            <w:r/>
            <w:r>
              <w:t>0–100</w:t>
            </w:r>
          </w:p>
        </w:tc>
        <w:tc>
          <w:tcPr>
            <w:tcW w:type="dxa" w:w="2340"/>
          </w:tcPr>
          <w:p>
            <w:r/>
            <w:r>
              <w:t>baixo, medio, alto</w:t>
            </w:r>
          </w:p>
        </w:tc>
      </w:tr>
    </w:tbl>
    <w:p/>
    <w:p>
      <w:pPr>
        <w:pStyle w:val="Heading2"/>
      </w:pPr>
      <w:r>
        <w:t>6.2 Funções de pertinência</w:t>
      </w:r>
    </w:p>
    <w:p>
      <w:r>
        <w:t xml:space="preserve">Foram adotadas funções </w:t>
      </w:r>
      <w:r>
        <w:rPr>
          <w:b/>
        </w:rPr>
        <w:t>triangulares</w:t>
      </w:r>
      <w:r>
        <w:t xml:space="preserve"> (</w:t>
      </w:r>
      <w:r>
        <w:rPr>
          <w:rFonts w:ascii="Consolas" w:hAnsi="Consolas"/>
          <w:color w:val="B03060"/>
          <w:sz w:val="19"/>
        </w:rPr>
        <w:t>trimf</w:t>
      </w:r>
      <w:r>
        <w:t>), conforme preferência do enunciado. Exemplo para a probabilidade de inadimplência:</w:t>
      </w:r>
    </w:p>
    <w:p>
      <w:pPr>
        <w:spacing w:before="80" w:after="160"/>
        <w:ind w:left="288"/>
      </w:pPr>
      <w:r>
        <w:rPr>
          <w:rFonts w:ascii="Consolas" w:hAnsi="Consolas"/>
          <w:sz w:val="18"/>
        </w:rPr>
        <w:t>prob['baixa'] = fuzz.trimf(prob.universe, [0, 0, 40])</w:t>
        <w:br/>
      </w:r>
      <w:r>
        <w:rPr>
          <w:rFonts w:ascii="Consolas" w:hAnsi="Consolas"/>
          <w:sz w:val="18"/>
        </w:rPr>
        <w:t>prob['media'] = fuzz.trimf(prob.universe, [20, 50, 80])</w:t>
        <w:br/>
      </w:r>
      <w:r>
        <w:rPr>
          <w:rFonts w:ascii="Consolas" w:hAnsi="Consolas"/>
          <w:sz w:val="18"/>
        </w:rPr>
        <w:t>prob['alta']  = fuzz.trimf(prob.universe, [60, 100, 100])</w:t>
      </w:r>
    </w:p>
    <w:p>
      <w:r>
        <w:t>As três funções de cada variável cobrem integralmente o universo 0–100 e se sobrepõem, permitindo pertinência parcial simultânea.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rtinenc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Figura 4 —</w:t>
      </w:r>
      <w:r>
        <w:t xml:space="preserve"> Funções de pertinência triangulares das três variáveis de entrada e da variável de saída.</w:t>
      </w:r>
    </w:p>
    <w:p>
      <w:r>
        <w:t xml:space="preserve">A defuzzificação foi definida explicitamente como </w:t>
      </w:r>
      <w:r>
        <w:rPr>
          <w:b/>
        </w:rPr>
        <w:t>centroide</w:t>
      </w:r>
      <w:r>
        <w:t>:</w:t>
      </w:r>
    </w:p>
    <w:p>
      <w:pPr>
        <w:spacing w:before="80" w:after="160"/>
        <w:ind w:left="288"/>
      </w:pPr>
      <w:r>
        <w:rPr>
          <w:rFonts w:ascii="Consolas" w:hAnsi="Consolas"/>
          <w:sz w:val="18"/>
        </w:rPr>
        <w:t>risco.defuzzify_method = 'centroid'</w:t>
      </w:r>
    </w:p>
    <w:p>
      <w:pPr>
        <w:pStyle w:val="Heading2"/>
      </w:pPr>
      <w:r>
        <w:t>6.3 Base de regras</w:t>
      </w:r>
    </w:p>
    <w:p>
      <w:r>
        <w:t xml:space="preserve">Foram definidas </w:t>
      </w:r>
      <w:r>
        <w:rPr>
          <w:b/>
        </w:rPr>
        <w:t>9 regras próprias</w:t>
      </w:r>
      <w:r>
        <w:t>, organizadas em dois grupos. As três primeiras (regras-base) ancoram a decisão na probabilidade do modelo de ML e garantem que, para qualquer entrada, ao menos uma regra seja ativada (cobertura completa). As seis seguintes (refinamento) ajustam o risco conforme o comprometimento e o histórico, à semelhança do julgamento de um analista de crédito.</w:t>
      </w:r>
    </w:p>
    <w:p>
      <w:pPr>
        <w:spacing w:before="80" w:after="160"/>
        <w:ind w:left="288"/>
      </w:pPr>
      <w:r>
        <w:rPr>
          <w:rFonts w:ascii="Consolas" w:hAnsi="Consolas"/>
          <w:sz w:val="18"/>
        </w:rPr>
        <w:t># Regras-base (cobertura, ancoradas no ML)</w:t>
        <w:br/>
      </w:r>
      <w:r>
        <w:rPr>
          <w:rFonts w:ascii="Consolas" w:hAnsi="Consolas"/>
          <w:sz w:val="18"/>
        </w:rPr>
        <w:t>r1 = ctrl.Rule(prob['alta'],  risco['alto'])</w:t>
        <w:br/>
      </w:r>
      <w:r>
        <w:rPr>
          <w:rFonts w:ascii="Consolas" w:hAnsi="Consolas"/>
          <w:sz w:val="18"/>
        </w:rPr>
        <w:t>r2 = ctrl.Rule(prob['media'], risco['medio'])</w:t>
        <w:br/>
      </w:r>
      <w:r>
        <w:rPr>
          <w:rFonts w:ascii="Consolas" w:hAnsi="Consolas"/>
          <w:sz w:val="18"/>
        </w:rPr>
        <w:t>r3 = ctrl.Rule(prob['baixa'], risco['baixo'])</w:t>
        <w:br/>
      </w:r>
      <w:r>
        <w:rPr>
          <w:rFonts w:ascii="Consolas" w:hAnsi="Consolas"/>
          <w:sz w:val="18"/>
        </w:rPr>
        <w:t># Regras de refinamento</w:t>
        <w:br/>
      </w:r>
      <w:r>
        <w:rPr>
          <w:rFonts w:ascii="Consolas" w:hAnsi="Consolas"/>
          <w:sz w:val="18"/>
        </w:rPr>
        <w:t>r4 = ctrl.Rule(prob['alta']  &amp; comp['alto'],  risco['alto'])</w:t>
        <w:br/>
      </w:r>
      <w:r>
        <w:rPr>
          <w:rFonts w:ascii="Consolas" w:hAnsi="Consolas"/>
          <w:sz w:val="18"/>
        </w:rPr>
        <w:t>r5 = ctrl.Rule(prob['alta']  &amp; hist['ruim'],  risco['alto'])</w:t>
        <w:br/>
      </w:r>
      <w:r>
        <w:rPr>
          <w:rFonts w:ascii="Consolas" w:hAnsi="Consolas"/>
          <w:sz w:val="18"/>
        </w:rPr>
        <w:t>r6 = ctrl.Rule(prob['baixa'] &amp; hist['bom'],   risco['baixo'])</w:t>
        <w:br/>
      </w:r>
      <w:r>
        <w:rPr>
          <w:rFonts w:ascii="Consolas" w:hAnsi="Consolas"/>
          <w:sz w:val="18"/>
        </w:rPr>
        <w:t>r7 = ctrl.Rule(prob['baixa'] &amp; comp['baixo'], risco['baixo'])</w:t>
        <w:br/>
      </w:r>
      <w:r>
        <w:rPr>
          <w:rFonts w:ascii="Consolas" w:hAnsi="Consolas"/>
          <w:sz w:val="18"/>
        </w:rPr>
        <w:t>r8 = ctrl.Rule(prob['media'] &amp; hist['regular'], risco['medio'])</w:t>
        <w:br/>
      </w:r>
      <w:r>
        <w:rPr>
          <w:rFonts w:ascii="Consolas" w:hAnsi="Consolas"/>
          <w:sz w:val="18"/>
        </w:rPr>
        <w:t>r9 = ctrl.Rule(prob['media'] &amp; comp['medio'] &amp; hist['regular'], risco['medio'])</w:t>
      </w:r>
    </w:p>
    <w:p>
      <w:r>
        <w:t>O enunciado exige no mínimo 6 regras; foram utilizadas 9 para tornar o sistema robusto e realista.</w:t>
      </w:r>
    </w:p>
    <w:p>
      <w:pPr>
        <w:pStyle w:val="Heading2"/>
      </w:pPr>
      <w:r>
        <w:t>6.4 Processo de inferência</w:t>
      </w:r>
    </w:p>
    <w:p>
      <w:r>
        <w:t xml:space="preserve">Para cada cliente, o simulador executa as três etapas — </w:t>
      </w:r>
      <w:r>
        <w:rPr>
          <w:b/>
        </w:rPr>
        <w:t>fuzzificação → inferência → defuzzificação</w:t>
      </w:r>
      <w:r>
        <w:t xml:space="preserve"> — produzindo um valor numérico de risco (0–100), posteriormente rotulado: ≤ 33 baixo, ≤ 66 médio, &gt; 66 alto. Uma rede de segurança (</w:t>
      </w:r>
      <w:r>
        <w:rPr>
          <w:rFonts w:ascii="Consolas" w:hAnsi="Consolas"/>
          <w:color w:val="B03060"/>
          <w:sz w:val="19"/>
        </w:rPr>
        <w:t>try/except</w:t>
      </w:r>
      <w:r>
        <w:t xml:space="preserve">) contabiliza eventuais entradas sem regra ativa; na execução, esse contador permaneceu em </w:t>
      </w:r>
      <w:r>
        <w:rPr>
          <w:b/>
        </w:rPr>
        <w:t>zero</w:t>
      </w:r>
      <w:r>
        <w:t>, confirmando a cobertura completa da base de regras.</w:t>
      </w:r>
    </w:p>
    <w:p>
      <w:pPr>
        <w:pStyle w:val="Heading1"/>
      </w:pPr>
      <w:r>
        <w:t>7. Integração ML → Fuzzy</w:t>
      </w:r>
    </w:p>
    <w:p>
      <w:pPr>
        <w:pStyle w:val="Heading2"/>
      </w:pPr>
      <w:r>
        <w:t>7.1 Estratégia (Abordagem B — Integração)</w:t>
      </w:r>
    </w:p>
    <w:p>
      <w:r>
        <w:t xml:space="preserve">Adotou-se a </w:t>
      </w:r>
      <w:r>
        <w:rPr>
          <w:b/>
        </w:rPr>
        <w:t>Integração</w:t>
      </w:r>
      <w:r>
        <w:t xml:space="preserve">: a saída do modelo de Machine Learning (probabilidade de inadimplência) é utilizada como </w:t>
      </w:r>
      <w:r>
        <w:rPr>
          <w:b/>
        </w:rPr>
        <w:t>entrada</w:t>
      </w:r>
      <w:r>
        <w:t xml:space="preserve"> do sistema fuzzy, que a combina ao comprometimento e ao histórico para gerar o risco final. O fluxo completo:</w:t>
      </w:r>
    </w:p>
    <w:p>
      <w:pPr>
        <w:spacing w:before="80" w:after="160"/>
        <w:ind w:left="288"/>
      </w:pPr>
      <w:r>
        <w:rPr>
          <w:rFonts w:ascii="Consolas" w:hAnsi="Consolas"/>
          <w:sz w:val="18"/>
        </w:rPr>
        <w:t>Dados do cliente → [Árvore de Decisão] → prob. inadimplência (0–100%)</w:t>
        <w:br/>
      </w:r>
      <w:r>
        <w:rPr>
          <w:rFonts w:ascii="Consolas" w:hAnsi="Consolas"/>
          <w:sz w:val="18"/>
        </w:rPr>
        <w:t xml:space="preserve">                 → [Sistema Fuzzy: prob + comprometimento + histórico]</w:t>
        <w:br/>
      </w:r>
      <w:r>
        <w:rPr>
          <w:rFonts w:ascii="Consolas" w:hAnsi="Consolas"/>
          <w:sz w:val="18"/>
        </w:rPr>
        <w:t xml:space="preserve">                 → Risco final (baixo / médio / alto)</w:t>
      </w:r>
    </w:p>
    <w:p>
      <w:pPr>
        <w:spacing w:before="80" w:after="160"/>
        <w:ind w:left="288"/>
      </w:pPr>
      <w:r>
        <w:rPr>
          <w:rFonts w:ascii="Consolas" w:hAnsi="Consolas"/>
          <w:sz w:val="18"/>
        </w:rPr>
        <w:t>def classificar_risco(p, c, s):</w:t>
        <w:br/>
      </w:r>
      <w:r>
        <w:rPr>
          <w:rFonts w:ascii="Consolas" w:hAnsi="Consolas"/>
          <w:sz w:val="18"/>
        </w:rPr>
        <w:t xml:space="preserve">    simulador.input['prob_inadimplencia'] = p</w:t>
        <w:br/>
      </w:r>
      <w:r>
        <w:rPr>
          <w:rFonts w:ascii="Consolas" w:hAnsi="Consolas"/>
          <w:sz w:val="18"/>
        </w:rPr>
        <w:t xml:space="preserve">    simulador.input['comprometimento']   = c</w:t>
        <w:br/>
      </w:r>
      <w:r>
        <w:rPr>
          <w:rFonts w:ascii="Consolas" w:hAnsi="Consolas"/>
          <w:sz w:val="18"/>
        </w:rPr>
        <w:t xml:space="preserve">    simulador.input['score_historico']   = s</w:t>
        <w:br/>
      </w:r>
      <w:r>
        <w:rPr>
          <w:rFonts w:ascii="Consolas" w:hAnsi="Consolas"/>
          <w:sz w:val="18"/>
        </w:rPr>
        <w:t xml:space="preserve">    simulador.compute()                       # fuzzificação + inferência + defuzzificação</w:t>
        <w:br/>
      </w:r>
      <w:r>
        <w:rPr>
          <w:rFonts w:ascii="Consolas" w:hAnsi="Consolas"/>
          <w:sz w:val="18"/>
        </w:rPr>
        <w:t xml:space="preserve">    return simulador.output['risco_credito']</w:t>
      </w:r>
    </w:p>
    <w:p>
      <w:pPr>
        <w:pStyle w:val="Heading2"/>
      </w:pPr>
      <w:r>
        <w:t>7.2 Aplicação ao conjunto de teste</w:t>
      </w:r>
    </w:p>
    <w:p>
      <w:r>
        <w:t>O sistema integrado foi aplicado aos 200 clientes do conjunto de teste. Verificou-se que a faixa de risco atribuída é coerente com a inadimplência real observada (a faixa "alto" concentra maior taxa de inadimplência que a faixa "baixo").</w:t>
      </w:r>
    </w:p>
    <w:p>
      <w:pPr>
        <w:pStyle w:val="Heading1"/>
      </w:pPr>
      <w:r>
        <w:t>8. Resultados e Discussão</w:t>
      </w:r>
    </w:p>
    <w:p>
      <w:pPr>
        <w:pStyle w:val="Heading2"/>
      </w:pPr>
      <w:r>
        <w:t>8.1 Coerência do sistema (cenários de teste)</w:t>
      </w:r>
    </w:p>
    <w:p>
      <w:r>
        <w:t>Quatro perfis representativos foram submetidos ao sistema fuzzy: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Perfil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Prob. (%)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Comprom. (%)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Risco (valor)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Classificação</w:t>
            </w:r>
          </w:p>
        </w:tc>
      </w:tr>
      <w:tr>
        <w:tc>
          <w:tcPr>
            <w:tcW w:type="dxa" w:w="1560"/>
          </w:tcPr>
          <w:p>
            <w:r/>
            <w:r>
              <w:t>Cliente ótimo</w:t>
            </w:r>
          </w:p>
        </w:tc>
        <w:tc>
          <w:tcPr>
            <w:tcW w:type="dxa" w:w="1560"/>
          </w:tcPr>
          <w:p>
            <w:r/>
            <w:r>
              <w:t>10</w:t>
            </w:r>
          </w:p>
        </w:tc>
        <w:tc>
          <w:tcPr>
            <w:tcW w:type="dxa" w:w="1560"/>
          </w:tcPr>
          <w:p>
            <w:r/>
            <w:r>
              <w:t>20</w:t>
            </w:r>
          </w:p>
        </w:tc>
        <w:tc>
          <w:tcPr>
            <w:tcW w:type="dxa" w:w="1560"/>
          </w:tcPr>
          <w:p>
            <w:r/>
            <w:r>
              <w:t>90</w:t>
            </w:r>
          </w:p>
        </w:tc>
        <w:tc>
          <w:tcPr>
            <w:tcW w:type="dxa" w:w="1560"/>
          </w:tcPr>
          <w:p>
            <w:r/>
            <w:r>
              <w:t>14,0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BAIXO</w:t>
            </w:r>
          </w:p>
        </w:tc>
      </w:tr>
      <w:tr>
        <w:tc>
          <w:tcPr>
            <w:tcW w:type="dxa" w:w="1560"/>
          </w:tcPr>
          <w:p>
            <w:r/>
            <w:r>
              <w:t>Cliente mediano</w:t>
            </w:r>
          </w:p>
        </w:tc>
        <w:tc>
          <w:tcPr>
            <w:tcW w:type="dxa" w:w="1560"/>
          </w:tcPr>
          <w:p>
            <w:r/>
            <w:r>
              <w:t>45</w:t>
            </w:r>
          </w:p>
        </w:tc>
        <w:tc>
          <w:tcPr>
            <w:tcW w:type="dxa" w:w="1560"/>
          </w:tcPr>
          <w:p>
            <w:r/>
            <w:r>
              <w:t>50</w:t>
            </w:r>
          </w:p>
        </w:tc>
        <w:tc>
          <w:tcPr>
            <w:tcW w:type="dxa" w:w="1560"/>
          </w:tcPr>
          <w:p>
            <w:r/>
            <w:r>
              <w:t>50</w:t>
            </w:r>
          </w:p>
        </w:tc>
        <w:tc>
          <w:tcPr>
            <w:tcW w:type="dxa" w:w="1560"/>
          </w:tcPr>
          <w:p>
            <w:r/>
            <w:r>
              <w:t>50,0</w:t>
            </w:r>
          </w:p>
        </w:tc>
        <w:tc>
          <w:tcPr>
            <w:tcW w:type="dxa" w:w="1560"/>
          </w:tcPr>
          <w:p>
            <w:r/>
            <w:r>
              <w:t>MÉDIO</w:t>
            </w:r>
          </w:p>
        </w:tc>
      </w:tr>
      <w:tr>
        <w:tc>
          <w:tcPr>
            <w:tcW w:type="dxa" w:w="1560"/>
          </w:tcPr>
          <w:p>
            <w:r/>
            <w:r>
              <w:t>Cliente ruim</w:t>
            </w:r>
          </w:p>
        </w:tc>
        <w:tc>
          <w:tcPr>
            <w:tcW w:type="dxa" w:w="1560"/>
          </w:tcPr>
          <w:p>
            <w:r/>
            <w:r>
              <w:t>80</w:t>
            </w:r>
          </w:p>
        </w:tc>
        <w:tc>
          <w:tcPr>
            <w:tcW w:type="dxa" w:w="1560"/>
          </w:tcPr>
          <w:p>
            <w:r/>
            <w:r>
              <w:t>75</w:t>
            </w:r>
          </w:p>
        </w:tc>
        <w:tc>
          <w:tcPr>
            <w:tcW w:type="dxa" w:w="1560"/>
          </w:tcPr>
          <w:p>
            <w:r/>
            <w:r>
              <w:t>20</w:t>
            </w:r>
          </w:p>
        </w:tc>
        <w:tc>
          <w:tcPr>
            <w:tcW w:type="dxa" w:w="1560"/>
          </w:tcPr>
          <w:p>
            <w:r/>
            <w:r>
              <w:t>84,4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ALTO</w:t>
            </w:r>
          </w:p>
        </w:tc>
      </w:tr>
      <w:tr>
        <w:tc>
          <w:tcPr>
            <w:tcW w:type="dxa" w:w="1560"/>
          </w:tcPr>
          <w:p>
            <w:r/>
            <w:r>
              <w:t>Cliente ambíguo</w:t>
            </w:r>
          </w:p>
        </w:tc>
        <w:tc>
          <w:tcPr>
            <w:tcW w:type="dxa" w:w="1560"/>
          </w:tcPr>
          <w:p>
            <w:r/>
            <w:r>
              <w:t>55</w:t>
            </w:r>
          </w:p>
        </w:tc>
        <w:tc>
          <w:tcPr>
            <w:tcW w:type="dxa" w:w="1560"/>
          </w:tcPr>
          <w:p>
            <w:r/>
            <w:r>
              <w:t>30</w:t>
            </w:r>
          </w:p>
        </w:tc>
        <w:tc>
          <w:tcPr>
            <w:tcW w:type="dxa" w:w="1560"/>
          </w:tcPr>
          <w:p>
            <w:r/>
            <w:r>
              <w:t>70</w:t>
            </w:r>
          </w:p>
        </w:tc>
        <w:tc>
          <w:tcPr>
            <w:tcW w:type="dxa" w:w="1560"/>
          </w:tcPr>
          <w:p>
            <w:r/>
            <w:r>
              <w:t>50,0</w:t>
            </w:r>
          </w:p>
        </w:tc>
        <w:tc>
          <w:tcPr>
            <w:tcW w:type="dxa" w:w="1560"/>
          </w:tcPr>
          <w:p>
            <w:r/>
            <w:r>
              <w:t>MÉDIO</w:t>
            </w:r>
          </w:p>
        </w:tc>
      </w:tr>
    </w:tbl>
    <w:p/>
    <w:p>
      <w:r>
        <w:t>Os resultados são coerentes: perfis claramente bons recebem risco baixo e perfis claramente ruins recebem risco alto, com gradação suave para os casos intermediários.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fuzzific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Figura 5 —</w:t>
      </w:r>
      <w:r>
        <w:t xml:space="preserve"> Defuzzificação pelo método do centroide para o perfil "cliente ruim", resultando em risco 84,4 (ALTO).</w:t>
      </w:r>
    </w:p>
    <w:p>
      <w:r>
        <w:t>A distribuição do risco final atribuído aos 200 clientes do conjunto de teste — 93 de risco baixo, 84 médio e 23 alto — confirma que o sistema discrimina os perfis em vez de concentrar todos numa única faixa.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stribuicao_ris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Figura 6 —</w:t>
      </w:r>
      <w:r>
        <w:t xml:space="preserve"> Distribuição das classificações de risco produzidas pelo sistema integrado no conjunto de teste.</w:t>
      </w:r>
    </w:p>
    <w:p>
      <w:pPr>
        <w:pStyle w:val="Heading2"/>
      </w:pPr>
      <w:r>
        <w:t>8.2 Valor agregado da integração</w:t>
      </w:r>
    </w:p>
    <w:p>
      <w:r>
        <w:t xml:space="preserve">Para evidenciar que a camada fuzzy não apenas "reembrulha" a saída do modelo, comparou-se o risco final com a classificação que resultaria de usar </w:t>
      </w:r>
      <w:r>
        <w:rPr>
          <w:b/>
        </w:rPr>
        <w:t>apenas a probabilidade do ML</w:t>
      </w:r>
      <w:r>
        <w:t xml:space="preserve">. O sistema fuzzy </w:t>
      </w:r>
      <w:r>
        <w:rPr>
          <w:b/>
        </w:rPr>
        <w:t>alterou a classificação de 56 dos 200 clientes (28%)</w:t>
      </w:r>
      <w:r>
        <w:t>. Exemplos: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Cliente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Prob. (%)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Comprom. (%)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Só ML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Integrado</w:t>
            </w:r>
          </w:p>
        </w:tc>
      </w:tr>
      <w:tr>
        <w:tc>
          <w:tcPr>
            <w:tcW w:type="dxa" w:w="1560"/>
          </w:tcPr>
          <w:p>
            <w:r/>
            <w:r>
              <w:t>30</w:t>
            </w:r>
          </w:p>
        </w:tc>
        <w:tc>
          <w:tcPr>
            <w:tcW w:type="dxa" w:w="1560"/>
          </w:tcPr>
          <w:p>
            <w:r/>
            <w:r>
              <w:t>31,3</w:t>
            </w:r>
          </w:p>
        </w:tc>
        <w:tc>
          <w:tcPr>
            <w:tcW w:type="dxa" w:w="1560"/>
          </w:tcPr>
          <w:p>
            <w:r/>
            <w:r>
              <w:t>66,7</w:t>
            </w:r>
          </w:p>
        </w:tc>
        <w:tc>
          <w:tcPr>
            <w:tcW w:type="dxa" w:w="1560"/>
          </w:tcPr>
          <w:p>
            <w:r/>
            <w:r>
              <w:t>70</w:t>
            </w:r>
          </w:p>
        </w:tc>
        <w:tc>
          <w:tcPr>
            <w:tcW w:type="dxa" w:w="1560"/>
          </w:tcPr>
          <w:p>
            <w:r/>
            <w:r>
              <w:t>baixo</w:t>
            </w:r>
          </w:p>
        </w:tc>
        <w:tc>
          <w:tcPr>
            <w:tcW w:type="dxa" w:w="1560"/>
          </w:tcPr>
          <w:p>
            <w:r/>
            <w:r>
              <w:t>médio</w:t>
            </w:r>
          </w:p>
        </w:tc>
      </w:tr>
      <w:tr>
        <w:tc>
          <w:tcPr>
            <w:tcW w:type="dxa" w:w="1560"/>
          </w:tcPr>
          <w:p>
            <w:r/>
            <w:r>
              <w:t>128</w:t>
            </w:r>
          </w:p>
        </w:tc>
        <w:tc>
          <w:tcPr>
            <w:tcW w:type="dxa" w:w="1560"/>
          </w:tcPr>
          <w:p>
            <w:r/>
            <w:r>
              <w:t>31,3</w:t>
            </w:r>
          </w:p>
        </w:tc>
        <w:tc>
          <w:tcPr>
            <w:tcW w:type="dxa" w:w="1560"/>
          </w:tcPr>
          <w:p>
            <w:r/>
            <w:r>
              <w:t>100,0</w:t>
            </w:r>
          </w:p>
        </w:tc>
        <w:tc>
          <w:tcPr>
            <w:tcW w:type="dxa" w:w="1560"/>
          </w:tcPr>
          <w:p>
            <w:r/>
            <w:r>
              <w:t>10</w:t>
            </w:r>
          </w:p>
        </w:tc>
        <w:tc>
          <w:tcPr>
            <w:tcW w:type="dxa" w:w="1560"/>
          </w:tcPr>
          <w:p>
            <w:r/>
            <w:r>
              <w:t>baixo</w:t>
            </w:r>
          </w:p>
        </w:tc>
        <w:tc>
          <w:tcPr>
            <w:tcW w:type="dxa" w:w="1560"/>
          </w:tcPr>
          <w:p>
            <w:r/>
            <w:r>
              <w:t>médio</w:t>
            </w:r>
          </w:p>
        </w:tc>
      </w:tr>
      <w:tr>
        <w:tc>
          <w:tcPr>
            <w:tcW w:type="dxa" w:w="1560"/>
          </w:tcPr>
          <w:p>
            <w:r/>
            <w:r>
              <w:t>346</w:t>
            </w:r>
          </w:p>
        </w:tc>
        <w:tc>
          <w:tcPr>
            <w:tcW w:type="dxa" w:w="1560"/>
          </w:tcPr>
          <w:p>
            <w:r/>
            <w:r>
              <w:t>66,7</w:t>
            </w:r>
          </w:p>
        </w:tc>
        <w:tc>
          <w:tcPr>
            <w:tcW w:type="dxa" w:w="1560"/>
          </w:tcPr>
          <w:p>
            <w:r/>
            <w:r>
              <w:t>100,0</w:t>
            </w:r>
          </w:p>
        </w:tc>
        <w:tc>
          <w:tcPr>
            <w:tcW w:type="dxa" w:w="1560"/>
          </w:tcPr>
          <w:p>
            <w:r/>
            <w:r>
              <w:t>10</w:t>
            </w:r>
          </w:p>
        </w:tc>
        <w:tc>
          <w:tcPr>
            <w:tcW w:type="dxa" w:w="1560"/>
          </w:tcPr>
          <w:p>
            <w:r/>
            <w:r>
              <w:t>alto</w:t>
            </w:r>
          </w:p>
        </w:tc>
        <w:tc>
          <w:tcPr>
            <w:tcW w:type="dxa" w:w="1560"/>
          </w:tcPr>
          <w:p>
            <w:r/>
            <w:r>
              <w:t>médio</w:t>
            </w:r>
          </w:p>
        </w:tc>
      </w:tr>
      <w:tr>
        <w:tc>
          <w:tcPr>
            <w:tcW w:type="dxa" w:w="1560"/>
          </w:tcPr>
          <w:p>
            <w:r/>
            <w:r>
              <w:t>537</w:t>
            </w:r>
          </w:p>
        </w:tc>
        <w:tc>
          <w:tcPr>
            <w:tcW w:type="dxa" w:w="1560"/>
          </w:tcPr>
          <w:p>
            <w:r/>
            <w:r>
              <w:t>31,3</w:t>
            </w:r>
          </w:p>
        </w:tc>
        <w:tc>
          <w:tcPr>
            <w:tcW w:type="dxa" w:w="1560"/>
          </w:tcPr>
          <w:p>
            <w:r/>
            <w:r>
              <w:t>66,7</w:t>
            </w:r>
          </w:p>
        </w:tc>
        <w:tc>
          <w:tcPr>
            <w:tcW w:type="dxa" w:w="1560"/>
          </w:tcPr>
          <w:p>
            <w:r/>
            <w:r>
              <w:t>10</w:t>
            </w:r>
          </w:p>
        </w:tc>
        <w:tc>
          <w:tcPr>
            <w:tcW w:type="dxa" w:w="1560"/>
          </w:tcPr>
          <w:p>
            <w:r/>
            <w:r>
              <w:t>baixo</w:t>
            </w:r>
          </w:p>
        </w:tc>
        <w:tc>
          <w:tcPr>
            <w:tcW w:type="dxa" w:w="1560"/>
          </w:tcPr>
          <w:p>
            <w:r/>
            <w:r>
              <w:t>médio</w:t>
            </w:r>
          </w:p>
        </w:tc>
      </w:tr>
    </w:tbl>
    <w:p/>
    <w:p>
      <w:r>
        <w:t xml:space="preserve">Nesses casos, o comprometimento elevado e/ou o histórico ruim </w:t>
      </w:r>
      <w:r>
        <w:rPr>
          <w:b/>
        </w:rPr>
        <w:t>deslocaram o risco para cima</w:t>
      </w:r>
      <w:r>
        <w:t xml:space="preserve"> (clientes 30, 128, 537), enquanto, no cliente 346, a combinação de fatores moderou um risco que o ML isolado classificaria como alto. Isso demonstra concretamente o ganho de </w:t>
      </w:r>
      <w:r>
        <w:rPr>
          <w:b/>
        </w:rPr>
        <w:t>interpretabilidade e ajuste por regras de negócio</w:t>
      </w:r>
      <w:r>
        <w:t xml:space="preserve"> proporcionado pela integração.</w:t>
      </w:r>
    </w:p>
    <w:p>
      <w:pPr>
        <w:pStyle w:val="Heading2"/>
      </w:pPr>
      <w:r>
        <w:t>8.3 Limitações</w:t>
      </w:r>
    </w:p>
    <w:p>
      <w:pPr>
        <w:pStyle w:val="ListBullet"/>
      </w:pPr>
      <w:r>
        <w:rPr>
          <w:b/>
        </w:rPr>
        <w:t>Desbalanceamento da base:</w:t>
      </w:r>
      <w:r>
        <w:t xml:space="preserve"> com 70% de adimplentes, o modelo tende a favorecer essa classe, resultando em baixo recall (0,48) para inadimplentes — meta-problema relevante no domínio de crédito.</w:t>
      </w:r>
    </w:p>
    <w:p>
      <w:pPr>
        <w:pStyle w:val="ListBullet"/>
      </w:pPr>
      <w:r>
        <w:rPr>
          <w:b/>
        </w:rPr>
        <w:t>Antiguidade e contexto da base:</w:t>
      </w:r>
      <w:r>
        <w:t xml:space="preserve"> dados da década de 1990 do mercado alemão.</w:t>
      </w:r>
    </w:p>
    <w:p>
      <w:pPr>
        <w:pStyle w:val="ListBullet"/>
      </w:pPr>
      <w:r>
        <w:rPr>
          <w:b/>
        </w:rPr>
        <w:t>Subjetividade do projeto fuzzy:</w:t>
      </w:r>
      <w:r>
        <w:t xml:space="preserve"> funções de pertinência e limiares de faixa (33/66) foram definidos pela equipe; são, por natureza, subjetivos.</w:t>
      </w:r>
    </w:p>
    <w:p>
      <w:pPr>
        <w:pStyle w:val="ListBullet"/>
      </w:pPr>
      <w:r>
        <w:rPr>
          <w:b/>
        </w:rPr>
        <w:t>Codificação nominal:</w:t>
      </w:r>
      <w:r>
        <w:t xml:space="preserve"> o </w:t>
      </w:r>
      <w:r>
        <w:rPr>
          <w:rFonts w:ascii="Consolas" w:hAnsi="Consolas"/>
          <w:color w:val="B03060"/>
          <w:sz w:val="19"/>
        </w:rPr>
        <w:t>LabelEncoder</w:t>
      </w:r>
      <w:r>
        <w:t xml:space="preserve"> impõe ordem numérica artificial a variáveis nominais (ex.: finalidade do crédito); para a Árvore de Decisão o impacto é reduzido, mas o ideal seria *one-hot encoding*.</w:t>
      </w:r>
    </w:p>
    <w:p>
      <w:pPr>
        <w:pStyle w:val="ListBullet"/>
      </w:pPr>
      <w:r>
        <w:rPr>
          <w:b/>
        </w:rPr>
        <w:t>Redundância intencional:</w:t>
      </w:r>
      <w:r>
        <w:t xml:space="preserve"> a probabilidade do ML já incorpora, implicitamente, comprometimento e histórico; reutilizá-los no fuzzy é uma decisão deliberada, voltada à interpretabilidade, e não uma duplicação acidental.</w:t>
      </w:r>
    </w:p>
    <w:p>
      <w:pPr>
        <w:pStyle w:val="Heading2"/>
      </w:pPr>
      <w:r>
        <w:t>8.4 Melhorias futuras</w:t>
      </w:r>
    </w:p>
    <w:p>
      <w:pPr>
        <w:pStyle w:val="ListBullet"/>
      </w:pPr>
      <w:r>
        <w:t xml:space="preserve">Aplicar técnicas de balanceamento (ex.: SMOTE) ou ajuste de </w:t>
      </w:r>
      <w:r>
        <w:rPr>
          <w:rFonts w:ascii="Consolas" w:hAnsi="Consolas"/>
          <w:color w:val="B03060"/>
          <w:sz w:val="19"/>
        </w:rPr>
        <w:t>class_weight</w:t>
      </w:r>
      <w:r>
        <w:t xml:space="preserve"> para elevar o recall de inadimplentes.</w:t>
      </w:r>
    </w:p>
    <w:p>
      <w:pPr>
        <w:pStyle w:val="ListBullet"/>
      </w:pPr>
      <w:r>
        <w:t>Comparar a Árvore de Decisão com outros algoritmos (Random Forest, Naive Bayes).</w:t>
      </w:r>
    </w:p>
    <w:p>
      <w:pPr>
        <w:pStyle w:val="ListBullet"/>
      </w:pPr>
      <w:r>
        <w:t>Refinar a base de regras fuzzy com apoio de especialista do domínio e expandir o conjunto de regras.</w:t>
      </w:r>
    </w:p>
    <w:p>
      <w:pPr>
        <w:pStyle w:val="ListBullet"/>
      </w:pPr>
      <w:r>
        <w:t xml:space="preserve">Substituir o </w:t>
      </w:r>
      <w:r>
        <w:rPr>
          <w:rFonts w:ascii="Consolas" w:hAnsi="Consolas"/>
          <w:color w:val="B03060"/>
          <w:sz w:val="19"/>
        </w:rPr>
        <w:t>LabelEncoder</w:t>
      </w:r>
      <w:r>
        <w:t xml:space="preserve"> por *one-hot encoding* nas variáveis nominais.</w:t>
      </w:r>
    </w:p>
    <w:p>
      <w:pPr>
        <w:pStyle w:val="Heading1"/>
      </w:pPr>
      <w:r>
        <w:t>9. Conclusão</w:t>
      </w:r>
    </w:p>
    <w:p>
      <w:r>
        <w:t xml:space="preserve">O trabalho desenvolveu, de ponta a ponta, uma solução de Inteligência Artificial que </w:t>
      </w:r>
      <w:r>
        <w:rPr>
          <w:b/>
        </w:rPr>
        <w:t>integra Machine Learning e Lógica Fuzzy</w:t>
      </w:r>
      <w:r>
        <w:t xml:space="preserve"> para a análise de risco de crédito. A Árvore de Decisão forneceu uma estimativa de probabilidade de inadimplência aprendida de dados reais (acurácia de 74,5%), e o Sistema de Inferência Fuzzy converteu essa estimativa, por meio de regras SE–ENTÃO próprias, em um risco final interpretável.</w:t>
      </w:r>
    </w:p>
    <w:p>
      <w:r>
        <w:t>Foram exercitados todos os conceitos centrais da disciplina — fuzzificação, variáveis linguísticas, funções de pertinência, inferência e defuzzificação — articulados a um modelo supervisionado de classificação e suas métricas de avaliação. A análise demonstrou que a integração agrega valor concreto: em 28% dos casos, a camada fuzzy ajustou a decisão do modelo com base em regras de negócio, aumentando a transparência sem descartar o poder preditivo do aprendizado de máquina.</w:t>
      </w:r>
    </w:p>
    <w:p>
      <w:r>
        <w:t>A principal limitação identificada — o baixo recall para inadimplentes, decorrente do desbalanceamento da base — aponta o caminho natural para trabalhos futuros, centrados no balanceamento de classes e na comparação de algoritmos.</w:t>
      </w:r>
    </w:p>
    <w:p>
      <w:pPr>
        <w:pStyle w:val="Heading1"/>
      </w:pPr>
      <w:r>
        <w:t>10. Referências</w:t>
      </w:r>
    </w:p>
    <w:p>
      <w:r>
        <w:t xml:space="preserve">HOFMANN, Hans. </w:t>
      </w:r>
      <w:r>
        <w:rPr>
          <w:b/>
        </w:rPr>
        <w:t>Statlog (German Credit Data)</w:t>
      </w:r>
      <w:r>
        <w:t>. UCI Machine Learning Repository. Disponível em: https://archive.ics.uci.edu/dataset/144/statlog+german+credit+data. Acesso em: jun. 2026.</w:t>
      </w:r>
    </w:p>
    <w:p>
      <w:r>
        <w:t xml:space="preserve">RUSSELL, Stuart; NORVIG, Peter. </w:t>
      </w:r>
      <w:r>
        <w:rPr>
          <w:b/>
        </w:rPr>
        <w:t>Inteligência Artificial</w:t>
      </w:r>
      <w:r>
        <w:t>. 3. ed. Rio de Janeiro: Elsevier, 2013.</w:t>
      </w:r>
    </w:p>
    <w:p>
      <w:r>
        <w:t xml:space="preserve">SCIKIT-FUZZY. </w:t>
      </w:r>
      <w:r>
        <w:rPr>
          <w:b/>
        </w:rPr>
        <w:t>Documentation</w:t>
      </w:r>
      <w:r>
        <w:t>. Disponível em: https://pythonhosted.org/scikit-fuzzy/. Acesso em: jun. 2026.</w:t>
      </w:r>
    </w:p>
    <w:p>
      <w:r>
        <w:t xml:space="preserve">SCIKIT-LEARN. </w:t>
      </w:r>
      <w:r>
        <w:rPr>
          <w:b/>
        </w:rPr>
        <w:t>User Guide</w:t>
      </w:r>
      <w:r>
        <w:t>. Disponível em: https://scikit-learn.org/stable/user_guide.html. Acesso em: jun. 2026.</w:t>
      </w:r>
    </w:p>
    <w:p>
      <w:r>
        <w:t xml:space="preserve">ZADEH, Lotfi A. </w:t>
      </w:r>
      <w:r>
        <w:rPr>
          <w:b/>
        </w:rPr>
        <w:t>Fuzzy Sets</w:t>
      </w:r>
      <w:r>
        <w:t>. Information and Control, v. 8, n. 3, p. 338–353, 1965.</w:t>
      </w:r>
    </w:p>
    <w:p>
      <w:r>
        <w:t xml:space="preserve">MALVEZZI, William. </w:t>
      </w:r>
      <w:r>
        <w:rPr>
          <w:b/>
        </w:rPr>
        <w:t>Slides da disciplina de Inteligência Artificial: Lógica Fuzzy e Machine Learning</w:t>
      </w:r>
      <w:r>
        <w:t>. Material interno, UCB, 2025.</w:t>
      </w:r>
    </w:p>
    <w:p>
      <w:pPr>
        <w:pStyle w:val="Heading1"/>
      </w:pPr>
      <w:r>
        <w:t>11. Anexos</w:t>
      </w:r>
    </w:p>
    <w:p>
      <w:pPr>
        <w:pStyle w:val="ListBullet"/>
      </w:pPr>
      <w:r>
        <w:rPr>
          <w:b/>
        </w:rPr>
        <w:t>Anexo A — Código-fonte completo:</w:t>
      </w:r>
      <w:r>
        <w:t xml:space="preserve"> notebook </w:t>
      </w:r>
      <w:r>
        <w:rPr>
          <w:rFonts w:ascii="Consolas" w:hAnsi="Consolas"/>
          <w:color w:val="B03060"/>
          <w:sz w:val="19"/>
        </w:rPr>
        <w:t>trabalho_credito_fuzzy_ml.ipynb</w:t>
      </w:r>
      <w:r>
        <w:t xml:space="preserve"> (Google Colab), comentado.</w:t>
      </w:r>
    </w:p>
    <w:p>
      <w:pPr>
        <w:pStyle w:val="ListBullet"/>
      </w:pPr>
      <w:r>
        <w:rPr>
          <w:b/>
        </w:rPr>
        <w:t>Anexo B — Instruções de execução:</w:t>
      </w:r>
      <w:r>
        <w:t xml:space="preserve"> arquivo </w:t>
      </w:r>
      <w:r>
        <w:rPr>
          <w:rFonts w:ascii="Consolas" w:hAnsi="Consolas"/>
          <w:color w:val="B03060"/>
          <w:sz w:val="19"/>
        </w:rPr>
        <w:t>README.md</w:t>
      </w:r>
      <w:r>
        <w:t>.</w:t>
      </w:r>
    </w:p>
    <w:p>
      <w:pPr>
        <w:pStyle w:val="ListBullet"/>
      </w:pPr>
      <w:r>
        <w:rPr>
          <w:b/>
        </w:rPr>
        <w:t>Anexo C — Base de dados:</w:t>
      </w:r>
      <w:r>
        <w:t xml:space="preserve"> *Statlog (German Credit Data)*, acessada via link do UCI (Seção 3).</w:t>
      </w:r>
    </w:p>
    <w:p>
      <w:pPr>
        <w:pStyle w:val="ListBullet"/>
      </w:pPr>
      <w:r>
        <w:rPr>
          <w:b/>
        </w:rPr>
        <w:t>Anexo D — Saídas de execução:</w:t>
      </w:r>
      <w:r>
        <w:t xml:space="preserve"> as figuras geradas pelo notebook (balanceamento, matriz de confusão, Árvore de Decisão, funções de pertinência, defuzzificação e distribuição do risco) foram inseridas ao longo das Seções 4 a 8, junto aos resultados que ilustram.</w:t>
      </w:r>
    </w:p>
    <w:sectPr w:rsidR="00FC693F" w:rsidRPr="0006063C" w:rsidSect="00034616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