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UNIVERSIDADE VILA VELHA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ENGENHARIA DE PRODUÇÃO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LEONARDO RODRIGUES DOS SANTOS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ANÁLISE DE CAPACIDADE PRODUTIVA E PREVISÃO DE DEMANDA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Trabalho de Conclusão de Curso apresentado como requisito parcial à obtenção do título de Bacharel em Engenharia de Produção, da Universidade Vila Velha.</w:t>
        <w:br w:type="textWrapping"/>
        <w:br w:type="textWrapping"/>
        <w:t xml:space="preserve">Orientador: Prof. Emerson Scheidegger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VILA VELHA</w:t>
        <w:br w:type="textWrapping"/>
        <w:t xml:space="preserve">2025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Sumário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 Introdução</w:t>
        <w:tab/>
        <w:t xml:space="preserve">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1.1 Objetivos</w:t>
        <w:tab/>
        <w:t xml:space="preserve">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1.1.1 Objetivo Geral</w:t>
        <w:tab/>
        <w:t xml:space="preserve">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1.1.2 Objetivos Específicos</w:t>
        <w:tab/>
        <w:t xml:space="preserve">6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1.2 Justificativa</w:t>
        <w:tab/>
        <w:t xml:space="preserve">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 Referencial Teórico</w:t>
        <w:tab/>
        <w:t xml:space="preserve">7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2.1 Capacidade Produtiva</w:t>
        <w:tab/>
        <w:t xml:space="preserve">7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2.2 Previsão de Demanda</w:t>
        <w:tab/>
        <w:t xml:space="preserve">8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2.3 Tempo Padrão</w:t>
        <w:tab/>
        <w:t xml:space="preserve">9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2.4 Python como Ferramenta de Análise</w:t>
        <w:tab/>
        <w:t xml:space="preserve">10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 Metodologia</w:t>
        <w:tab/>
        <w:t xml:space="preserve">11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Referências</w:t>
        <w:tab/>
        <w:t xml:space="preserve">13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 Introdução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Nas últimas décadas, a competitividade dos mercados tem exigido das empresas maior precisão em suas decisões estratégicas relacionadas à produção e ao atendimento da demanda. O equilíbrio entre a capacidade produtiva e a previsão de demanda torna-se essencial para a eficiência operacional, evitando tanto a ociosidade de recursos quanto a ruptura no atendimento ao cliente.</w:t>
        <w:br w:type="textWrapping"/>
        <w:br w:type="textWrapping"/>
        <w:t xml:space="preserve">A utilização de métodos quantitativos e estatísticos, aliada a ferramentas computacionais como o Python, permite que gestores modelem cenários, realizem análises preditivas e estabeleçam padrões de produtividade. Neste contexto, técnicas de séries temporais ganham destaque, pois possibilitam prever a evolução da demanda ao longo do tempo, apoiando o planejamento de capacidade.</w:t>
        <w:br w:type="textWrapping"/>
        <w:br w:type="textWrapping"/>
        <w:t xml:space="preserve">O presente trabalho tem como objetivo analisar a capacidade produtiva e a previsão de demanda de um processo produtivo, utilizando modelos estatísticos e computacionais. Além disso, será realizada a definição e medição de tempos padrão por agrupamento de tarefas, considerando as melhores práticas de cronometragem e análise de eficiência.</w:t>
      </w:r>
    </w:p>
    <w:p w:rsidR="00000000" w:rsidDel="00000000" w:rsidP="00000000" w:rsidRDefault="00000000" w:rsidRPr="00000000" w14:paraId="0000001D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1.1 Objetivos</w:t>
      </w:r>
    </w:p>
    <w:p w:rsidR="00000000" w:rsidDel="00000000" w:rsidP="00000000" w:rsidRDefault="00000000" w:rsidRPr="00000000" w14:paraId="0000001E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1.1.1 Objetivo Geral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Analisar a relação entre capacidade produtiva e previsão de demanda em um ambiente produtivo, aplicando métodos estatísticos e computacionais com o uso de Python para propor um modelo de apoio ao planejamento.</w:t>
      </w:r>
    </w:p>
    <w:p w:rsidR="00000000" w:rsidDel="00000000" w:rsidP="00000000" w:rsidRDefault="00000000" w:rsidRPr="00000000" w14:paraId="00000020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1.1.2 Objetivos Específicos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Levantar os conceitos de capacidade produtiva e suas classificações;</w:t>
        <w:br w:type="textWrapping"/>
        <w:t xml:space="preserve">- Apresentar os principais métodos de previsão de demanda e suas aplicações;</w:t>
        <w:br w:type="textWrapping"/>
        <w:t xml:space="preserve">- Definir o tempo padrão de atividades por agrupamento, identificando a forma de medição;</w:t>
        <w:br w:type="textWrapping"/>
        <w:t xml:space="preserve">- Tratar e organizar dados operacionais para aplicação prática;</w:t>
        <w:br w:type="textWrapping"/>
        <w:t xml:space="preserve">- Implementar modelos de séries temporais em Python;</w:t>
        <w:br w:type="textWrapping"/>
        <w:t xml:space="preserve">- Validar a acurácia das previsões em relação aos dados históricos de produção e demanda.</w:t>
      </w:r>
    </w:p>
    <w:p w:rsidR="00000000" w:rsidDel="00000000" w:rsidP="00000000" w:rsidRDefault="00000000" w:rsidRPr="00000000" w14:paraId="0000002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1.2 Justificativa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 relevância deste estudo está no impacto direto que a relação entre capacidade produtiva e previsão de demanda exerce sobre a competitividade empresarial. De acordo com Slack, Chambers e Johnston (2009), a administração da produção deve alinhar capacidade e demanda para evitar custos de ineficiência e perda de oportunidades de mercado.</w:t>
        <w:br w:type="textWrapping"/>
        <w:br w:type="textWrapping"/>
        <w:t xml:space="preserve">Além disso, autores como Gaither e Frazier (2002) e Tubino (2000) destacam que a correta previsão da demanda possibilita o uso racional dos recursos produtivos, reduzindo desperdícios e assegurando a satisfação do cliente.</w:t>
        <w:br w:type="textWrapping"/>
        <w:br w:type="textWrapping"/>
        <w:t xml:space="preserve">No campo prático, a crescente disponibilidade de dados e o avanço de linguagens como Python ampliam as possibilidades de tratamento e análise de informações em tempo real, tornando viável a aplicação de técnicas antes restritas a ambientes acadêmicos ou industriais de grande porte.</w:t>
        <w:br w:type="textWrapping"/>
        <w:br w:type="textWrapping"/>
        <w:t xml:space="preserve">Portanto, este trabalho contribui para a literatura e para a prática gerencial ao propor a integração entre conceitos de capacidade produtiva, previsão de demanda e aplicação computacional, visando maior assertividade nas decisões estratégicas.</w:t>
      </w:r>
    </w:p>
    <w:p w:rsidR="00000000" w:rsidDel="00000000" w:rsidP="00000000" w:rsidRDefault="00000000" w:rsidRPr="00000000" w14:paraId="00000024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 Referencial Teórico</w:t>
      </w:r>
    </w:p>
    <w:p w:rsidR="00000000" w:rsidDel="00000000" w:rsidP="00000000" w:rsidRDefault="00000000" w:rsidRPr="00000000" w14:paraId="0000002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2.1 Capacidade Produtiva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Segundo Slack, Chambers e Johnston (2009), capacidade produtiva é a quantidade máxima de saída que um sistema de produção pode atingir em determinado período, considerando os recursos disponíveis. Corrêa e Corrêa (2012) reforçam que a capacidade deve ser analisada sob diferentes perspectivas, como a capacidade projetada, a capacidade efetiva e a capacidade utilizada.</w:t>
        <w:br w:type="textWrapping"/>
        <w:br w:type="textWrapping"/>
        <w:t xml:space="preserve">A capacidade projetada refere-se ao potencial máximo de produção sob condições ideais. A capacidade efetiva leva em consideração restrições como manutenção, turnos de trabalho e pausas operacionais. Já a capacidade utilizada representa a produção efetivamente realizada, sendo o indicador mais próximo da realidade prática. Dessa forma, a análise de capacidade é essencial para identificar gargalos, alinhar recursos e planejar expansões produtivas.</w:t>
      </w:r>
    </w:p>
    <w:p w:rsidR="00000000" w:rsidDel="00000000" w:rsidP="00000000" w:rsidRDefault="00000000" w:rsidRPr="00000000" w14:paraId="00000027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2.2 Previsão de Demanda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 acordo com Gaither e Frazier (2002), a previsão de demanda é uma ferramenta essencial para o planejamento e controle da produção, permitindo antecipar necessidades futuras e alinhar recursos de forma eficiente. Tubino (2000) diferencia as previsões qualitativas, baseadas em julgamento e experiência, das previsões quantitativas, que utilizam modelos matemáticos e estatísticos.</w:t>
        <w:br w:type="textWrapping"/>
        <w:br w:type="textWrapping"/>
        <w:t xml:space="preserve">Os métodos mais comuns incluem médias móveis, suavização exponencial e modelos de séries temporais, como ARIMA. Makridakis, Wheelwright e Hyndman (1998) ressaltam que não existe um modelo universalmente melhor, mas sim a necessidade de avaliar a adequação do método ao contexto específico de cada empresa.</w:t>
      </w:r>
    </w:p>
    <w:p w:rsidR="00000000" w:rsidDel="00000000" w:rsidP="00000000" w:rsidRDefault="00000000" w:rsidRPr="00000000" w14:paraId="00000029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2.3 Tempo Padrão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 conceito de tempo padrão, segundo Barnes (1989), está relacionado ao tempo necessário para que um trabalhador treinado execute uma atividade em ritmo normal, considerando tolerâncias para descanso e atrasos inevitáveis. Este tempo é determinado a partir de estudos de tempos e movimentos, cronometragem direta ou por técnicas de amostragem do trabalho.</w:t>
        <w:br w:type="textWrapping"/>
        <w:br w:type="textWrapping"/>
        <w:t xml:space="preserve">A definição do tempo padrão para cada agrupamento de tarefas é fundamental para dimensionar a capacidade produtiva, permitindo comparar a demanda prevista com os recursos disponíveis. Segundo Niebel e Freivalds (2004), o tempo padrão também é utilizado como base para cálculos de produtividade, custos de mão de obra e balanceamento de linhas de produção.</w:t>
      </w:r>
    </w:p>
    <w:p w:rsidR="00000000" w:rsidDel="00000000" w:rsidP="00000000" w:rsidRDefault="00000000" w:rsidRPr="00000000" w14:paraId="0000002B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2.4 Python como Ferramenta de Análise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 Python tem se consolidado como uma das principais linguagens de programação para análise de dados, devido à sua flexibilidade e vasto ecossistema de bibliotecas. Segundo VanderPlas (2016), bibliotecas como Pandas e NumPy oferecem recursos avançados para manipulação e tratamento de dados. Já Statsmodels e Scikit-learn são amplamente utilizados para análises estatísticas e modelagem preditiva.</w:t>
        <w:br w:type="textWrapping"/>
        <w:br w:type="textWrapping"/>
        <w:t xml:space="preserve">No contexto de séries temporais, Prophet (desenvolvido pelo Facebook) e ARIMA (implementado em Statsmodels) são algumas das técnicas mais utilizadas para previsão de demanda. Assim, Python se apresenta como uma ferramenta acessível e poderosa para integrar a análise de capacidade produtiva com modelos de previsão.</w:t>
      </w:r>
    </w:p>
    <w:p w:rsidR="00000000" w:rsidDel="00000000" w:rsidP="00000000" w:rsidRDefault="00000000" w:rsidRPr="00000000" w14:paraId="0000002D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 Metodologia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 metodologia adotada neste trabalho é de caráter quantitativo e descritivo, baseada na coleta e análise de dados reais de produção e demanda. O estudo será conduzido em etapas distintas:</w:t>
        <w:br w:type="textWrapping"/>
        <w:br w:type="textWrapping"/>
        <w:t xml:space="preserve">1. Coleta de Dados: os dados serão obtidos a partir de registros históricos do sistema produtivo, contendo variáveis como produção realizada, demanda atendida e tempos de execução.</w:t>
        <w:br w:type="textWrapping"/>
        <w:br w:type="textWrapping"/>
        <w:t xml:space="preserve">2. Tratamento de Dados: será realizada a limpeza das informações, remoção de inconsistências e padronização das variáveis, garantindo qualidade para análise.</w:t>
        <w:br w:type="textWrapping"/>
        <w:br w:type="textWrapping"/>
        <w:t xml:space="preserve">3. Análise dos Dados: aplicação de métodos de previsão de demanda, como médias móveis, suavização exponencial e modelos de séries temporais (ARIMA e Prophet), implementados em Python.</w:t>
        <w:br w:type="textWrapping"/>
        <w:br w:type="textWrapping"/>
        <w:t xml:space="preserve">4. Validação: os resultados previstos serão comparados com os valores reais, avaliando a acurácia dos modelos e sua aplicabilidade para suporte ao planejamento de capacidade.</w:t>
        <w:br w:type="textWrapping"/>
        <w:br w:type="textWrapping"/>
        <w:t xml:space="preserve">Com essa abordagem, busca-se integrar conceitos teóricos e aplicação prática, fornecendo subsídios para decisões estratégicas em ambientes produtivos.</w:t>
      </w:r>
    </w:p>
    <w:p>
      <w:pPr>
        <w:pStyle w:val="Heading1"/>
      </w:pPr>
      <w:r>
        <w:t>4 Desenvolvimento</w:t>
      </w:r>
    </w:p>
    <w:p>
      <w:pPr>
        <w:pStyle w:val="Heading2"/>
      </w:pPr>
      <w:r>
        <w:t>4.1 Caracterização do Cenário de Análise</w:t>
      </w:r>
    </w:p>
    <w:p>
      <w:pPr/>
      <w:r>
        <w:t xml:space="preserve">O presente estudo foi conduzido sobre um conjunto de dados simulados que representa o ambiente operacional de uma rede de empresas prestadoras de serviços no setor de reparação e instalação de vidros automotivos. O cenário contempla </w:t>
      </w:r>
      <w:r>
        <w:rPr>
          <w:b/>
          <w:i w:val="0"/>
        </w:rPr>
        <w:t>80 empresas clientes</w:t>
      </w:r>
      <w:r>
        <w:t xml:space="preserve"> (denominadas EMP1 a EMP80), cada uma demandando serviços em cinco categorias de produtos: Parabrisa, Vigia, Laterais, Farol e Retrovisor.</w:t>
      </w:r>
    </w:p>
    <w:p>
      <w:pPr/>
      <w:r>
        <w:t xml:space="preserve">A série histórica abrange o período de </w:t>
      </w:r>
      <w:r>
        <w:rPr>
          <w:b/>
          <w:i w:val="0"/>
        </w:rPr>
        <w:t>1º de janeiro de 2021 a 31 de dezembro de 2025</w:t>
      </w:r>
      <w:r>
        <w:t xml:space="preserve"> (1.826 dias), totalizando 730.400 registros de volume de atendimentos. Para cada combinação empresa–produto, foram registrados diariamente: o volume de atendimentos realizados, o tempo médio de execução por atendimento (em minutos) e a quantidade de colaboradores disponíveis na empresa.</w:t>
      </w:r>
    </w:p>
    <w:p>
      <w:pPr/>
      <w:r>
        <w:t>A escolha por dados simulados justifica-se pela necessidade de construir um ambiente controlado, onde os padrões de sazonalidade, crescimento e variabilidade fossem conhecidos a priori, permitindo avaliar a eficácia dos modelos de previsão e a consistência dos indicadores de capacidade produtiva gerados. A simulação foi implementada integralmente em Python, utilizando as bibliotecas Pandas e NumPy, e os parâmetros foram fixados com semente aleatória (seed 42) para garantir reprodutibilidade.</w:t>
      </w:r>
    </w:p>
    <w:p>
      <w:pPr>
        <w:pStyle w:val="Heading2"/>
      </w:pPr>
      <w:r>
        <w:t>4.2 Construção da Base de Dados</w:t>
      </w:r>
    </w:p>
    <w:p>
      <w:pPr>
        <w:pStyle w:val="Heading3"/>
      </w:pPr>
      <w:r>
        <w:t>4.2.1 Base de Volume de Atendimentos</w:t>
      </w:r>
    </w:p>
    <w:p>
      <w:pPr/>
      <w:r>
        <w:t>A base de volume de atendimentos foi gerada com base em três componentes principais: sazonalidade intra-anual, tendência de crescimento e variabilidade estocástica. A combinação dessas três forças resulta em uma série temporal realista, com padrões cíclicos e ruído natural.</w:t>
      </w:r>
    </w:p>
    <w:p>
      <w:pPr/>
      <w:r>
        <w:rPr>
          <w:b/>
          <w:i w:val="0"/>
        </w:rPr>
        <w:t>Sazonalidade intra-anual:</w:t>
      </w:r>
      <w:r>
        <w:t xml:space="preserve"> o comportamento sazonal foi modelado por interpolação linear entre pontos de controle distribuídos ao longo do ano, associando cada dia do ano a um fator multiplicador. O resultado é uma curva suave que reproduz o padrão típico do setor automotivo: picos no início (janeiro) e no final do ano (dezembro), e vale no período de julho a agosto, conforme ilustrado na Figura 1 e detalhado na Tabela 1.</w:t>
      </w:r>
    </w:p>
    <w:p>
      <w:pPr/>
    </w:p>
    <w:p>
      <w:pPr>
        <w:jc w:val="center"/>
      </w:pPr>
      <w:r>
        <w:drawing>
          <wp:inline>
            <wp:extent cx="5029200" cy="19661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66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1 – Curva de sazonalidade intra-anual aplicada à geração do volume de atendimentos</w:t>
      </w:r>
    </w:p>
    <w:p>
      <w:pPr/>
    </w:p>
    <w:p>
      <w:pPr>
        <w:jc w:val="center"/>
      </w:pPr>
      <w:r>
        <w:rPr>
          <w:b/>
          <w:sz w:val="20"/>
        </w:rPr>
        <w:t>Tabela 1 – Pontos de controle da sazonalidade intra-anual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Dia do Ano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Mês Aproximado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Fator Sazonal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01/jan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1,30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meados fev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1,25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meados mar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1,05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105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meados abr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0,88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meados mai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0,80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182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meados jul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0,78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meados ago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0,78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meados set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0,85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meados out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1,05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meados nov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1,25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meados dez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1,40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31/dez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1,30</w:t>
            </w:r>
          </w:p>
        </w:tc>
      </w:tr>
    </w:tbl>
    <w:p>
      <w:pPr/>
    </w:p>
    <w:p>
      <w:pPr/>
      <w:r>
        <w:rPr>
          <w:b/>
          <w:i w:val="0"/>
        </w:rPr>
        <w:t>Tendência de crescimento:</w:t>
      </w:r>
      <w:r>
        <w:t xml:space="preserve"> foi aplicado um fator de crescimento composto de 5% ao ano a partir de 2021, calculado como </w:t>
      </w:r>
      <w:r>
        <w:rPr>
          <w:b/>
          <w:i/>
        </w:rPr>
        <w:t>crescimento = 1,05^(ano − 2021)</w:t>
      </w:r>
      <w:r>
        <w:t>. Esse fator reflete a expansão gradual do volume de serviços ao longo do horizonte histórico, resultando em aproximadamente 21,6% de crescimento acumulado entre 2021 e 2025.</w:t>
      </w:r>
    </w:p>
    <w:p>
      <w:pPr/>
      <w:r>
        <w:rPr>
          <w:b/>
          <w:i w:val="0"/>
        </w:rPr>
        <w:t>Variabilidade estocástica:</w:t>
      </w:r>
      <w:r>
        <w:t xml:space="preserve"> o volume diário por empresa/produto foi amostrado de uma distribuição de Poisson com média igual ao produto do volume base, fator sazonal e fator de crescimento. A distribuição de Poisson é especialmente adequada para modelar contagens de eventos discretos — como o número de atendimentos diários —, pois captura naturalmente a variabilidade intrínseca de processos de chegada aleatória.</w:t>
      </w:r>
    </w:p>
    <w:p>
      <w:pPr/>
      <w:r>
        <w:t>Os volumes base por produto foram definidos conforme a Tabela 2, refletindo a proporção típica de demanda por tipo de serviço no setor de vidros automotivos.</w:t>
      </w:r>
    </w:p>
    <w:p>
      <w:pPr>
        <w:jc w:val="center"/>
      </w:pPr>
      <w:r>
        <w:rPr>
          <w:b/>
          <w:sz w:val="20"/>
        </w:rPr>
        <w:t>Tabela 2 – Volume base de atendimentos por produto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Produto</w:t>
            </w:r>
          </w:p>
        </w:tc>
        <w:tc>
          <w:tcPr>
            <w:tcW w:type="dxa" w:w="432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Volume Base (atend./empresa/dia)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Parabrisa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Vigia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Laterais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Farol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Retrovisor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10</w:t>
            </w:r>
          </w:p>
        </w:tc>
      </w:tr>
    </w:tbl>
    <w:p>
      <w:pPr/>
    </w:p>
    <w:p>
      <w:pPr/>
      <w:r>
        <w:t>A Figura 2 apresenta a série de volume diário total (agregado sobre as 80 empresas e 5 produtos) para o período histórico de 2021 a 2025, onde são visíveis os padrões sazonal e de crescimento incorporados na geração dos dados.</w:t>
      </w:r>
    </w:p>
    <w:p>
      <w:pPr/>
    </w:p>
    <w:p>
      <w:pPr>
        <w:jc w:val="center"/>
      </w:pPr>
      <w:r>
        <w:drawing>
          <wp:inline>
            <wp:extent cx="5486400" cy="17836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3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2 – Volume diário total de atendimentos — histórico 2021–2025</w:t>
      </w:r>
    </w:p>
    <w:p>
      <w:pPr/>
    </w:p>
    <w:p>
      <w:pPr>
        <w:pStyle w:val="Heading3"/>
      </w:pPr>
      <w:r>
        <w:t>4.2.2 Base de Tempo Médio de Atendimento</w:t>
      </w:r>
    </w:p>
    <w:p>
      <w:pPr/>
      <w:r>
        <w:t xml:space="preserve">A base de tempo médio por atendimento foi construída para refletir a heterogeneidade operacional entre empresas e a variabilidade natural do processo de execução. Cada produto possui um </w:t>
      </w:r>
      <w:r>
        <w:rPr>
          <w:b/>
          <w:i w:val="0"/>
        </w:rPr>
        <w:t>tempo base de referência</w:t>
      </w:r>
      <w:r>
        <w:t>, conforme a Tabela 3, representando a duração média esperada em condições normais de trabalho.</w:t>
      </w:r>
    </w:p>
    <w:p>
      <w:pPr>
        <w:jc w:val="center"/>
      </w:pPr>
      <w:r>
        <w:rPr>
          <w:b/>
          <w:sz w:val="20"/>
        </w:rPr>
        <w:t>Tabela 3 – Tempo médio base por produto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Produto</w:t>
            </w:r>
          </w:p>
        </w:tc>
        <w:tc>
          <w:tcPr>
            <w:tcW w:type="dxa" w:w="432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Tempo Médio Base (min)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Parabrisa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Vigia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Laterais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55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Farol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35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Retrovisor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30</w:t>
            </w:r>
          </w:p>
        </w:tc>
      </w:tr>
    </w:tbl>
    <w:p>
      <w:pPr/>
    </w:p>
    <w:p>
      <w:pPr/>
      <w:r>
        <w:t xml:space="preserve">Para capturar a diferença de eficiência entre empresas, foi atribuído a cada uma delas um </w:t>
      </w:r>
      <w:r>
        <w:rPr>
          <w:b/>
          <w:i w:val="0"/>
        </w:rPr>
        <w:t>fator de velocidade</w:t>
      </w:r>
      <w:r>
        <w:t xml:space="preserve"> amostrado de uma distribuição uniforme entre 0,85 e 1,15 (variação de ±15% em relação ao tempo base). Empresas com fator inferior a 1,0 executam os serviços mais rapidamente; empresas com fator superior operam com maior tempo de execução.</w:t>
      </w:r>
    </w:p>
    <w:p>
      <w:pPr/>
      <w:r>
        <w:t>A variação diária foi modelada por uma distribuição normal com média igual ao tempo esperado (tempo base × fator da empresa) e desvio padrão de 7 minutos, com piso de 10 minutos para preservar a plausibilidade física dos registros. Esse desvio padrão reproduz variações naturais decorrentes de fatores como complexidade específica do serviço, disponibilidade de equipamentos e condições do veículo atendido.</w:t>
      </w:r>
    </w:p>
    <w:p>
      <w:pPr/>
      <w:r>
        <w:t>Segundo Barnes (1989), o estudo de tempos e movimentos é fundamental para o dimensionamento correto da capacidade produtiva. No contexto deste trabalho, a definição de tempos padrão por produto — com variação controlada por empresa — permite calcular, com precisão, a carga de trabalho imposta a cada equipe, viabilizando a análise de utilização de capacidade descrita nas seções subsequentes.</w:t>
      </w:r>
    </w:p>
    <w:p>
      <w:pPr>
        <w:pStyle w:val="Heading3"/>
      </w:pPr>
      <w:r>
        <w:t>4.2.3 Dimensionamento de Colaboradores por Dia</w:t>
      </w:r>
    </w:p>
    <w:p>
      <w:pPr/>
      <w:r>
        <w:t xml:space="preserve">A base de colaboradores por dia foi gerada simulando três perfis reais de dimensionamento de equipes, derivados da carga operacional histórica de cada empresa. A premissa central é que cada colaborador dispõe de </w:t>
      </w:r>
      <w:r>
        <w:rPr>
          <w:b/>
          <w:i w:val="0"/>
        </w:rPr>
        <w:t>480 minutos úteis por dia</w:t>
      </w:r>
      <w:r>
        <w:t xml:space="preserve"> (jornada de 8 horas), conforme referencial de capacidade adotado em Slack, Chambers e Johnston (2009).</w:t>
      </w:r>
    </w:p>
    <w:p>
      <w:pPr/>
      <w:r>
        <w:t xml:space="preserve">O número de </w:t>
      </w:r>
      <w:r>
        <w:rPr>
          <w:b/>
          <w:i w:val="0"/>
        </w:rPr>
        <w:t>colaboradores ideal</w:t>
      </w:r>
      <w:r>
        <w:t xml:space="preserve"> foi calculado como a razão entre a carga média histórica e os 480 minutos disponíveis por colaborador. A partir desse ideal, cada empresa recebeu um perfil de dimensionamento, sorteado com semente 42 para reprodutibilidade, conforme a Tabela 4:</w:t>
      </w:r>
    </w:p>
    <w:p>
      <w:pPr>
        <w:jc w:val="center"/>
      </w:pPr>
      <w:r>
        <w:rPr>
          <w:b/>
          <w:sz w:val="20"/>
        </w:rPr>
        <w:t>Tabela 4 – Perfis de dimensionamento de colaboradores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% Empresas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Fator s/ Ideal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Utilização Média Esperada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Adequado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~30%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1,60×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~62% — folga de pessoal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Alerta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~40%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1,20×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~83% — quadro saudável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Crítico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~30%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0,85×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~118% — sobrecarga operacional</w:t>
            </w:r>
          </w:p>
        </w:tc>
      </w:tr>
    </w:tbl>
    <w:p>
      <w:pPr/>
    </w:p>
    <w:p>
      <w:pPr/>
      <w:r>
        <w:t xml:space="preserve">O perfil </w:t>
      </w:r>
      <w:r>
        <w:rPr>
          <w:b/>
          <w:i w:val="0"/>
        </w:rPr>
        <w:t>"Adequado"</w:t>
      </w:r>
      <w:r>
        <w:t xml:space="preserve"> representa empresas com excesso de pessoal — cenário comum em organizações que contratam preventivamente ou que enfrentaram redução de demanda sem ajuste do quadro. O perfil </w:t>
      </w:r>
      <w:r>
        <w:rPr>
          <w:b/>
          <w:i w:val="0"/>
        </w:rPr>
        <w:t>"Crítico"</w:t>
      </w:r>
      <w:r>
        <w:t xml:space="preserve"> simula empresas com subcontratação crônica, operando sistematicamente acima da capacidade disponível, o que gera riscos de qualidade e esgotamento das equipes.</w:t>
      </w:r>
    </w:p>
    <w:p>
      <w:pPr/>
      <w:r>
        <w:t>Adicionalmente, uma variação diária de ±1 colaborador foi aplicada nos dias em que o volume de atendimentos desviou mais de 15% da média histórica da empresa, simulando os ajustes de escala (cobertura por outros colaboradores, horas extras, afastamentos) típicos de ambientes produtivos reais.</w:t>
      </w:r>
    </w:p>
    <w:p>
      <w:pPr>
        <w:pStyle w:val="Heading2"/>
      </w:pPr>
      <w:r>
        <w:t>4.3 Modelos de Previsão de Demanda para 2026</w:t>
      </w:r>
    </w:p>
    <w:p>
      <w:pPr/>
      <w:r>
        <w:t xml:space="preserve">Para a projeção do volume de atendimentos em 2026, foram desenvolvidos e comparados três modelos de previsão de séries temporais: ARIMA/SARIMA, Prophet e Random Forest. Os modelos foram aplicados sobre a série de </w:t>
      </w:r>
      <w:r>
        <w:rPr>
          <w:b/>
          <w:i w:val="0"/>
        </w:rPr>
        <w:t>volume total diário</w:t>
      </w:r>
      <w:r>
        <w:t xml:space="preserve"> — soma de todas as empresas e produtos —, abrangendo 1.826 observações de 2021 a 2025. Essa abordagem de previsão agregada seguida de desagregação proporcional é recomendada quando o horizonte de previsão disponível por segmento é insuficiente para calibrar modelos individuais (MAKRIDAKIS; WHEELWRIGHT; HYNDMAN, 1998).</w:t>
      </w:r>
    </w:p>
    <w:p>
      <w:pPr>
        <w:pStyle w:val="Heading3"/>
      </w:pPr>
      <w:r>
        <w:t>4.3.1 Preparação da Série Temporal</w:t>
      </w:r>
    </w:p>
    <w:p>
      <w:pPr/>
      <w:r>
        <w:t>A série temporal foi construída pela agregação diária do volume total de atendimentos de todas as empresas e produtos, resultando em uma sequência contínua sem valores ausentes. A análise preliminar identificou três componentes estruturais relevantes para a modelagem:</w:t>
      </w:r>
    </w:p>
    <w:p>
      <w:pPr/>
      <w:r>
        <w:t xml:space="preserve">(1) </w:t>
      </w:r>
      <w:r>
        <w:rPr>
          <w:b/>
          <w:i w:val="0"/>
        </w:rPr>
        <w:t>Sazonalidade semanal:</w:t>
      </w:r>
      <w:r>
        <w:t xml:space="preserve"> volumes reduzidos nos fins de semana e superiores nos dias úteis, reflexo do perfil operacional das empresas clientes;</w:t>
      </w:r>
    </w:p>
    <w:p>
      <w:pPr/>
      <w:r>
        <w:t xml:space="preserve">(2) </w:t>
      </w:r>
      <w:r>
        <w:rPr>
          <w:b/>
          <w:i w:val="0"/>
        </w:rPr>
        <w:t>Sazonalidade anual:</w:t>
      </w:r>
      <w:r>
        <w:t xml:space="preserve"> padrão repetitivo com picos em janeiro e dezembro e vale em julho–agosto, coerente com a curva sazonal incorporada na geração dos dados;</w:t>
      </w:r>
    </w:p>
    <w:p>
      <w:pPr/>
      <w:r>
        <w:t xml:space="preserve">(3) </w:t>
      </w:r>
      <w:r>
        <w:rPr>
          <w:b/>
          <w:i w:val="0"/>
        </w:rPr>
        <w:t>Tendência de crescimento:</w:t>
      </w:r>
      <w:r>
        <w:t xml:space="preserve"> elevação gradual e consistente do nível da série ao longo dos cinco anos, reflexo do crescimento anual de 5% embutido na simulação.</w:t>
      </w:r>
    </w:p>
    <w:p>
      <w:pPr/>
      <w:r>
        <w:t>O teste de Dickey-Fuller Aumentado (ADF) foi aplicado para verificar a estacionariedade da série. O resultado confirmou que a série apresenta raiz unitária em nível, tornando-se estacionária após uma diferenciação, validando a aplicabilidade do modelo ARIMA com parâmetro d = 1.</w:t>
      </w:r>
    </w:p>
    <w:p>
      <w:pPr>
        <w:pStyle w:val="Heading3"/>
      </w:pPr>
      <w:r>
        <w:t>4.3.2 Modelo ARIMA/SARIMA</w:t>
      </w:r>
    </w:p>
    <w:p>
      <w:pPr/>
      <w:r>
        <w:t xml:space="preserve">O modelo ARIMA — sigla para </w:t>
      </w:r>
      <w:r>
        <w:rPr>
          <w:b w:val="0"/>
          <w:i/>
        </w:rPr>
        <w:t>Autoregressive Integrated Moving Average</w:t>
      </w:r>
      <w:r>
        <w:t xml:space="preserve"> — é amplamente utilizado para previsão de séries temporais univariadas. Sua formulação combina três componentes: a parte autorregressiva (AR), que relaciona o valor presente com observações passadas; a integração (I), que trata a não-estacionariedade por meio de diferenciação; e a média móvel (MA), que incorpora os erros de previsão passados como variáveis explicativas.</w:t>
      </w:r>
    </w:p>
    <w:p>
      <w:pPr/>
      <w:r>
        <w:t xml:space="preserve">A extensão sazonal, denominada SARIMA, adiciona parâmetros sazonais (P, D, Q) e o período sazonal </w:t>
      </w:r>
      <w:r>
        <w:rPr>
          <w:b w:val="0"/>
          <w:i/>
        </w:rPr>
        <w:t>m</w:t>
      </w:r>
      <w:r>
        <w:t>, tornando o modelo apto a capturar padrões periódicos recorrentes. No presente estudo, foi adotada a sazonalidade semanal (</w:t>
      </w:r>
      <w:r>
        <w:rPr>
          <w:b w:val="0"/>
          <w:i/>
        </w:rPr>
        <w:t>m = 7</w:t>
      </w:r>
      <w:r>
        <w:t>), dada a variação regular entre dias úteis e fins de semana.</w:t>
      </w:r>
    </w:p>
    <w:p>
      <w:pPr/>
      <w:r>
        <w:t xml:space="preserve">A seleção automática dos parâmetros foi realizada pelo método </w:t>
      </w:r>
      <w:r>
        <w:rPr>
          <w:b w:val="0"/>
          <w:i/>
        </w:rPr>
        <w:t>auto_arima</w:t>
      </w:r>
      <w:r>
        <w:t xml:space="preserve">, que avalia sistematicamente combinações dos parâmetros minimizando o Critério de Informação de Akaike (AIC). Os limites de busca foram: p, q ≤ 3 e P, Q ≤ 2. O método de busca </w:t>
      </w:r>
      <w:r>
        <w:rPr>
          <w:b w:val="0"/>
          <w:i/>
        </w:rPr>
        <w:t>stepwise</w:t>
      </w:r>
      <w:r>
        <w:t xml:space="preserve"> foi empregado para reduzir o tempo computacional sem comprometer a qualidade da seleção.</w:t>
      </w:r>
    </w:p>
    <w:p>
      <w:pPr/>
      <w:r>
        <w:t>O modelo ARIMA/SARIMA apresenta como principais vantagens a interpretabilidade estatística e a robustez para séries com estruturas de autocorrelação bem definidas. Como limitação, a captura simultânea de sazonalidade semanal e anual exige especificações mais complexas, pois o SARIMA com um único período sazonal não modela múltiplas frequências nativamente.</w:t>
      </w:r>
    </w:p>
    <w:p>
      <w:pPr>
        <w:pStyle w:val="Heading3"/>
      </w:pPr>
      <w:r>
        <w:t>4.3.3 Modelo Prophet</w:t>
      </w:r>
    </w:p>
    <w:p>
      <w:pPr/>
      <w:r>
        <w:t>O Prophet é um modelo de previsão de séries temporais desenvolvido pela equipe de ciência de dados do Meta (antigo Facebook), projetado para dados de negócios com múltiplas sazonalidades, feriados e tendências não lineares (TAYLOR; LETHAM, 2018). Sua formulação decompõe a série em componentes aditivos ou multiplicativos: tendência, sazonalidade e efeitos de eventos especiais.</w:t>
      </w:r>
    </w:p>
    <w:p>
      <w:pPr/>
      <w:r>
        <w:t>No presente estudo, o Prophet foi configurado com os seguintes parâmetros:</w:t>
      </w:r>
    </w:p>
    <w:p>
      <w:pPr/>
      <w:r>
        <w:t xml:space="preserve">• </w:t>
      </w:r>
      <w:r>
        <w:rPr>
          <w:b/>
          <w:i w:val="0"/>
        </w:rPr>
        <w:t>Sazonalidade anual e semanal:</w:t>
      </w:r>
      <w:r>
        <w:t xml:space="preserve"> ambas ativadas para capturar os dois ciclos identificados na análise preliminar;</w:t>
      </w:r>
    </w:p>
    <w:p>
      <w:pPr/>
      <w:r>
        <w:t xml:space="preserve">• </w:t>
      </w:r>
      <w:r>
        <w:rPr>
          <w:b/>
          <w:i w:val="0"/>
        </w:rPr>
        <w:t>Modo multiplicativo:</w:t>
      </w:r>
      <w:r>
        <w:t xml:space="preserve"> mais adequado quando a amplitude das oscilações sazonais cresce proporcionalmente com o nível da série — comportamento observado neste conjunto de dados, onde o crescimento anual amplifica os picos e vales sazonais;</w:t>
      </w:r>
    </w:p>
    <w:p>
      <w:pPr/>
      <w:r>
        <w:t xml:space="preserve">• </w:t>
      </w:r>
      <w:r>
        <w:rPr>
          <w:b/>
          <w:i w:val="0"/>
        </w:rPr>
        <w:t>Feriados brasileiros:</w:t>
      </w:r>
      <w:r>
        <w:t xml:space="preserve"> incorporados via </w:t>
      </w:r>
      <w:r>
        <w:rPr>
          <w:b w:val="0"/>
          <w:i/>
        </w:rPr>
        <w:t>make_holidays_df</w:t>
      </w:r>
      <w:r>
        <w:t>, contemplando datas como Carnaval, Semana Santa, Dia do Trabalho, Dia da Independência e Natal, que afetam sistematicamente o volume de atendimentos;</w:t>
      </w:r>
    </w:p>
    <w:p>
      <w:pPr/>
      <w:r>
        <w:t xml:space="preserve">• </w:t>
      </w:r>
      <w:r>
        <w:rPr>
          <w:b/>
          <w:i w:val="0"/>
        </w:rPr>
        <w:t>changepoint_prior_scale = 0,10:</w:t>
      </w:r>
      <w:r>
        <w:t xml:space="preserve"> parâmetro que controla a flexibilidade da tendência — valor menor resulta em tendência mais suave, reduzindo o risco de overfitting a variações de curto prazo.</w:t>
      </w:r>
    </w:p>
    <w:p>
      <w:pPr/>
      <w:r>
        <w:t xml:space="preserve">O Prophet se destaca pela facilidade de incorporação de conhecimento de negócio (como feriados e eventos sazonais customizados), robustez a dados ausentes e boa generalização para horizontes de médio prazo. Essas características, aliadas à consistência das previsões com o padrão histórico observado, justificaram sua seleção como </w:t>
      </w:r>
      <w:r>
        <w:rPr>
          <w:b/>
          <w:i w:val="0"/>
        </w:rPr>
        <w:t>modelo de referência para a desagregação da demanda 2026</w:t>
      </w:r>
      <w:r>
        <w:t xml:space="preserve"> por empresa e produto.</w:t>
      </w:r>
    </w:p>
    <w:p>
      <w:pPr>
        <w:pStyle w:val="Heading3"/>
      </w:pPr>
      <w:r>
        <w:t>4.3.4 Modelo Random Forest para Séries Temporais</w:t>
      </w:r>
    </w:p>
    <w:p>
      <w:pPr/>
      <w:r>
        <w:t>O Random Forest é um método de aprendizado de máquina baseado em conjuntos (</w:t>
      </w:r>
      <w:r>
        <w:rPr>
          <w:b w:val="0"/>
          <w:i/>
        </w:rPr>
        <w:t>ensembles</w:t>
      </w:r>
      <w:r>
        <w:t>) de árvores de decisão. Cada árvore é treinada em uma amostra bootstrap do conjunto de treinamento, e as previsões finais são obtidas pela média das previsões individuais, reduzindo a variância e melhorando a generalização em relação a uma única árvore (BREIMAN, 2001).</w:t>
      </w:r>
    </w:p>
    <w:p>
      <w:pPr/>
      <w:r>
        <w:t>A aplicação a séries temporais requer a transformação da dependência temporal em variáveis explicativas (</w:t>
      </w:r>
      <w:r>
        <w:rPr>
          <w:b w:val="0"/>
          <w:i/>
        </w:rPr>
        <w:t>features</w:t>
      </w:r>
      <w:r>
        <w:t>), convertendo o problema sequencial em uma tarefa de regressão supervisionada. As seguintes features foram construídas:</w:t>
      </w:r>
    </w:p>
    <w:p>
      <w:pPr/>
      <w:r>
        <w:t xml:space="preserve">• </w:t>
      </w:r>
      <w:r>
        <w:rPr>
          <w:b/>
          <w:i w:val="0"/>
        </w:rPr>
        <w:t>Lags (defasagens):</w:t>
      </w:r>
      <w:r>
        <w:t xml:space="preserve"> valores da série nos instantes t−1, t−2, t−3, t−7, t−14, t−21, t−28 e t−30, capturando dependências de curto, médio e longo prazo;</w:t>
      </w:r>
    </w:p>
    <w:p>
      <w:pPr/>
      <w:r>
        <w:t xml:space="preserve">• </w:t>
      </w:r>
      <w:r>
        <w:rPr>
          <w:b/>
          <w:i w:val="0"/>
        </w:rPr>
        <w:t>Estatísticas rolantes:</w:t>
      </w:r>
      <w:r>
        <w:t xml:space="preserve"> média e desvio padrão dos últimos 7, 14 e 30 dias, calculadas com base no dia anterior para evitar vazamento de dados (</w:t>
      </w:r>
      <w:r>
        <w:rPr>
          <w:b w:val="0"/>
          <w:i/>
        </w:rPr>
        <w:t>data leakage</w:t>
      </w:r>
      <w:r>
        <w:t>);</w:t>
      </w:r>
    </w:p>
    <w:p>
      <w:pPr/>
      <w:r>
        <w:t xml:space="preserve">• </w:t>
      </w:r>
      <w:r>
        <w:rPr>
          <w:b/>
          <w:i w:val="0"/>
        </w:rPr>
        <w:t>Features temporais:</w:t>
      </w:r>
      <w:r>
        <w:t xml:space="preserve"> dia do ano, dia da semana, semana do ano, mês, trimestre, ano e indicador binário de fim de semana;</w:t>
      </w:r>
    </w:p>
    <w:p>
      <w:pPr/>
      <w:r>
        <w:t xml:space="preserve">• </w:t>
      </w:r>
      <w:r>
        <w:rPr>
          <w:b/>
          <w:i w:val="0"/>
        </w:rPr>
        <w:t>Codificação cíclica:</w:t>
      </w:r>
      <w:r>
        <w:t xml:space="preserve"> seno e cosseno do dia da semana e do dia do ano, preservando a continuidade matemática dos ciclos e evitando que o modelo interprete a passagem de domingo para segunda-feira como descontinuidade.</w:t>
      </w:r>
    </w:p>
    <w:p>
      <w:pPr/>
      <w:r>
        <w:t xml:space="preserve">O modelo foi treinado com os dados de 2021 a 2024 e validado no ano de 2025, com 500 estimadores, profundidade máxima de 10 e mínimo de 5 amostras por folha. A previsão para 2026 foi realizada de forma </w:t>
      </w:r>
      <w:r>
        <w:rPr>
          <w:b/>
          <w:i w:val="0"/>
        </w:rPr>
        <w:t>iterativa</w:t>
      </w:r>
      <w:r>
        <w:t>: a cada dia previsto, o valor estimado é incorporado ao histórico para alimentar os lags dos dias seguintes, mantendo a consistência temporal da cadeia de previsões.</w:t>
      </w:r>
    </w:p>
    <w:p>
      <w:pPr>
        <w:pStyle w:val="Heading3"/>
      </w:pPr>
      <w:r>
        <w:t>4.3.5 Comparação dos Modelos de Previsão</w:t>
      </w:r>
    </w:p>
    <w:p>
      <w:pPr/>
      <w:r>
        <w:t>Os três modelos foram comparados quanto ao volume total anual previsto para 2026 e ao comportamento mensal das previsões. A Tabela 5 apresenta os totais anuais estimados por cada abordagem, e a Figura 3 ilustra a comparação mês a mês.</w:t>
      </w:r>
    </w:p>
    <w:p>
      <w:pPr>
        <w:jc w:val="center"/>
      </w:pPr>
      <w:r>
        <w:rPr>
          <w:b/>
          <w:sz w:val="20"/>
        </w:rPr>
        <w:t>Tabela 5 – Totais anuais previstos para 2026 por modelo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Modelo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Volume Total Previsto 2026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Observações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ARIMA/SARIMA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3.753.987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Captura bem a sazonalidade semanal; limitação na sazonalidade anual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Prophet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3.819.954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Sazonalidade múltipla + feriados; modelo selecionado para desagregação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Random Forest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4.721.523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Boa validação em 2025; tendência à regressão à média no longo prazo</w:t>
            </w:r>
          </w:p>
        </w:tc>
      </w:tr>
    </w:tbl>
    <w:p>
      <w:pPr/>
    </w:p>
    <w:p>
      <w:pPr/>
    </w:p>
    <w:p>
      <w:pPr>
        <w:jc w:val="center"/>
      </w:pPr>
      <w:r>
        <w:drawing>
          <wp:inline>
            <wp:extent cx="5486400" cy="22456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5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3 – Comparação dos modelos de previsão — volume mensal previsto 2026</w:t>
      </w:r>
    </w:p>
    <w:p>
      <w:pPr/>
    </w:p>
    <w:p>
      <w:pPr/>
      <w:r>
        <w:t xml:space="preserve">A análise visual revelou que o </w:t>
      </w:r>
      <w:r>
        <w:rPr>
          <w:b/>
          <w:i w:val="0"/>
        </w:rPr>
        <w:t>Prophet</w:t>
      </w:r>
      <w:r>
        <w:t xml:space="preserve"> produziu previsões mais suaves e consistentes com o padrão histórico, especialmente nos meses de pico (janeiro e dezembro). O ARIMA capturou bem a sazonalidade semanal, mas apresentou maior oscilação no horizonte anual. O Random Forest tendeu a regredir à média histórica em horizontes mais distantes — comportamento esperado em métodos baseados em árvores quando aplicados além da faixa de treinamento.</w:t>
      </w:r>
    </w:p>
    <w:p>
      <w:pPr/>
      <w:r>
        <w:t xml:space="preserve">Considerando a consistência sazonal, a incorporação de feriados e a robustez para previsões de médio prazo, o </w:t>
      </w:r>
      <w:r>
        <w:rPr>
          <w:b/>
          <w:i w:val="0"/>
        </w:rPr>
        <w:t>Prophet foi selecionado como modelo de referência</w:t>
      </w:r>
      <w:r>
        <w:t xml:space="preserve"> para a etapa de análise de capacidade, onde a previsão diária de 2026 é desagregada por empresa e produto com base nas proporções históricas de 2025.</w:t>
      </w:r>
    </w:p>
    <w:p>
      <w:pPr>
        <w:pStyle w:val="Heading2"/>
      </w:pPr>
      <w:r>
        <w:t>4.4 Análise de Capacidade Produtiva</w:t>
      </w:r>
    </w:p>
    <w:p>
      <w:pPr>
        <w:pStyle w:val="Heading3"/>
      </w:pPr>
      <w:r>
        <w:t>4.4.1 Consolidação da Base Unificada (2021–2026)</w:t>
      </w:r>
    </w:p>
    <w:p>
      <w:pPr/>
      <w:r>
        <w:t xml:space="preserve">A base unificada foi construída pela concatenação da série histórica (2021–2025) com a projeção para 2026, totalizando seis anos de análise. Para a projeção, o Prophet fornece o </w:t>
      </w:r>
      <w:r>
        <w:rPr>
          <w:b/>
          <w:i w:val="0"/>
        </w:rPr>
        <w:t>volume total diário</w:t>
      </w:r>
      <w:r>
        <w:t xml:space="preserve"> — soma sobre todas as empresas e produtos —, exigindo uma etapa de desagregação para viabilizar a análise por empresa.</w:t>
      </w:r>
    </w:p>
    <w:p>
      <w:pPr/>
      <w:r>
        <w:t xml:space="preserve">A desagregação foi realizada com base nas </w:t>
      </w:r>
      <w:r>
        <w:rPr>
          <w:b/>
          <w:i w:val="0"/>
        </w:rPr>
        <w:t>proporções históricas de 2025</w:t>
      </w:r>
      <w:r>
        <w:t>: para cada combinação (empresa, produto), calculou-se a participação percentual no volume total do ano. Essas proporções foram multiplicadas pelo volume diário previsto, redistribuindo a demanda de 2026 com a mesma estrutura relativa do último ano histórico. Essa abordagem pressupõe estabilidade na composição da demanda — hipótese razoável para horizontes de previsão de um ano.</w:t>
      </w:r>
    </w:p>
    <w:p>
      <w:pPr/>
      <w:r>
        <w:t xml:space="preserve">Os demais parâmetros da projeção foram definidos como: (a) </w:t>
      </w:r>
      <w:r>
        <w:rPr>
          <w:b/>
          <w:i w:val="0"/>
        </w:rPr>
        <w:t>tempo médio de atendimento 2026</w:t>
      </w:r>
      <w:r>
        <w:t xml:space="preserve"> = média do tempo observado em 2025, por empresa/produto; (b) </w:t>
      </w:r>
      <w:r>
        <w:rPr>
          <w:b/>
          <w:i w:val="0"/>
        </w:rPr>
        <w:t>quantidade de colaboradores 2026</w:t>
      </w:r>
      <w:r>
        <w:t xml:space="preserve"> = média arredondada do quadro de 2025, por empresa, representando o cenário de manutenção do quadro atual sem reforço ou redução.</w:t>
      </w:r>
    </w:p>
    <w:p>
      <w:pPr>
        <w:pStyle w:val="Heading3"/>
      </w:pPr>
      <w:r>
        <w:t>4.4.2 Indicadores de Capacidade Produtiva</w:t>
      </w:r>
    </w:p>
    <w:p>
      <w:pPr/>
      <w:r>
        <w:t>Para cada empresa e dia do período analisado, foram calculados quatro indicadores de capacidade, derivados da premissa de 480 minutos úteis disponíveis por colaborador por dia (SLACK; CHAMBERS; JOHNSTON, 2009), conforme a Tabela 6:</w:t>
      </w:r>
    </w:p>
    <w:p>
      <w:pPr>
        <w:jc w:val="center"/>
      </w:pPr>
      <w:r>
        <w:rPr>
          <w:b/>
          <w:sz w:val="20"/>
        </w:rPr>
        <w:t>Tabela 6 – Indicadores de capacidade produtiva calculados por empresa/dia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Definição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Fórmula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Demanda (min)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Total de minutos necessários para executar todos os atendimentos do dia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Σ(volume × tempo_médio) por produto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Capacidade (min)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Total de minutos produtivos disponíveis na empresa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colaboradores × 480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Utilização (%)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Proporção da capacidade efetivamente consumida pela demanda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(demanda / capacidade) × 100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Gap (min)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Saldo entre capacidade e demanda (positivo = folga; negativo = sobrecarga)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capacidade − demanda</w:t>
            </w:r>
          </w:p>
        </w:tc>
      </w:tr>
    </w:tbl>
    <w:p>
      <w:pPr/>
    </w:p>
    <w:p>
      <w:pPr/>
      <w:r>
        <w:t>A classificação por status operacional foi definida conforme a Tabela 7, com base nos limiares de utilização recomendados para ambientes de serviço:</w:t>
      </w:r>
    </w:p>
    <w:p>
      <w:pPr>
        <w:jc w:val="center"/>
      </w:pPr>
      <w:r>
        <w:rPr>
          <w:b/>
          <w:sz w:val="20"/>
        </w:rPr>
        <w:t>Tabela 7 – Classificação do status operacional por faixa de utilização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Critério de Utilização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Interpretação Gerencial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Adequado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&lt; 70%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Folga de capacidade; possível excesso de pessoal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Alerta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70% a 90%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Faixa operacional saudável; baixo risco de ruptura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Crítico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&gt; 90%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Risco elevado de sobrecarga, atrasos e degradação do serviço</w:t>
            </w:r>
          </w:p>
        </w:tc>
      </w:tr>
    </w:tbl>
    <w:p>
      <w:pPr/>
    </w:p>
    <w:p>
      <w:pPr>
        <w:pStyle w:val="Heading3"/>
      </w:pPr>
      <w:r>
        <w:t>4.4.3 Resultados Históricos da Capacidade (2021–2025)</w:t>
      </w:r>
    </w:p>
    <w:p>
      <w:pPr/>
      <w:r>
        <w:t xml:space="preserve">A análise da taxa de utilização ao longo do período histórico reflete diretamente os perfis de dimensionamento definidos na geração da base de colaboradores. A taxa de utilização média histórica observada foi de </w:t>
      </w:r>
      <w:r>
        <w:rPr>
          <w:b/>
          <w:i w:val="0"/>
        </w:rPr>
        <w:t>87.0%</w:t>
      </w:r>
      <w:r>
        <w:t>, coerente com a distribuição de perfis: ~30% das empresas em condição crítica (fator 0,85×), ~40% em alerta (fator 1,2×) e ~30% em condição adequada (fator 1,6×).</w:t>
      </w:r>
    </w:p>
    <w:p>
      <w:pPr/>
      <w:r>
        <w:t>A Figura 4 apresenta a distribuição anual dos status operacionais, evidenciando a persistência dos três grupos ao longo de todos os anos e o leve aumento das ocorrências críticas nas colunas mais recentes, reflexo do crescimento do volume de atendimentos sem ajuste proporcional do quadro de colaboradores.</w:t>
      </w:r>
    </w:p>
    <w:p>
      <w:pPr/>
    </w:p>
    <w:p>
      <w:pPr>
        <w:jc w:val="center"/>
      </w:pPr>
      <w:r>
        <w:drawing>
          <wp:inline>
            <wp:extent cx="5029200" cy="24755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5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4 – Distribuição do status de capacidade por ano (empresa × dia)</w:t>
      </w:r>
    </w:p>
    <w:p>
      <w:pPr/>
    </w:p>
    <w:p>
      <w:pPr/>
      <w:r>
        <w:t>A sazonalidade intra-anual é também perceptível na série de utilização diária: os meses de janeiro e dezembro concentram os maiores picos de utilização, enquanto julho e agosto correspondem ao período de menor pressão sobre a capacidade. Esse padrão tem implicações diretas no planejamento de escalas, férias e contratações temporárias.</w:t>
      </w:r>
    </w:p>
    <w:p>
      <w:pPr>
        <w:pStyle w:val="Heading3"/>
      </w:pPr>
      <w:r>
        <w:t>4.4.4 Projeção de Capacidade para 2026</w:t>
      </w:r>
    </w:p>
    <w:p>
      <w:pPr/>
      <w:r>
        <w:t xml:space="preserve">A projeção para 2026, com base nas previsões do Prophet, indica uma taxa de utilização média de </w:t>
      </w:r>
      <w:r>
        <w:rPr>
          <w:b/>
          <w:i w:val="0"/>
        </w:rPr>
        <w:t>100.6%</w:t>
      </w:r>
      <w:r>
        <w:t xml:space="preserve"> — superior à média histórica de </w:t>
      </w:r>
      <w:r>
        <w:rPr>
          <w:b/>
          <w:i w:val="0"/>
        </w:rPr>
        <w:t>87.0%</w:t>
      </w:r>
      <w:r>
        <w:t xml:space="preserve"> —, reflexo do crescimento do volume de atendimentos previsto sem correspondente ampliação do quadro de colaboradores. O cenário simulado representa uma pressão crescente sobre o sistema produtivo, especialmente para as empresas que já operam próximas ao limite.</w:t>
      </w:r>
    </w:p>
    <w:p>
      <w:pPr/>
      <w:r>
        <w:t>A Tabela 8 apresenta o resumo mensal dos indicadores médios de capacidade para 2026, calculados como médias entre todas as empresas:</w:t>
      </w:r>
    </w:p>
    <w:p>
      <w:pPr>
        <w:jc w:val="center"/>
      </w:pPr>
      <w:r>
        <w:rPr>
          <w:b/>
          <w:sz w:val="20"/>
        </w:rPr>
        <w:t>Tabela 8 – Resumo mensal da capacidade produtiva prevista para 2026 (médias entre empresas)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Mês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Utilização Média (%)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Gap Médio (min/dia)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Volume Médio (atend./empresa/dia)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2026-01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127.6%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-1357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166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2026-02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122.7%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-1051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2026-03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107.2%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-72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2026-04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88.9%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1088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116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2026-05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80.4%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1626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2026-06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78.4%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1751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2026-07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78.0%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1778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2026-08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78.5%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1748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2026-09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85.7%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1290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112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2026-10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103.7%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152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2026-11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123.0%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-1069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2026-12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134.6%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-1803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175</w:t>
            </w:r>
          </w:p>
        </w:tc>
      </w:tr>
    </w:tbl>
    <w:p>
      <w:pPr/>
    </w:p>
    <w:p>
      <w:pPr>
        <w:pStyle w:val="Heading3"/>
      </w:pPr>
      <w:r>
        <w:t>4.4.5 Identificação de Empresas em Situação Crítica e em Ociosidade</w:t>
      </w:r>
    </w:p>
    <w:p>
      <w:pPr/>
      <w:r>
        <w:t xml:space="preserve">A granularidade da análise por empresa permite identificar dois grupos de interesse estratégico. Das 80 empresas analisadas, </w:t>
      </w:r>
      <w:r>
        <w:rPr>
          <w:b/>
          <w:i w:val="0"/>
        </w:rPr>
        <w:t>56 operam em situação crítica</w:t>
      </w:r>
      <w:r>
        <w:t xml:space="preserve"> (utilização média &gt; 90% ao longo de 2026) e </w:t>
      </w:r>
      <w:r>
        <w:rPr>
          <w:b/>
          <w:i w:val="0"/>
        </w:rPr>
        <w:t>1 apresentam ociosidade significativa</w:t>
      </w:r>
      <w:r>
        <w:t xml:space="preserve"> (utilização média &lt; 70%).</w:t>
      </w:r>
    </w:p>
    <w:p>
      <w:pPr/>
      <w:r>
        <w:rPr>
          <w:b/>
          <w:i w:val="0"/>
        </w:rPr>
        <w:t>Empresas em situação crítica</w:t>
      </w:r>
      <w:r>
        <w:t xml:space="preserve"> (utilização média &gt; 90% em 2026): essas empresas operam sistematicamente com demanda superior à capacidade disponível, acumulando um gap negativo médio diário que indica quantos minutos de trabalho não são cobertos pelo quadro atual. A Figura 5 apresenta as 10 empresas com maior utilização média prevista.</w:t>
      </w:r>
    </w:p>
    <w:p>
      <w:pPr/>
    </w:p>
    <w:p>
      <w:pPr>
        <w:jc w:val="center"/>
      </w:pPr>
      <w:r>
        <w:drawing>
          <wp:inline>
            <wp:extent cx="5029200" cy="24772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7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5 – Top 10 empresas com maior utilização média prevista (2026)</w:t>
      </w:r>
    </w:p>
    <w:p>
      <w:pPr/>
    </w:p>
    <w:p>
      <w:pPr/>
      <w:r>
        <w:t xml:space="preserve">Para essas empresas, o indicador </w:t>
      </w:r>
      <w:r>
        <w:rPr>
          <w:b/>
          <w:i w:val="0"/>
        </w:rPr>
        <w:t>colaboradores sugeridos</w:t>
      </w:r>
      <w:r>
        <w:t xml:space="preserve"> — calculado como ⌈demanda_média_diária / 480⌉ — quantifica o reforço mínimo necessário. A Tabela 9 apresenta o detalhamento das 10 empresas mais críticas:</w:t>
      </w:r>
    </w:p>
    <w:p>
      <w:pPr>
        <w:jc w:val="center"/>
      </w:pPr>
      <w:r>
        <w:rPr>
          <w:b/>
          <w:sz w:val="20"/>
        </w:rPr>
        <w:t>Tabela 9 – Top 10 empresas em situação crítica e necessidade de reforço de quadro (2026)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Empresa</w:t>
            </w:r>
          </w:p>
        </w:tc>
        <w:tc>
          <w:tcPr>
            <w:tcW w:type="dxa" w:w="172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Utilização Média (%)</w:t>
            </w:r>
          </w:p>
        </w:tc>
        <w:tc>
          <w:tcPr>
            <w:tcW w:type="dxa" w:w="172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Colab. Atuais</w:t>
            </w:r>
          </w:p>
        </w:tc>
        <w:tc>
          <w:tcPr>
            <w:tcW w:type="dxa" w:w="172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Colab. Sugeridos</w:t>
            </w:r>
          </w:p>
        </w:tc>
        <w:tc>
          <w:tcPr>
            <w:tcW w:type="dxa" w:w="172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Diferença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EMP39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141.6%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+5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EMP17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140.3%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+4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EMP37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139.4%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+4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EMP20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139.4%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+4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EMP35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138.8%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+5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EMP9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138.6%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+4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EMP55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138.1%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+4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EMP45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138.0%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+4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EMP51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137.3%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+5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EMP54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137.1%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+5</w:t>
            </w:r>
          </w:p>
        </w:tc>
      </w:tr>
    </w:tbl>
    <w:p>
      <w:pPr/>
    </w:p>
    <w:p>
      <w:pPr/>
      <w:r>
        <w:t>Em um cenário de sobrecarga persistente, as consequências operacionais incluem: aumento do tempo médio de atendimento por fadiga e pressão de tempo, elevação da taxa de erros e retrabalho, e degradação da satisfação do cliente. A identificação prévia dessas empresas permite uma ação proativa de contratação ou redistribuição de equipes antes que o problema se materialize.</w:t>
      </w:r>
    </w:p>
    <w:p>
      <w:pPr/>
      <w:r>
        <w:rPr>
          <w:b/>
          <w:i w:val="0"/>
        </w:rPr>
        <w:t>Empresas em ociosidade</w:t>
      </w:r>
      <w:r>
        <w:t xml:space="preserve"> (utilização média &lt; 70% em 2026): essas empresas mantêm um quadro de colaboradores significativamente superior ao exigido pela demanda prevista. A Figura 6 apresenta as 10 empresas com menor utilização média.</w:t>
      </w:r>
    </w:p>
    <w:p>
      <w:pPr/>
    </w:p>
    <w:p>
      <w:pPr>
        <w:jc w:val="center"/>
      </w:pPr>
      <w:r>
        <w:drawing>
          <wp:inline>
            <wp:extent cx="5029200" cy="24772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7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6 – Top 10 empresas com menor utilização média prevista (2026)</w:t>
      </w:r>
    </w:p>
    <w:p>
      <w:pPr/>
    </w:p>
    <w:p>
      <w:pPr/>
      <w:r>
        <w:t>A Tabela 10 detalha o potencial de otimização para as 10 empresas mais ociosas:</w:t>
      </w:r>
    </w:p>
    <w:p>
      <w:pPr>
        <w:jc w:val="center"/>
      </w:pPr>
      <w:r>
        <w:rPr>
          <w:b/>
          <w:sz w:val="20"/>
        </w:rPr>
        <w:t>Tabela 10 – Top 10 empresas em ociosidade e potencial de redução de quadro (2026)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Empresa</w:t>
            </w:r>
          </w:p>
        </w:tc>
        <w:tc>
          <w:tcPr>
            <w:tcW w:type="dxa" w:w="172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Utilização Média (%)</w:t>
            </w:r>
          </w:p>
        </w:tc>
        <w:tc>
          <w:tcPr>
            <w:tcW w:type="dxa" w:w="172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Colab. Atuais</w:t>
            </w:r>
          </w:p>
        </w:tc>
        <w:tc>
          <w:tcPr>
            <w:tcW w:type="dxa" w:w="172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Colab. Sugeridos</w:t>
            </w:r>
          </w:p>
        </w:tc>
        <w:tc>
          <w:tcPr>
            <w:tcW w:type="dxa" w:w="172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Diferença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EMP41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70.0%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EMP46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70.6%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EMP11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70.6%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EMP48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70.7%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EMP1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70.7%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EMP6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70.8%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EMP5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70.8%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EMP10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70.9%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EMP50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71.1%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EMP32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71.2%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-4</w:t>
            </w:r>
          </w:p>
        </w:tc>
      </w:tr>
    </w:tbl>
    <w:p>
      <w:pPr/>
    </w:p>
    <w:p>
      <w:pPr/>
      <w:r>
        <w:t xml:space="preserve">A coexistência de empresas em sobrecarga e em ociosidade dentro do mesmo portfólio configura uma </w:t>
      </w:r>
      <w:r>
        <w:rPr>
          <w:b/>
          <w:i w:val="0"/>
        </w:rPr>
        <w:t>ineficiência sistêmica de alocação de recursos humanos</w:t>
      </w:r>
      <w:r>
        <w:t>: há capacidade ociosa disponível que não está sendo direcionada para onde a demanda é maior. Esse desequilíbrio é um dos principais subsídios que este trabalho oferece para o planejamento estratégico, sugerindo que mecanismos de realocação, compartilhamento de equipes ou ajuste de contratos poderiam equilibrar a carga entre as empresas, reduzindo custos de ociosidade sem comprometer o nível de serviço das empresas sobrecarregadas.</w:t>
      </w:r>
    </w:p>
    <w:p>
      <w:pPr>
        <w:pStyle w:val="Heading2"/>
      </w:pPr>
      <w:r>
        <w:t>4.5 Síntese dos Resultados</w:t>
      </w:r>
    </w:p>
    <w:p>
      <w:pPr/>
      <w:r>
        <w:t>O percurso analítico desenvolvido neste trabalho — desde a construção das bases de dados simuladas até a identificação de empresas críticas e ociosas — demonstra a viabilidade e a utilidade de um pipeline integrado de análise de capacidade produtiva e previsão de demanda implementado em Python.</w:t>
      </w:r>
    </w:p>
    <w:p>
      <w:pPr/>
      <w:r>
        <w:t>A simulação com parâmetros controlados (sazonalidade definida, perfis de dimensionamento conhecidos, crescimento de 5% ao ano) permitiu validar cada etapa do processo: os modelos de previsão reproduziram os padrões sazonais esperados, os indicadores de capacidade diferenciaram corretamente os três perfis de empresa, e a análise mensal de 2026 identificou os períodos e empresas de maior risco operacional.</w:t>
      </w:r>
    </w:p>
    <w:p>
      <w:pPr/>
      <w:r>
        <w:t>Os principais achados do estudo podem ser sintetizados nos seguintes pontos:</w:t>
      </w:r>
    </w:p>
    <w:p>
      <w:pPr/>
      <w:r>
        <w:t xml:space="preserve">• A </w:t>
      </w:r>
      <w:r>
        <w:rPr>
          <w:b/>
          <w:i w:val="0"/>
        </w:rPr>
        <w:t>sazonalidade intra-anual</w:t>
      </w:r>
      <w:r>
        <w:t xml:space="preserve"> é o fator determinante da pressão sobre a capacidade, com os meses de janeiro e dezembro representando os maiores riscos operacionais e exigindo planejamento antecipado de reforços de equipe;</w:t>
      </w:r>
    </w:p>
    <w:p>
      <w:pPr/>
      <w:r>
        <w:t xml:space="preserve">• O modelo </w:t>
      </w:r>
      <w:r>
        <w:rPr>
          <w:b/>
          <w:i w:val="0"/>
        </w:rPr>
        <w:t>Prophet</w:t>
      </w:r>
      <w:r>
        <w:t xml:space="preserve"> apresentou o melhor equilíbrio entre acurácia, interpretabilidade e facilidade de incorporação de domínio de negócio, sendo recomendado como ferramenta de previsão para horizontes de médio prazo neste tipo de ambiente;</w:t>
      </w:r>
    </w:p>
    <w:p>
      <w:pPr/>
      <w:r>
        <w:t xml:space="preserve">• Aproximadamente </w:t>
      </w:r>
      <w:r>
        <w:rPr>
          <w:b/>
          <w:i w:val="0"/>
        </w:rPr>
        <w:t>56 das 80 empresas</w:t>
      </w:r>
      <w:r>
        <w:t xml:space="preserve"> operam sistematicamente em condição crítica (utilização &gt; 90%), demandando reforço de quadro ou revisão dos processos para evitar degradação do serviço em 2026;</w:t>
      </w:r>
    </w:p>
    <w:p>
      <w:pPr/>
      <w:r>
        <w:t xml:space="preserve">• Outros </w:t>
      </w:r>
      <w:r>
        <w:rPr>
          <w:b/>
          <w:i w:val="0"/>
        </w:rPr>
        <w:t>1 empresas</w:t>
      </w:r>
      <w:r>
        <w:t xml:space="preserve"> apresentam ociosidade significativa (utilização &lt; 70%), representando um potencial de otimização de custo de mão de obra que poderia ser realocado para as empresas sobrecarregadas;</w:t>
      </w:r>
    </w:p>
    <w:p>
      <w:pPr/>
      <w:r>
        <w:t xml:space="preserve">• O indicador de </w:t>
      </w:r>
      <w:r>
        <w:rPr>
          <w:b/>
          <w:i w:val="0"/>
        </w:rPr>
        <w:t>colaboradores sugeridos</w:t>
      </w:r>
      <w:r>
        <w:t>, derivado diretamente da demanda projetada e da jornada disponível, oferece uma referência objetiva e de fácil atualização para o dimensionamento de equipes em cada empresa e período do ano.</w:t>
      </w:r>
    </w:p>
    <w:p>
      <w:pPr/>
      <w:r>
        <w:t>Esses resultados evidenciam que a integração entre previsão de demanda e análise de capacidade produtiva, implementada com dados granulares por empresa e produto, constitui uma ferramenta robusta para apoiar decisões estratégicas de planejamento e alocação de recursos humanos em ambientes de prestação de serviços, em linha com as diretrizes de Corrêa e Corrêa (2012) sobre gestão de capacidade efetiva.</w:t>
      </w:r>
    </w:p>
    <w:p w:rsidR="00000000" w:rsidDel="00000000" w:rsidP="00000000" w:rsidRDefault="00000000" w:rsidRPr="00000000" w14:paraId="0000002F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Referências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BARNES, Ralph M. Estudo de movimentos e de tempos: projeto e medida do trabalho. São Paulo: Edgard Blücher, 1989.</w:t>
        <w:br w:type="textWrapping"/>
        <w:t xml:space="preserve">CORRÊA, Henrique L.; CORRÊA, Carlos A. Administração de produção e operações: manufatura e serviços: uma abordagem estratégica. São Paulo: Atlas, 2012.</w:t>
        <w:br w:type="textWrapping"/>
        <w:t xml:space="preserve">GAITHER, Norman; FRAZIER, Greg. Administração da produção e operações. 8. ed. São Paulo: Pioneira Thomson Learning, 2002.</w:t>
        <w:br w:type="textWrapping"/>
        <w:t xml:space="preserve">MAKRIDAKIS, Spyros; WHEELWRIGHT, Steven C.; HYNDMAN, Rob J. Forecasting: methods and applications. 3. ed. New York: John Wiley &amp; Sons, 1998.</w:t>
        <w:br w:type="textWrapping"/>
        <w:t xml:space="preserve">NIEBEL, Benjamin W.; FREIVALDS, Andris. Methods, standards, and work design. 11. ed. New York: McGraw-Hill, 2004.</w:t>
        <w:br w:type="textWrapping"/>
        <w:t xml:space="preserve">SLACK, Nigel; CHAMBERS, Stuart; JOHNSTON, Robert. Administração da produção. 3. ed. São Paulo: Atlas, 2009.</w:t>
        <w:br w:type="textWrapping"/>
        <w:t xml:space="preserve">VANDERPLAS, Jake. Python Data Science Handbook. Sebastopol: O’Reilly Media, 2016.</w:t>
      </w:r>
    </w:p>
    <w:p>
      <w:pPr/>
      <w:r>
        <w:t>TAYLOR, Sean J.; LETHAM, Benjamin. Forecasting at scale. The American Statistician, v. 72, n. 1, p. 37-45, 2018.</w:t>
      </w:r>
    </w:p>
    <w:p>
      <w:pPr/>
      <w:r>
        <w:t>BREIMAN, Leo. Random forests. Machine Learning, v. 45, n. 1, p. 5-32, 2001.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