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r="http://schemas.openxmlformats.org/officeDocument/2006/relationships" xmlns:w="http://schemas.openxmlformats.org/wordprocessingml/2006/main" ns1:Ignorable="w14 w15 w16se w16cid w16 w16cex w16sdtdh w16sdtfl w16du wp14">
  <w:body>
    <w:tbl>
      <w:tblPr>
        <w:tblStyle w:val="TableGrid"/>
        <w:tblW w:w="0" w:type="auto"/>
        <w:tblBorders>
          <w:top w:val="none" w:sz="0" w:space="0" w:color="auto"/>
          <w:bottom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
      <w:tblGrid>
        <w:gridCol w:w="9638"/>
      </w:tblGrid>
      <w:tr w:rsidR="00DE60DE" ns2:paraId="55B49153" ns2:textId="77777777" w:rsidTr="00E728B1">
        <w:trPr>
          <w:trHeight w:val="2835"/>
        </w:trPr>
        <w:tc>
          <w:tcPr>
            <w:tcW w:w="9638" w:type="dxa"/>
          </w:tcPr>
          <w:p ns2:paraId="3F0248ED" ns2:textId="77777777" w:rsidR="00DE60DE" w:rsidRDefault="00DE60DE" w:rsidP="00702A7E"/>
        </w:tc>
      </w:tr>
      <w:tr w:rsidR="00DE60DE" ns2:paraId="7F52C5B0" ns2:textId="77777777" w:rsidTr="003E0A16">
        <w:trPr>
          <w:trHeight w:val="6066"/>
        </w:trPr>
        <w:tc>
          <w:tcPr>
            <w:tcW w:w="9638" w:type="dxa"/>
          </w:tcPr>
          <w:p ns2:paraId="041D4E3B" ns2:textId="77777777" w:rsidR="00DE60DE" w:rsidRPr="00944D57" w:rsidRDefault="00DE60DE" w:rsidP="00DE60DE">
            <w:pPr>
              <w:pStyle w:val="Subtitle"/>
            </w:pPr>
            <w:r>
              <w:fldChar w:fldCharType="begin"/>
            </w:r>
            <w:r>
              <w:instrText xml:space="preserve"> MACROBUTTON  AcceptAllChangesInDoc Document type </w:instrText>
            </w:r>
            <w:r>
              <w:fldChar w:fldCharType="end"/>
            </w:r>
          </w:p>
          <w:sdt>
            <w:sdtPr>
              <w:alias w:val="Title"/>
              <w:tag w:val="Title"/>
              <w:id w:val="1653328826"/>
              <w:placeholder>
                <w:docPart w:val="DB458E9C4BAE473FAAF5D63304686574"/>
              </w:placeholder>
            </w:sdtPr>
            <w:sdtContent>
              <w:p ns2:paraId="734EDE0F" ns2:textId="77777777" w:rsidR="00DE60DE" w:rsidRPr="00CC6757" w:rsidRDefault="00DE60DE" w:rsidP="00B86F31">
                <w:pPr>
                  <w:pStyle w:val="Title"/>
                </w:pPr>
                <w:r w:rsidRPr="00B86F31">
                  <w:fldChar w:fldCharType="begin">
                    <w:ffData>
                      <w:name w:val="Text1"/>
                      <w:enabled/>
                      <w:calcOnExit w:val="0"/>
                      <w:textInput>
                        <w:default w:val="Document title"/>
                      </w:textInput>
                    </w:ffData>
                  </w:fldChar>
                </w:r>
                <w:r w:rsidRPr="00B86F31">
                  <w:instrText xml:space="preserve"> FORMTEXT </w:instrText>
                </w:r>
                <w:r w:rsidRPr="00B86F31">
                  <w:fldChar w:fldCharType="separate"/>
                </w:r>
                <w:r w:rsidRPr="00B86F31">
                  <w:t>Prompt Lab Code Documentation</w:t>
                </w:r>
                <w:r w:rsidRPr="00B86F31">
                  <w:fldChar w:fldCharType="end"/>
                </w:r>
              </w:p>
            </w:sdtContent>
          </w:sdt>
          <w:p ns2:paraId="33A9E13B" ns2:textId="77777777" w:rsidR="00DE60DE" w:rsidRPr="004053F9" w:rsidRDefault="00DE60DE" w:rsidP="00DE60DE">
            <w:pPr>
              <w:pStyle w:val="Subtitle"/>
            </w:pPr>
            <w:r>
              <w:fldChar w:fldCharType="begin"/>
            </w:r>
            <w:r>
              <w:instrText xml:space="preserve"> MACROBUTTON  AcceptAllChangesInDoc Client's full name </w:instrText>
            </w:r>
            <w:r>
              <w:fldChar w:fldCharType="end"/>
            </w:r>
          </w:p>
          <w:p ns2:paraId="173270F9" ns2:textId="77777777" w:rsidR="00DE60DE" w:rsidRPr="004053F9" w:rsidRDefault="00DE60DE" w:rsidP="00DE60DE">
            <w:pPr>
              <w:pStyle w:val="Subtitle"/>
            </w:pPr>
            <w:r>
              <w:fldChar w:fldCharType="begin"/>
            </w:r>
            <w:r>
              <w:instrText xml:space="preserve"> MACROBUTTON  AcceptAllChangesInDoc Subject (optional) - Additional title line </w:instrText>
            </w:r>
            <w:r>
              <w:fldChar w:fldCharType="end"/>
            </w:r>
          </w:p>
          <w:p ns2:paraId="0B380635" ns2:textId="0BDD3C56" w:rsidR="00DE60DE" w:rsidRDefault="00DE60DE" w:rsidP="00702A7E">
            <w:r>
              <w:fldChar w:fldCharType="begin"/>
            </w:r>
            <w:r>
              <w:instrText xml:space="preserve"> MACROBUTTON  AcceptAllChangesInDoc Client reference </w:instrText>
            </w:r>
            <w:r>
              <w:fldChar w:fldCharType="end"/>
            </w:r>
          </w:p>
        </w:tc>
      </w:tr>
      <w:tr w:rsidR="00DE60DE" ns2:paraId="601917B9" ns2:textId="77777777" w:rsidTr="003E0A16">
        <w:trPr>
          <w:trHeight w:val="1361"/>
        </w:trPr>
        <w:tc>
          <w:tcPr>
            <w:tcW w:w="9638" w:type="dxa"/>
          </w:tcPr>
          <w:p ns2:paraId="2576F81C" ns2:textId="77777777" w:rsidR="00DE60DE" w:rsidRDefault="00DE60DE" w:rsidP="00702A7E"/>
        </w:tc>
      </w:tr>
      <w:tr w:rsidR="00DE60DE" ns2:paraId="2149342A" ns2:textId="77777777" w:rsidTr="00AC2178">
        <w:tc>
          <w:tcPr>
            <w:tcW w:w="9638" w:type="dxa"/>
          </w:tcPr>
          <w:p ns2:paraId="3DAFEDF9" ns2:textId="6C8ED48B" w:rsidR="00DE60DE" w:rsidRDefault="00DE60DE" w:rsidP="00DE60DE">
            <w:pPr>
              <w:pStyle w:val="Subtitle"/>
            </w:pPr>
            <w:r>
              <w:fldChar w:fldCharType="begin"/>
            </w:r>
            <w:r>
              <w:instrText xml:space="preserve"> DATE  \@ "d MMMM yyyy"  \* MERGEFORMAT </w:instrText>
            </w:r>
            <w:r>
              <w:fldChar w:fldCharType="separate"/>
            </w:r>
            <w:r w:rsidR="005B0B72">
              <w:rPr>
                <w:noProof/>
              </w:rPr>
              <w:t>8 May 2026</w:t>
            </w:r>
            <w:r>
              <w:fldChar w:fldCharType="end"/>
            </w:r>
            <w:r>
              <w:t xml:space="preserve"> | Enhanced Documentation</w:t>
            </w:r>
            <w:r>
              <w:fldChar w:fldCharType="begin"/>
            </w:r>
            <w:r>
              <w:instrText xml:space="preserve"> MACROBUTTON  AcceptAllChangesInDoc 0.01 </w:instrText>
            </w:r>
            <w:r>
              <w:fldChar w:fldCharType="end"/>
            </w:r>
          </w:p>
        </w:tc>
      </w:tr>
      <w:tr w:rsidR="00DE60DE" ns2:paraId="3D2DF1A2" ns2:textId="77777777" w:rsidTr="00AC2178">
        <w:tc>
          <w:tcPr>
            <w:tcW w:w="9638" w:type="dxa"/>
          </w:tcPr>
          <w:p ns2:paraId="10140DF3" ns2:textId="77777777" w:rsidR="00DE60DE" w:rsidRDefault="00DE60DE" w:rsidP="00DE60DE">
            <w:pPr>
              <w:pStyle w:val="Subtitle"/>
            </w:pPr>
            <w:r>
              <w:fldChar w:fldCharType="begin"/>
            </w:r>
            <w:r>
              <w:instrText xml:space="preserve"> MACROBUTTON  AcceptAllChangesInDoc FirstName LastName </w:instrText>
            </w:r>
            <w:r>
              <w:fldChar w:fldCharType="end"/>
            </w:r>
          </w:p>
          <w:p ns2:paraId="1062E669" ns2:textId="3E5043F0" w:rsidR="00DE60DE" w:rsidRDefault="00DE60DE" w:rsidP="00DE60DE">
            <w:r>
              <w:fldChar w:fldCharType="begin"/>
            </w:r>
            <w:r>
              <w:instrText xml:space="preserve"> MACROBUTTON  AcceptAllChangesInDoc 0000 000 0000 </w:instrText>
            </w:r>
            <w:r>
              <w:fldChar w:fldCharType="end"/>
            </w:r>
            <w:r>
              <w:t xml:space="preserve">NTT DATA template edition</w:t>
            </w:r>
            <w:r>
              <w:fldChar w:fldCharType="begin"/>
            </w:r>
            <w:r>
              <w:instrText xml:space="preserve"> MACROBUTTON  AcceptAllChangesInDoc 0000 000 0000 </w:instrText>
            </w:r>
            <w:r>
              <w:fldChar w:fldCharType="end"/>
            </w:r>
          </w:p>
        </w:tc>
      </w:tr>
      <w:tr w:rsidR="00DE60DE" ns2:paraId="3BCDE335" ns2:textId="77777777" w:rsidTr="00AC2178">
        <w:tc>
          <w:tcPr>
            <w:tcW w:w="9638" w:type="dxa"/>
          </w:tcPr>
          <w:p ns2:paraId="269BA321" ns2:textId="77777777" w:rsidR="00DE60DE" w:rsidRDefault="00DE60DE" w:rsidP="00702A7E"/>
        </w:tc>
      </w:tr>
    </w:tbl>
    <w:p ns2:paraId="1439F608" ns2:textId="4A974D39" w:rsidR="00824EC5" w:rsidRDefault="00824EC5" w:rsidP="00E55EA1">
      <w:pPr>
        <w:sectPr w:rsidR="00824EC5" w:rsidSect="00E728B1">
          <w:headerReference w:type="even" r:id="rId12"/>
          <w:headerReference w:type="default" r:id="rId13"/>
          <w:footerReference w:type="even" r:id="rId14"/>
          <w:footerReference w:type="default" r:id="rId15"/>
          <w:headerReference w:type="first" r:id="rId16"/>
          <w:footerReference w:type="first" r:id="rId17"/>
          <w:pgSz w:w="11906" w:h="16838"/>
          <w:pgMar w:top="1702" w:right="1134" w:bottom="1134" w:left="1134" w:header="709" w:footer="709" w:gutter="0"/>
          <w:cols w:space="708"/>
          <w:titlePg/>
          <w:docGrid w:linePitch="360"/>
        </w:sectPr>
      </w:pPr>
    </w:p>
    <w:p>
      <w:pPr>
        <w:pStyle w:val="TOCHeading"/>
      </w:pPr>
      <w:r>
        <w:t>Contents</w:t>
      </w:r>
    </w:p>
    <w:p>
      <w:pPr>
        <w:pStyle w:val="TOC1"/>
      </w:pPr>
      <w:r>
        <w:t>Document profile</w:t>
      </w:r>
    </w:p>
    <w:p>
      <w:pPr>
        <w:pStyle w:val="TOC1"/>
      </w:pPr>
      <w:r>
        <w:t>Document history</w:t>
      </w:r>
    </w:p>
    <w:p>
      <w:pPr>
        <w:pStyle w:val="TOC1"/>
      </w:pPr>
      <w:r>
        <w:t>List of abbreviations</w:t>
      </w:r>
    </w:p>
    <w:p>
      <w:pPr>
        <w:pStyle w:val="TOC1"/>
      </w:pPr>
      <w:r>
        <w:t>Architecture snapshot</w:t>
      </w:r>
    </w:p>
    <w:p>
      <w:pPr>
        <w:pStyle w:val="TOC1"/>
      </w:pPr>
      <w:r>
        <w:t>1. Project Identity</w:t>
      </w:r>
    </w:p>
    <w:p>
      <w:pPr>
        <w:pStyle w:val="TOC1"/>
      </w:pPr>
      <w:r>
        <w:t>2. Repository Inventory</w:t>
      </w:r>
    </w:p>
    <w:p>
      <w:pPr>
        <w:pStyle w:val="TOC1"/>
      </w:pPr>
      <w:r>
        <w:t>3. Runtime Architecture</w:t>
      </w:r>
    </w:p>
    <w:p>
      <w:pPr>
        <w:pStyle w:val="TOC1"/>
      </w:pPr>
      <w:r>
        <w:t>4. Package, Vite, and HTML Entry Points</w:t>
      </w:r>
    </w:p>
    <w:p>
      <w:pPr>
        <w:pStyle w:val="TOC2"/>
      </w:pPr>
      <w:r>
        <w:t>package.json</w:t>
      </w:r>
    </w:p>
    <w:p>
      <w:pPr>
        <w:pStyle w:val="TOC2"/>
      </w:pPr>
      <w:r>
        <w:t>vite.config.js</w:t>
      </w:r>
    </w:p>
    <w:p>
      <w:pPr>
        <w:pStyle w:val="TOC2"/>
      </w:pPr>
      <w:r>
        <w:t>index.html</w:t>
      </w:r>
    </w:p>
    <w:p>
      <w:pPr>
        <w:pStyle w:val="TOC1"/>
      </w:pPr>
      <w:r>
        <w:t>5. Frontend: src/main.jsx</w:t>
      </w:r>
    </w:p>
    <w:p>
      <w:pPr>
        <w:pStyle w:val="TOC2"/>
      </w:pPr>
      <w:r>
        <w:t>starterAgents</w:t>
      </w:r>
    </w:p>
    <w:p>
      <w:pPr>
        <w:pStyle w:val="TOC2"/>
      </w:pPr>
      <w:r>
        <w:t>promptChecks</w:t>
      </w:r>
    </w:p>
    <w:p>
      <w:pPr>
        <w:pStyle w:val="TOC2"/>
      </w:pPr>
      <w:r>
        <w:t>App State Model</w:t>
      </w:r>
    </w:p>
    <w:p>
      <w:pPr>
        <w:pStyle w:val="TOC1"/>
      </w:pPr>
      <w:r>
        <w:t>6. Backend: server/index.js</w:t>
      </w:r>
    </w:p>
    <w:p>
      <w:pPr>
        <w:pStyle w:val="TOC2"/>
      </w:pPr>
      <w:r>
        <w:t>GET /api/health</w:t>
      </w:r>
    </w:p>
    <w:p>
      <w:pPr>
        <w:pStyle w:val="TOC2"/>
      </w:pPr>
      <w:r>
        <w:t>GET /api/models</w:t>
      </w:r>
    </w:p>
    <w:p>
      <w:pPr>
        <w:pStyle w:val="TOC2"/>
      </w:pPr>
      <w:r>
        <w:t>POST /api/api-models</w:t>
      </w:r>
    </w:p>
    <w:p>
      <w:pPr>
        <w:pStyle w:val="TOC2"/>
      </w:pPr>
      <w:r>
        <w:t>POST /api/chat</w:t>
      </w:r>
    </w:p>
    <w:p>
      <w:pPr>
        <w:pStyle w:val="TOC2"/>
      </w:pPr>
      <w:r>
        <w:t>POST /api/prompt-suggestions</w:t>
      </w:r>
    </w:p>
    <w:p>
      <w:pPr>
        <w:pStyle w:val="TOC1"/>
      </w:pPr>
      <w:r>
        <w:t>7. Styling: src/styles.css</w:t>
      </w:r>
    </w:p>
    <w:p>
      <w:pPr>
        <w:pStyle w:val="TOC2"/>
      </w:pPr>
      <w:r>
        <w:t>Root Variables and Global Base</w:t>
      </w:r>
    </w:p>
    <w:p>
      <w:pPr>
        <w:pStyle w:val="TOC1"/>
      </w:pPr>
      <w:r>
        <w:t>8. Data Model and Persistence</w:t>
      </w:r>
    </w:p>
    <w:p>
      <w:pPr>
        <w:pStyle w:val="TOC1"/>
      </w:pPr>
      <w:r>
        <w:t>9. Request and Response Flows</w:t>
      </w:r>
    </w:p>
    <w:p>
      <w:pPr>
        <w:pStyle w:val="TOC1"/>
      </w:pPr>
      <w:r>
        <w:t>10. Error Handling Strategy</w:t>
      </w:r>
    </w:p>
    <w:p>
      <w:pPr>
        <w:pStyle w:val="TOC1"/>
      </w:pPr>
      <w:r>
        <w:t>11. Security and Privacy Notes</w:t>
      </w:r>
    </w:p>
    <w:p>
      <w:pPr>
        <w:pStyle w:val="TOC1"/>
      </w:pPr>
      <w:r>
        <w:t>12. Maintenance Guide</w:t>
      </w:r>
    </w:p>
    <w:p>
      <w:pPr>
        <w:pStyle w:val="TOC2"/>
      </w:pPr>
      <w:r>
        <w:t>Adding a New Prompt Template</w:t>
      </w:r>
    </w:p>
    <w:p>
      <w:pPr>
        <w:pStyle w:val="TOC2"/>
      </w:pPr>
      <w:r>
        <w:t>Adding Another AI Provider</w:t>
      </w:r>
    </w:p>
    <w:p>
      <w:pPr>
        <w:pStyle w:val="TOC1"/>
      </w:pPr>
      <w:r>
        <w:t>13. Line Range Reference</w:t>
      </w:r>
    </w:p>
    <w:p>
      <w:pPr>
        <w:pStyle w:val="TOC2"/>
      </w:pPr>
      <w:r>
        <w:t>src/main.jsx</w:t>
      </w:r>
    </w:p>
    <w:p>
      <w:pPr>
        <w:pStyle w:val="TOC2"/>
      </w:pPr>
      <w:r>
        <w:t>server/index.js</w:t>
      </w:r>
    </w:p>
    <w:p>
      <w:pPr>
        <w:pStyle w:val="TOC2"/>
      </w:pPr>
      <w:r>
        <w:t>src/styles.css</w:t>
      </w:r>
    </w:p>
    <w:p>
      <w:pPr>
        <w:pStyle w:val="TOC1"/>
      </w:pPr>
      <w:r>
        <w:t>14. Glossary</w:t>
      </w:r>
    </w:p>
    <w:p>
      <w:pPr>
        <w:pStyle w:val="TOC1"/>
      </w:pPr>
      <w:r>
        <w:t>Closing Mental Model</w:t>
      </w:r>
    </w:p>
    <w:p>
      <w:r>
        <w:br w:type="page"/>
      </w:r>
    </w:p>
    <w:p>
      <w:pPr>
        <w:pStyle w:val="Heading4"/>
      </w:pPr>
      <w:r>
        <w:t>Document profile</w:t>
      </w:r>
    </w:p>
    <w:tbl>
      <w:tblPr>
        <w:tblStyle w:val="NTTFutureBluetable"/>
        <w:tblW w:w="5000" w:type="pct"/>
        <w:tblLook w:val="04A0" w:firstRow="1" w:lastRow="0" w:firstColumn="1" w:lastColumn="0" w:noHBand="0" w:noVBand="1"/>
      </w:tblPr>
      <w:tr>
        <w:trPr>
          <w:tblHeader/>
        </w:trPr>
        <w:tc>
          <w:tcPr>
            <w:tcW w:w="2600" w:type="dxa"/>
            <w:shd w:val="clear" w:color="auto" w:fill="0072BC"/>
          </w:tcPr>
          <w:p>
            <w:pPr>
              <w:pStyle w:val="NTTTableBodyText"/>
            </w:pPr>
            <w:r>
              <w:rPr>
                <w:b/>
                <w:color w:val="FFFFFF"/>
              </w:rPr>
              <w:t>Field</w:t>
            </w:r>
          </w:p>
        </w:tc>
        <w:tc>
          <w:tcPr>
            <w:tcW w:w="6500" w:type="dxa"/>
            <w:shd w:val="clear" w:color="auto" w:fill="0072BC"/>
          </w:tcPr>
          <w:p>
            <w:pPr>
              <w:pStyle w:val="NTTTableBodyText"/>
            </w:pPr>
            <w:r>
              <w:rPr>
                <w:b/>
                <w:color w:val="FFFFFF"/>
              </w:rPr>
              <w:t>Value</w:t>
            </w:r>
          </w:p>
        </w:tc>
      </w:tr>
      <w:tr>
        <w:tc>
          <w:tcPr>
            <w:tcW w:w="2600" w:type="dxa"/>
          </w:tcPr>
          <w:p>
            <w:pPr>
              <w:pStyle w:val="NTTTableBodyText"/>
            </w:pPr>
            <w:r>
              <w:t>Document title</w:t>
            </w:r>
          </w:p>
        </w:tc>
        <w:tc>
          <w:tcPr>
            <w:tcW w:w="6500" w:type="dxa"/>
          </w:tcPr>
          <w:p>
            <w:pPr>
              <w:pStyle w:val="NTTTableBodyText"/>
            </w:pPr>
            <w:r>
              <w:t>Prompt Lab Code Documentation</w:t>
            </w:r>
          </w:p>
        </w:tc>
      </w:tr>
      <w:tr>
        <w:tc>
          <w:tcPr>
            <w:tcW w:w="2600" w:type="dxa"/>
          </w:tcPr>
          <w:p>
            <w:pPr>
              <w:pStyle w:val="NTTTableBodyText"/>
            </w:pPr>
            <w:r>
              <w:t>Project path</w:t>
            </w:r>
          </w:p>
        </w:tc>
        <w:tc>
          <w:tcPr>
            <w:tcW w:w="6500" w:type="dxa"/>
          </w:tcPr>
          <w:p>
            <w:pPr>
              <w:pStyle w:val="NTTTableBodyText"/>
            </w:pPr>
            <w:r>
              <w:t>/home/leonbischoff/Code/personal/AI-</w:t>
            </w:r>
          </w:p>
        </w:tc>
      </w:tr>
      <w:tr>
        <w:tc>
          <w:tcPr>
            <w:tcW w:w="2600" w:type="dxa"/>
          </w:tcPr>
          <w:p>
            <w:pPr>
              <w:pStyle w:val="NTTTableBodyText"/>
            </w:pPr>
            <w:r>
              <w:t>Application type</w:t>
            </w:r>
          </w:p>
        </w:tc>
        <w:tc>
          <w:tcPr>
            <w:tcW w:w="6500" w:type="dxa"/>
          </w:tcPr>
          <w:p>
            <w:pPr>
              <w:pStyle w:val="NTTTableBodyText"/>
            </w:pPr>
            <w:r>
              <w:t>Local React + Vite frontend with Express provider bridge</w:t>
            </w:r>
          </w:p>
        </w:tc>
      </w:tr>
      <w:tr>
        <w:tc>
          <w:tcPr>
            <w:tcW w:w="2600" w:type="dxa"/>
          </w:tcPr>
          <w:p>
            <w:pPr>
              <w:pStyle w:val="NTTTableBodyText"/>
            </w:pPr>
            <w:r>
              <w:t>Documentation scope</w:t>
            </w:r>
          </w:p>
        </w:tc>
        <w:tc>
          <w:tcPr>
            <w:tcW w:w="6500" w:type="dxa"/>
          </w:tcPr>
          <w:p>
            <w:pPr>
              <w:pStyle w:val="NTTTableBodyText"/>
            </w:pPr>
            <w:r>
              <w:t>Code explanation, architecture, data flow, route behavior, styling, persistence, risks, and maintenance guidance</w:t>
            </w:r>
          </w:p>
        </w:tc>
      </w:tr>
      <w:tr>
        <w:tc>
          <w:tcPr>
            <w:tcW w:w="2600" w:type="dxa"/>
          </w:tcPr>
          <w:p>
            <w:pPr>
              <w:pStyle w:val="NTTTableBodyText"/>
            </w:pPr>
            <w:r>
              <w:t>Template applied</w:t>
            </w:r>
          </w:p>
        </w:tc>
        <w:tc>
          <w:tcPr>
            <w:tcW w:w="6500" w:type="dxa"/>
          </w:tcPr>
          <w:p>
            <w:pPr>
              <w:pStyle w:val="NTTTableBodyText"/>
            </w:pPr>
            <w:r>
              <w:t>NTT_DATA_Word_template.docx</w:t>
            </w:r>
          </w:p>
        </w:tc>
      </w:tr>
      <w:tr>
        <w:tc>
          <w:tcPr>
            <w:tcW w:w="2600" w:type="dxa"/>
          </w:tcPr>
          <w:p>
            <w:pPr>
              <w:pStyle w:val="NTTTableBodyText"/>
            </w:pPr>
            <w:r>
              <w:t>Enhanced output</w:t>
            </w:r>
          </w:p>
        </w:tc>
        <w:tc>
          <w:tcPr>
            <w:tcW w:w="6500" w:type="dxa"/>
          </w:tcPr>
          <w:p>
            <w:pPr>
              <w:pStyle w:val="NTTTableBodyText"/>
            </w:pPr>
            <w:r>
              <w:t>Prompt_Lab_Code_Documentation_NTT_Enhanced.docx</w:t>
            </w:r>
          </w:p>
        </w:tc>
      </w:tr>
    </w:tbl>
    <w:p>
      <w:pPr>
        <w:pStyle w:val="BodyText"/>
      </w:pPr>
      <w:r>
        <w:t>This edition keeps the excessive code explanation from the original documentation, then places it inside the NTT DATA Word template structure. The template supplies the cover treatment, headers, footers, document styles, table styles, numbering definitions, and branded typography.</w:t>
      </w:r>
    </w:p>
    <w:p>
      <w:pPr>
        <w:pStyle w:val="NTTHistoryHeading"/>
      </w:pPr>
      <w:r>
        <w:t>Document history</w:t>
      </w:r>
    </w:p>
    <w:tbl>
      <w:tblPr>
        <w:tblStyle w:val="SmartNavytable"/>
        <w:tblW w:w="5000" w:type="pct"/>
        <w:tblLook w:val="04A0" w:firstRow="1" w:lastRow="0" w:firstColumn="1" w:lastColumn="0" w:noHBand="0" w:noVBand="1"/>
      </w:tblPr>
      <w:tr>
        <w:trPr>
          <w:tblHeader/>
        </w:trPr>
        <w:tc>
          <w:tcPr>
            <w:tcW w:w="1200" w:type="dxa"/>
            <w:shd w:val="clear" w:color="auto" w:fill="0072BC"/>
          </w:tcPr>
          <w:p>
            <w:pPr>
              <w:pStyle w:val="NTTTableBodyText"/>
            </w:pPr>
            <w:r>
              <w:rPr>
                <w:b/>
                <w:color w:val="FFFFFF"/>
              </w:rPr>
              <w:t>Issue</w:t>
            </w:r>
          </w:p>
        </w:tc>
        <w:tc>
          <w:tcPr>
            <w:tcW w:w="1800" w:type="dxa"/>
            <w:shd w:val="clear" w:color="auto" w:fill="0072BC"/>
          </w:tcPr>
          <w:p>
            <w:pPr>
              <w:pStyle w:val="NTTTableBodyText"/>
            </w:pPr>
            <w:r>
              <w:rPr>
                <w:b/>
                <w:color w:val="FFFFFF"/>
              </w:rPr>
              <w:t>Date</w:t>
            </w:r>
          </w:p>
        </w:tc>
        <w:tc>
          <w:tcPr>
            <w:tcW w:w="5900" w:type="dxa"/>
            <w:shd w:val="clear" w:color="auto" w:fill="0072BC"/>
          </w:tcPr>
          <w:p>
            <w:pPr>
              <w:pStyle w:val="NTTTableBodyText"/>
            </w:pPr>
            <w:r>
              <w:rPr>
                <w:b/>
                <w:color w:val="FFFFFF"/>
              </w:rPr>
              <w:t>Comments</w:t>
            </w:r>
          </w:p>
        </w:tc>
        <w:tc>
          <w:tcPr>
            <w:tcW w:w="1700" w:type="dxa"/>
            <w:shd w:val="clear" w:color="auto" w:fill="0072BC"/>
          </w:tcPr>
          <w:p>
            <w:pPr>
              <w:pStyle w:val="NTTTableBodyText"/>
            </w:pPr>
            <w:r>
              <w:rPr>
                <w:b/>
                <w:color w:val="FFFFFF"/>
              </w:rPr>
              <w:t>Pages Affected</w:t>
            </w:r>
          </w:p>
        </w:tc>
      </w:tr>
      <w:tr>
        <w:tc>
          <w:tcPr>
            <w:tcW w:w="1200" w:type="dxa"/>
          </w:tcPr>
          <w:p>
            <w:pPr>
              <w:pStyle w:val="NTTTableBodyText"/>
            </w:pPr>
            <w:r>
              <w:t>1.00</w:t>
            </w:r>
          </w:p>
        </w:tc>
        <w:tc>
          <w:tcPr>
            <w:tcW w:w="1800" w:type="dxa"/>
          </w:tcPr>
          <w:p>
            <w:pPr>
              <w:pStyle w:val="NTTTableBodyText"/>
            </w:pPr>
            <w:r>
              <w:t>7 May 2026</w:t>
            </w:r>
          </w:p>
        </w:tc>
        <w:tc>
          <w:tcPr>
            <w:tcW w:w="5900" w:type="dxa"/>
          </w:tcPr>
          <w:p>
            <w:pPr>
              <w:pStyle w:val="NTTTableBodyText"/>
            </w:pPr>
            <w:r>
              <w:t>Initial extensive Prompt Lab code documentation generated as a standalone Word document.</w:t>
            </w:r>
          </w:p>
        </w:tc>
        <w:tc>
          <w:tcPr>
            <w:tcW w:w="1700" w:type="dxa"/>
          </w:tcPr>
          <w:p>
            <w:pPr>
              <w:pStyle w:val="NTTTableBodyText"/>
            </w:pPr>
            <w:r>
              <w:t>All</w:t>
            </w:r>
          </w:p>
        </w:tc>
      </w:tr>
      <w:tr>
        <w:tc>
          <w:tcPr>
            <w:tcW w:w="1200" w:type="dxa"/>
          </w:tcPr>
          <w:p>
            <w:pPr>
              <w:pStyle w:val="NTTTableBodyText"/>
            </w:pPr>
            <w:r>
              <w:t>2.00</w:t>
            </w:r>
          </w:p>
        </w:tc>
        <w:tc>
          <w:tcPr>
            <w:tcW w:w="1800" w:type="dxa"/>
          </w:tcPr>
          <w:p>
            <w:pPr>
              <w:pStyle w:val="NTTTableBodyText"/>
            </w:pPr>
            <w:r>
              <w:t>8 May 2026</w:t>
            </w:r>
          </w:p>
        </w:tc>
        <w:tc>
          <w:tcPr>
            <w:tcW w:w="5900" w:type="dxa"/>
          </w:tcPr>
          <w:p>
            <w:pPr>
              <w:pStyle w:val="NTTTableBodyText"/>
            </w:pPr>
            <w:r>
              <w:t>Enhanced with NTT DATA template layout, branded styles, front matter, profile table, abbreviation list, and architecture snapshot.</w:t>
            </w:r>
          </w:p>
        </w:tc>
        <w:tc>
          <w:tcPr>
            <w:tcW w:w="1700" w:type="dxa"/>
          </w:tcPr>
          <w:p>
            <w:pPr>
              <w:pStyle w:val="NTTTableBodyText"/>
            </w:pPr>
            <w:r>
              <w:t>All</w:t>
            </w:r>
          </w:p>
        </w:tc>
      </w:tr>
    </w:tbl>
    <w:p>
      <w:pPr>
        <w:pStyle w:val="Heading4"/>
      </w:pPr>
      <w:r>
        <w:t>List of abbreviations</w:t>
      </w:r>
    </w:p>
    <w:tbl>
      <w:tblPr>
        <w:tblStyle w:val="NTTFutureBluetable"/>
        <w:tblW w:w="5000" w:type="pct"/>
        <w:tblLook w:val="04A0" w:firstRow="1" w:lastRow="0" w:firstColumn="1" w:lastColumn="0" w:noHBand="0" w:noVBand="1"/>
      </w:tblPr>
      <w:tr>
        <w:trPr>
          <w:tblHeader/>
        </w:trPr>
        <w:tc>
          <w:tcPr>
            <w:tcW w:w="2200" w:type="dxa"/>
            <w:shd w:val="clear" w:color="auto" w:fill="0072BC"/>
          </w:tcPr>
          <w:p>
            <w:pPr>
              <w:pStyle w:val="NTTTableBodyText"/>
            </w:pPr>
            <w:r>
              <w:rPr>
                <w:b/>
                <w:color w:val="FFFFFF"/>
              </w:rPr>
              <w:t>Abbreviation</w:t>
            </w:r>
          </w:p>
        </w:tc>
        <w:tc>
          <w:tcPr>
            <w:tcW w:w="6900" w:type="dxa"/>
            <w:shd w:val="clear" w:color="auto" w:fill="0072BC"/>
          </w:tcPr>
          <w:p>
            <w:pPr>
              <w:pStyle w:val="NTTTableBodyText"/>
            </w:pPr>
            <w:r>
              <w:rPr>
                <w:b/>
                <w:color w:val="FFFFFF"/>
              </w:rPr>
              <w:t>Meaning</w:t>
            </w:r>
          </w:p>
        </w:tc>
      </w:tr>
      <w:tr>
        <w:tc>
          <w:tcPr>
            <w:tcW w:w="2200" w:type="dxa"/>
          </w:tcPr>
          <w:p>
            <w:pPr>
              <w:pStyle w:val="NTTTableBodyText"/>
            </w:pPr>
            <w:r>
              <w:t>API</w:t>
            </w:r>
          </w:p>
        </w:tc>
        <w:tc>
          <w:tcPr>
            <w:tcW w:w="6900" w:type="dxa"/>
          </w:tcPr>
          <w:p>
            <w:pPr>
              <w:pStyle w:val="NTTTableBodyText"/>
            </w:pPr>
            <w:r>
              <w:t>Application Programming Interface</w:t>
            </w:r>
          </w:p>
        </w:tc>
      </w:tr>
      <w:tr>
        <w:tc>
          <w:tcPr>
            <w:tcW w:w="2200" w:type="dxa"/>
          </w:tcPr>
          <w:p>
            <w:pPr>
              <w:pStyle w:val="NTTTableBodyText"/>
            </w:pPr>
            <w:r>
              <w:t>CSS</w:t>
            </w:r>
          </w:p>
        </w:tc>
        <w:tc>
          <w:tcPr>
            <w:tcW w:w="6900" w:type="dxa"/>
          </w:tcPr>
          <w:p>
            <w:pPr>
              <w:pStyle w:val="NTTTableBodyText"/>
            </w:pPr>
            <w:r>
              <w:t>Cascading Style Sheets</w:t>
            </w:r>
          </w:p>
        </w:tc>
      </w:tr>
      <w:tr>
        <w:tc>
          <w:tcPr>
            <w:tcW w:w="2200" w:type="dxa"/>
          </w:tcPr>
          <w:p>
            <w:pPr>
              <w:pStyle w:val="NTTTableBodyText"/>
            </w:pPr>
            <w:r>
              <w:t>ESM</w:t>
            </w:r>
          </w:p>
        </w:tc>
        <w:tc>
          <w:tcPr>
            <w:tcW w:w="6900" w:type="dxa"/>
          </w:tcPr>
          <w:p>
            <w:pPr>
              <w:pStyle w:val="NTTTableBodyText"/>
            </w:pPr>
            <w:r>
              <w:t>ECMAScript Modules</w:t>
            </w:r>
          </w:p>
        </w:tc>
      </w:tr>
      <w:tr>
        <w:tc>
          <w:tcPr>
            <w:tcW w:w="2200" w:type="dxa"/>
          </w:tcPr>
          <w:p>
            <w:pPr>
              <w:pStyle w:val="NTTTableBodyText"/>
            </w:pPr>
            <w:r>
              <w:t>JSX</w:t>
            </w:r>
          </w:p>
        </w:tc>
        <w:tc>
          <w:tcPr>
            <w:tcW w:w="6900" w:type="dxa"/>
          </w:tcPr>
          <w:p>
            <w:pPr>
              <w:pStyle w:val="NTTTableBodyText"/>
            </w:pPr>
            <w:r>
              <w:t>JavaScript XML syntax used by React</w:t>
            </w:r>
          </w:p>
        </w:tc>
      </w:tr>
      <w:tr>
        <w:tc>
          <w:tcPr>
            <w:tcW w:w="2200" w:type="dxa"/>
          </w:tcPr>
          <w:p>
            <w:pPr>
              <w:pStyle w:val="NTTTableBodyText"/>
            </w:pPr>
            <w:r>
              <w:t>LLM</w:t>
            </w:r>
          </w:p>
        </w:tc>
        <w:tc>
          <w:tcPr>
            <w:tcW w:w="6900" w:type="dxa"/>
          </w:tcPr>
          <w:p>
            <w:pPr>
              <w:pStyle w:val="NTTTableBodyText"/>
            </w:pPr>
            <w:r>
              <w:t>Large Language Model</w:t>
            </w:r>
          </w:p>
        </w:tc>
      </w:tr>
      <w:tr>
        <w:tc>
          <w:tcPr>
            <w:tcW w:w="2200" w:type="dxa"/>
          </w:tcPr>
          <w:p>
            <w:pPr>
              <w:pStyle w:val="NTTTableBodyText"/>
            </w:pPr>
            <w:r>
              <w:t>SDK</w:t>
            </w:r>
          </w:p>
        </w:tc>
        <w:tc>
          <w:tcPr>
            <w:tcW w:w="6900" w:type="dxa"/>
          </w:tcPr>
          <w:p>
            <w:pPr>
              <w:pStyle w:val="NTTTableBodyText"/>
            </w:pPr>
            <w:r>
              <w:t>Software Development Kit</w:t>
            </w:r>
          </w:p>
        </w:tc>
      </w:tr>
      <w:tr>
        <w:tc>
          <w:tcPr>
            <w:tcW w:w="2200" w:type="dxa"/>
          </w:tcPr>
          <w:p>
            <w:pPr>
              <w:pStyle w:val="NTTTableBodyText"/>
            </w:pPr>
            <w:r>
              <w:t>TOC</w:t>
            </w:r>
          </w:p>
        </w:tc>
        <w:tc>
          <w:tcPr>
            <w:tcW w:w="6900" w:type="dxa"/>
          </w:tcPr>
          <w:p>
            <w:pPr>
              <w:pStyle w:val="NTTTableBodyText"/>
            </w:pPr>
            <w:r>
              <w:t>Table of Contents</w:t>
            </w:r>
          </w:p>
        </w:tc>
      </w:tr>
      <w:tr>
        <w:tc>
          <w:tcPr>
            <w:tcW w:w="2200" w:type="dxa"/>
          </w:tcPr>
          <w:p>
            <w:pPr>
              <w:pStyle w:val="NTTTableBodyText"/>
            </w:pPr>
            <w:r>
              <w:t>UI</w:t>
            </w:r>
          </w:p>
        </w:tc>
        <w:tc>
          <w:tcPr>
            <w:tcW w:w="6900" w:type="dxa"/>
          </w:tcPr>
          <w:p>
            <w:pPr>
              <w:pStyle w:val="NTTTableBodyText"/>
            </w:pPr>
            <w:r>
              <w:t>User Interface</w:t>
            </w:r>
          </w:p>
        </w:tc>
      </w:tr>
    </w:tbl>
    <w:p>
      <w:pPr>
        <w:pStyle w:val="Heading1"/>
      </w:pPr>
      <w:r>
        <w:t>Architecture snapshot</w:t>
      </w:r>
    </w:p>
    <w:p>
      <w:pPr>
        <w:pStyle w:val="BodyText"/>
      </w:pPr>
      <w:r>
        <w:t>The application is easiest to understand as a local-first browser experience with a thin backend bridge. The browser owns editable data, UI state, and local persistence. The backend owns provider access, request validation, error normalization, and production static hosting.</w:t>
      </w:r>
    </w:p>
    <w:tbl>
      <w:tblPr>
        <w:tblStyle w:val="SmartNavytable"/>
        <w:tblW w:w="5000" w:type="pct"/>
        <w:tblLook w:val="04A0" w:firstRow="1" w:lastRow="0" w:firstColumn="1" w:lastColumn="0" w:noHBand="0" w:noVBand="1"/>
      </w:tblPr>
      <w:tr>
        <w:trPr>
          <w:tblHeader/>
        </w:trPr>
        <w:tc>
          <w:tcPr>
            <w:tcW w:w="1900" w:type="dxa"/>
            <w:shd w:val="clear" w:color="auto" w:fill="0072BC"/>
          </w:tcPr>
          <w:p>
            <w:pPr>
              <w:pStyle w:val="NTTTableBodyText"/>
            </w:pPr>
            <w:r>
              <w:rPr>
                <w:b/>
                <w:color w:val="FFFFFF"/>
              </w:rPr>
              <w:t>Layer</w:t>
            </w:r>
          </w:p>
        </w:tc>
        <w:tc>
          <w:tcPr>
            <w:tcW w:w="3000" w:type="dxa"/>
            <w:shd w:val="clear" w:color="auto" w:fill="0072BC"/>
          </w:tcPr>
          <w:p>
            <w:pPr>
              <w:pStyle w:val="NTTTableBodyText"/>
            </w:pPr>
            <w:r>
              <w:rPr>
                <w:b/>
                <w:color w:val="FFFFFF"/>
              </w:rPr>
              <w:t>Primary files</w:t>
            </w:r>
          </w:p>
        </w:tc>
        <w:tc>
          <w:tcPr>
            <w:tcW w:w="5200" w:type="dxa"/>
            <w:shd w:val="clear" w:color="auto" w:fill="0072BC"/>
          </w:tcPr>
          <w:p>
            <w:pPr>
              <w:pStyle w:val="NTTTableBodyText"/>
            </w:pPr>
            <w:r>
              <w:rPr>
                <w:b/>
                <w:color w:val="FFFFFF"/>
              </w:rPr>
              <w:t>Main responsibility</w:t>
            </w:r>
          </w:p>
        </w:tc>
      </w:tr>
      <w:tr>
        <w:tc>
          <w:tcPr>
            <w:tcW w:w="1900" w:type="dxa"/>
          </w:tcPr>
          <w:p>
            <w:pPr>
              <w:pStyle w:val="NTTTableBodyText"/>
            </w:pPr>
            <w:r>
              <w:t>Frontend UI</w:t>
            </w:r>
          </w:p>
        </w:tc>
        <w:tc>
          <w:tcPr>
            <w:tcW w:w="3000" w:type="dxa"/>
          </w:tcPr>
          <w:p>
            <w:pPr>
              <w:pStyle w:val="NTTTableBodyText"/>
            </w:pPr>
            <w:r>
              <w:t>src/main.jsx, src/styles.css</w:t>
            </w:r>
          </w:p>
        </w:tc>
        <w:tc>
          <w:tcPr>
            <w:tcW w:w="5200" w:type="dxa"/>
          </w:tcPr>
          <w:p>
            <w:pPr>
              <w:pStyle w:val="NTTTableBodyText"/>
            </w:pPr>
            <w:r>
              <w:t>Renders the Prompt Lab workspace, manages React state, persists local settings, and sends JSON requests to /api routes.</w:t>
            </w:r>
          </w:p>
        </w:tc>
      </w:tr>
      <w:tr>
        <w:tc>
          <w:tcPr>
            <w:tcW w:w="1900" w:type="dxa"/>
          </w:tcPr>
          <w:p>
            <w:pPr>
              <w:pStyle w:val="NTTTableBodyText"/>
            </w:pPr>
            <w:r>
              <w:t>Dev/build tooling</w:t>
            </w:r>
          </w:p>
        </w:tc>
        <w:tc>
          <w:tcPr>
            <w:tcW w:w="3000" w:type="dxa"/>
          </w:tcPr>
          <w:p>
            <w:pPr>
              <w:pStyle w:val="NTTTableBodyText"/>
            </w:pPr>
            <w:r>
              <w:t>package.json, vite.config.js, index.html</w:t>
            </w:r>
          </w:p>
        </w:tc>
        <w:tc>
          <w:tcPr>
            <w:tcW w:w="5200" w:type="dxa"/>
          </w:tcPr>
          <w:p>
            <w:pPr>
              <w:pStyle w:val="NTTTableBodyText"/>
            </w:pPr>
            <w:r>
              <w:t>Starts the client/server workflow, configures Vite React support, and proxies /api requests during development.</w:t>
            </w:r>
          </w:p>
        </w:tc>
      </w:tr>
      <w:tr>
        <w:tc>
          <w:tcPr>
            <w:tcW w:w="1900" w:type="dxa"/>
          </w:tcPr>
          <w:p>
            <w:pPr>
              <w:pStyle w:val="NTTTableBodyText"/>
            </w:pPr>
            <w:r>
              <w:t>Backend API</w:t>
            </w:r>
          </w:p>
        </w:tc>
        <w:tc>
          <w:tcPr>
            <w:tcW w:w="3000" w:type="dxa"/>
          </w:tcPr>
          <w:p>
            <w:pPr>
              <w:pStyle w:val="NTTTableBodyText"/>
            </w:pPr>
            <w:r>
              <w:t>server/index.js</w:t>
            </w:r>
          </w:p>
        </w:tc>
        <w:tc>
          <w:tcPr>
            <w:tcW w:w="5200" w:type="dxa"/>
          </w:tcPr>
          <w:p>
            <w:pPr>
              <w:pStyle w:val="NTTTableBodyText"/>
            </w:pPr>
            <w:r>
              <w:t>Validates requests, calls Ollama or OpenRouter-compatible APIs, parses prompt suggestions, and returns normalized JSON.</w:t>
            </w:r>
          </w:p>
        </w:tc>
      </w:tr>
      <w:tr>
        <w:tc>
          <w:tcPr>
            <w:tcW w:w="1900" w:type="dxa"/>
          </w:tcPr>
          <w:p>
            <w:pPr>
              <w:pStyle w:val="NTTTableBodyText"/>
            </w:pPr>
            <w:r>
              <w:t>Local persistence</w:t>
            </w:r>
          </w:p>
        </w:tc>
        <w:tc>
          <w:tcPr>
            <w:tcW w:w="3000" w:type="dxa"/>
          </w:tcPr>
          <w:p>
            <w:pPr>
              <w:pStyle w:val="NTTTableBodyText"/>
            </w:pPr>
            <w:r>
              <w:t>Browser localStorage</w:t>
            </w:r>
          </w:p>
        </w:tc>
        <w:tc>
          <w:tcPr>
            <w:tcW w:w="5200" w:type="dxa"/>
          </w:tcPr>
          <w:p>
            <w:pPr>
              <w:pStyle w:val="NTTTableBodyText"/>
            </w:pPr>
            <w:r>
              <w:t>Stores agents and API settings in the current browser profile without a database.</w:t>
            </w:r>
          </w:p>
        </w:tc>
      </w:tr>
    </w:tbl>
    <w:p>
      <w:pPr>
        <w:pStyle w:val="BodyText"/>
      </w:pPr>
      <w:r>
        <w:t>The rest of the document explains those layers in depth, including the exact state variables, helper functions, route contracts, styling responsibilities, and likely maintenance touchpoints.</w:t>
      </w:r>
    </w:p>
    <w:p>
      <w:r>
        <w:br w:type="page"/>
      </w:r>
    </w:p>
    <w:p>
      <w:pPr>
        <w:pStyle w:val="Heading1"/>
      </w:pPr>
      <w:r>
        <w:t>1. Project Identity</w:t>
      </w:r>
    </w:p>
    <w:p>
      <w:pPr>
        <w:pStyle w:val="BodyText"/>
      </w:pPr>
      <w:r>
        <w:t>Prompt Lab is a local web application for practicing AI prompting. It lets a user create lightweight agents, write or edit each agent's system prompt, test follow-up prompts in a chat loop, and ask a model to suggest improvements to the system prompt itself.</w:t>
      </w:r>
    </w:p>
    <w:p>
      <w:pPr>
        <w:pStyle w:val="BodyText"/>
      </w:pPr>
      <w:r>
        <w:t>The codebase is deliberately small. The browser application is written in React and built by Vite. The backend is an Express server that exposes a narrow JSON API and forwards requests either to a local Ollama instance or to an OpenAI-compatible API such as OpenRouter.</w:t>
      </w:r>
    </w:p>
    <w:p>
      <w:pPr>
        <w:pStyle w:val="BodyText"/>
      </w:pPr>
      <w:r>
        <w:t>The most important architectural decision is that the app treats the frontend as the owner of local user data while the backend acts as a provider bridge. Agents, API settings, and most UI state live in the browser. The server does not keep a database, does not store conversations, and does not own user sessions.</w:t>
      </w:r>
    </w:p>
    <w:p>
      <w:pPr>
        <w:pStyle w:val="BodyText"/>
      </w:pPr>
      <w:r>
        <w:t>At a high level, the application can be understood as three layers: React state and UI controls, API request helpers in the same React file, and Express route handlers that normalize provider-specific behavior into simple JSON responses.</w:t>
      </w:r>
    </w:p>
    <w:p>
      <w:pPr>
        <w:pStyle w:val="Heading1"/>
      </w:pPr>
      <w:r>
        <w:t>2. Repository Inventory</w:t>
      </w:r>
    </w:p>
    <w:p>
      <w:pPr>
        <w:pStyle w:val="NTTFlushBullet1"/>
      </w:pPr>
      <w:r>
        <w:t>package.json - Declares the project name, ESM mode, npm scripts, runtime dependencies, and the Vite/React/Express toolchain.</w:t>
      </w:r>
    </w:p>
    <w:p>
      <w:pPr>
        <w:pStyle w:val="NTTFlushBullet1"/>
      </w:pPr>
      <w:r>
        <w:t>package-lock.json - Locks exact dependency versions for reproducible npm installs.</w:t>
      </w:r>
    </w:p>
    <w:p>
      <w:pPr>
        <w:pStyle w:val="NTTFlushBullet1"/>
      </w:pPr>
      <w:r>
        <w:t>index.html - The HTML shell that Vite serves and that React mounts into.</w:t>
      </w:r>
    </w:p>
    <w:p>
      <w:pPr>
        <w:pStyle w:val="NTTFlushBullet1"/>
      </w:pPr>
      <w:r>
        <w:t>vite.config.js - Enables the React plugin, fixes the client dev port to 5173, and proxies /api requests to the Express server on port 3001.</w:t>
      </w:r>
    </w:p>
    <w:p>
      <w:pPr>
        <w:pStyle w:val="NTTFlushBullet1"/>
      </w:pPr>
      <w:r>
        <w:t>src/main.jsx - The full React application: constants, localStorage helpers, state, effects, event handlers, API calls, JSX layout, and root mounting.</w:t>
      </w:r>
    </w:p>
    <w:p>
      <w:pPr>
        <w:pStyle w:val="NTTFlushBullet1"/>
      </w:pPr>
      <w:r>
        <w:t>src/styles.css - All visual styling, layout, responsive rules, interaction states, and component-level presentation classes.</w:t>
      </w:r>
    </w:p>
    <w:p>
      <w:pPr>
        <w:pStyle w:val="NTTFlushBullet1"/>
      </w:pPr>
      <w:r>
        <w:t>server/index.js - Express backend, provider normalization, Ollama calls, OpenRouter/OpenAI-compatible calls, prompt suggestion parsing, and production static serving.</w:t>
      </w:r>
    </w:p>
    <w:p>
      <w:pPr>
        <w:pStyle w:val="NTTFlushBullet1"/>
      </w:pPr>
      <w:r>
        <w:t>README.md - Human-facing quickstart and feature summary.</w:t>
      </w:r>
    </w:p>
    <w:p>
      <w:pPr>
        <w:pStyle w:val="BodyText"/>
      </w:pPr>
      <w:r>
        <w:t>The repository currently has 2,425 total lines across the main source and configuration files that were inspected for this documentation. The two largest files are src/main.jsx and src/styles.css, which means most behavior and presentation logic is concentrated in the frontend.</w:t>
      </w:r>
    </w:p>
    <w:p>
      <w:pPr>
        <w:pStyle w:val="Heading1"/>
      </w:pPr>
      <w:r>
        <w:t>3. Runtime Architecture</w:t>
      </w:r>
    </w:p>
    <w:p>
      <w:pPr>
        <w:pStyle w:val="BodyText"/>
      </w:pPr>
      <w:r>
        <w:t>In development, npm run dev starts two processes through concurrently: the Express API server and the Vite client server. The user opens the Vite URL, normally http://localhost:5173. Browser requests to /api are proxied by Vite to http://localhost:3001 so the frontend can use stable relative API paths during local development.</w:t>
      </w:r>
    </w:p>
    <w:p>
      <w:pPr>
        <w:pStyle w:val="NTTFlushBodyText"/>
        <w:shd w:val="clear" w:color="auto" w:fill="F2F6FA"/>
        <w:ind w:left="360" w:right="180"/>
        <w:spacing w:before="100" w:after="120"/>
      </w:pPr>
      <w:r>
        <w:rPr>
          <w:rFonts w:ascii="Courier New" w:hAnsi="Courier New"/>
          <w:sz w:val="18"/>
        </w:rPr>
        <w:t>Browser -&gt; Vite dev server on :5173 -&gt; React App -&gt; fetch("/api/...") -&gt; Vite proxy -&gt; Express on :3001 -&gt; Ollama or OpenRouter -&gt; Express normalized JSON -&gt; React state update</w:t>
      </w:r>
    </w:p>
    <w:p>
      <w:pPr>
        <w:pStyle w:val="BodyText"/>
      </w:pPr>
      <w:r>
        <w:t>In production, the Express server can serve the compiled Vite dist directory. That behavior is gated by process.env.NODE_ENV === "production" in server/index.js. The backend then serves static assets and falls back to dist/index.html for client-side routes.</w:t>
      </w:r>
    </w:p>
    <w:p>
      <w:pPr>
        <w:pStyle w:val="BodyText"/>
      </w:pPr>
      <w:r>
        <w:t>The code supports two AI provider modes. Ollama mode sends requests to a local Ollama API, defaulting to http://127.0.0.1:11434. API mode sends requests through the OpenAI Node SDK with a configurable baseURL, defaulting to OpenRouter's OpenAI-compatible endpoint.</w:t>
      </w:r>
    </w:p>
    <w:p>
      <w:pPr>
        <w:pStyle w:val="BodyText"/>
      </w:pPr>
      <w:r>
        <w:t>React does not call Ollama or OpenRouter directly. Instead, it calls the local backend. That keeps provider-specific normalization in one place and lets the frontend treat both providers as JSON endpoints with similar shapes.</w:t>
      </w:r>
    </w:p>
    <w:p>
      <w:pPr>
        <w:pStyle w:val="Heading1"/>
      </w:pPr>
      <w:r>
        <w:t>4. Package, Vite, and HTML Entry Points</w:t>
      </w:r>
    </w:p>
    <w:p>
      <w:pPr>
        <w:pStyle w:val="Heading2"/>
      </w:pPr>
      <w:r>
        <w:t>package.json</w:t>
      </w:r>
    </w:p>
    <w:p>
      <w:pPr>
        <w:pStyle w:val="BodyText"/>
      </w:pPr>
      <w:r>
        <w:t>The package manifest identifies the project as prompt-lab and marks it private. The "type": "module" field is important because it allows server/index.js and vite.config.js to use ESM import syntax rather than CommonJS require syntax.</w:t>
      </w:r>
    </w:p>
    <w:p>
      <w:pPr>
        <w:pStyle w:val="BodyText"/>
      </w:pPr>
      <w:r>
        <w:t>The scripts define the local developer workflow. npm run dev starts the server and client together. npm run client runs only Vite. npm run server runs only Express. npm run build creates the production frontend bundle. npm run preview serves that build through Vite preview. npm run start serves dist through http-server on port 5173.</w:t>
      </w:r>
    </w:p>
    <w:p>
      <w:pPr>
        <w:pStyle w:val="BodyText"/>
      </w:pPr>
      <w:r>
        <w:t>Runtime dependencies include React, React DOM, Vite, the Vite React plugin, Express, the OpenAI SDK, lucide-react icons, and concurrently. http-server is listed as a development dependency and is only needed for serving the static dist folder through npm run start.</w:t>
      </w:r>
    </w:p>
    <w:p>
      <w:pPr>
        <w:pStyle w:val="NTTFlushBodyText"/>
        <w:shd w:val="clear" w:color="auto" w:fill="F2F6FA"/>
        <w:ind w:left="360" w:right="180"/>
        <w:spacing w:before="100" w:after="120"/>
      </w:pPr>
      <w:r>
        <w:rPr>
          <w:rFonts w:ascii="Courier New" w:hAnsi="Courier New"/>
          <w:sz w:val="18"/>
        </w:rPr>
        <w:t>"dev": "concurrently "npm:server" "npm:client""</w:t>
      </w:r>
      <w:r>
        <w:br/>
      </w:r>
      <w:r>
        <w:rPr>
          <w:rFonts w:ascii="Courier New" w:hAnsi="Courier New"/>
          <w:sz w:val="18"/>
        </w:rPr>
        <w:t>"client": "vite --host 0.0.0.0"</w:t>
      </w:r>
      <w:r>
        <w:br/>
      </w:r>
      <w:r>
        <w:rPr>
          <w:rFonts w:ascii="Courier New" w:hAnsi="Courier New"/>
          <w:sz w:val="18"/>
        </w:rPr>
        <w:t>"server": "node server/index.js"</w:t>
      </w:r>
      <w:r>
        <w:br/>
      </w:r>
      <w:r>
        <w:rPr>
          <w:rFonts w:ascii="Courier New" w:hAnsi="Courier New"/>
          <w:sz w:val="18"/>
        </w:rPr>
        <w:t>"build": "vite build"</w:t>
      </w:r>
    </w:p>
    <w:p>
      <w:pPr>
        <w:pStyle w:val="Heading2"/>
      </w:pPr>
      <w:r>
        <w:t>vite.config.js</w:t>
      </w:r>
    </w:p>
    <w:p>
      <w:pPr>
        <w:pStyle w:val="BodyText"/>
      </w:pPr>
      <w:r>
        <w:t>The Vite config uses @vitejs/plugin-react so JSX and React fast refresh work correctly during development. The server port is pinned to 5173, which matches the README and the OpenRouter referer header configured in the backend.</w:t>
      </w:r>
    </w:p>
    <w:p>
      <w:pPr>
        <w:pStyle w:val="BodyText"/>
      </w:pPr>
      <w:r>
        <w:t>The proxy block maps every request starting with /api to http://localhost:3001. This matters because the frontend code can call fetch(apiUrl("/api/chat")) without caring whether it is running against a dev server or a production static host.</w:t>
      </w:r>
    </w:p>
    <w:p>
      <w:pPr>
        <w:pStyle w:val="NTTFlushBodyText"/>
        <w:shd w:val="clear" w:color="auto" w:fill="F2F6FA"/>
        <w:ind w:left="360" w:right="180"/>
        <w:spacing w:before="100" w:after="120"/>
      </w:pPr>
      <w:r>
        <w:rPr>
          <w:rFonts w:ascii="Courier New" w:hAnsi="Courier New"/>
          <w:sz w:val="18"/>
        </w:rPr>
        <w:t>server: {</w:t>
      </w:r>
      <w:r>
        <w:br/>
      </w:r>
      <w:r>
        <w:rPr>
          <w:rFonts w:ascii="Courier New" w:hAnsi="Courier New"/>
          <w:sz w:val="18"/>
        </w:rPr>
        <w:t xml:space="preserve">  port: 5173,</w:t>
      </w:r>
      <w:r>
        <w:br/>
      </w:r>
      <w:r>
        <w:rPr>
          <w:rFonts w:ascii="Courier New" w:hAnsi="Courier New"/>
          <w:sz w:val="18"/>
        </w:rPr>
        <w:t xml:space="preserve">  proxy: {</w:t>
      </w:r>
      <w:r>
        <w:br/>
      </w:r>
      <w:r>
        <w:rPr>
          <w:rFonts w:ascii="Courier New" w:hAnsi="Courier New"/>
          <w:sz w:val="18"/>
        </w:rPr>
        <w:t xml:space="preserve">    "/api": "http://localhost:3001"</w:t>
      </w:r>
      <w:r>
        <w:br/>
      </w:r>
      <w:r>
        <w:rPr>
          <w:rFonts w:ascii="Courier New" w:hAnsi="Courier New"/>
          <w:sz w:val="18"/>
        </w:rPr>
        <w:t xml:space="preserve">  }</w:t>
      </w:r>
      <w:r>
        <w:br/>
      </w:r>
      <w:r>
        <w:rPr>
          <w:rFonts w:ascii="Courier New" w:hAnsi="Courier New"/>
          <w:sz w:val="18"/>
        </w:rPr>
        <w:t>}</w:t>
      </w:r>
    </w:p>
    <w:p>
      <w:pPr>
        <w:pStyle w:val="Heading2"/>
      </w:pPr>
      <w:r>
        <w:t>index.html</w:t>
      </w:r>
    </w:p>
    <w:p>
      <w:pPr>
        <w:pStyle w:val="BodyText"/>
      </w:pPr>
      <w:r>
        <w:t>The HTML file is intentionally minimal. It sets UTF-8, a responsive viewport, the page title, and a single root element with id="root". The script tag loads /src/main.jsx as a JavaScript module. React owns the user interface after createRoot attaches to that root element.</w:t>
      </w:r>
    </w:p>
    <w:p>
      <w:pPr>
        <w:pStyle w:val="Heading1"/>
      </w:pPr>
      <w:r>
        <w:t>5. Frontend: src/main.jsx</w:t>
      </w:r>
    </w:p>
    <w:p>
      <w:pPr>
        <w:pStyle w:val="BodyText"/>
      </w:pPr>
      <w:r>
        <w:t>src/main.jsx is the heart of the application. It combines constants, helper functions, state declarations, side effects, user actions, provider requests, and JSX. Because all frontend behavior lives in one file, understanding this file gives a nearly complete picture of how the app behaves in the browser.</w:t>
      </w:r>
    </w:p>
    <w:p>
      <w:pPr>
        <w:pStyle w:val="Heading2"/>
      </w:pPr>
      <w:r>
        <w:t>Imports</w:t>
      </w:r>
    </w:p>
    <w:p>
      <w:pPr>
        <w:pStyle w:val="BodyText"/>
      </w:pPr>
      <w:r>
        <w:t>The file imports useEffect, useMemo, and useState from React. createRoot comes from react-dom/client and is used once at the bottom of the file. The lucide-react imports provide all icon components used throughout the interface. The final import, ./styles.css, attaches the entire stylesheet to the app bundle.</w:t>
      </w:r>
    </w:p>
    <w:p>
      <w:pPr>
        <w:pStyle w:val="BodyText"/>
      </w:pPr>
      <w:r>
        <w:t>The icon imports are deliberately explicit. Instead of importing the whole icon library, the code imports only the icons it uses: BrainCircuit, Bot, CheckCircle2, Copy, FileText, FlaskConical, Gauge, Lightbulb, MessageSquarePlus, Pencil, Plus, RefreshCw, Save, Send, Sparkles, Trash2, Wand2, and X.</w:t>
      </w:r>
    </w:p>
    <w:p>
      <w:pPr>
        <w:pStyle w:val="Heading2"/>
      </w:pPr>
      <w:r>
        <w:t>starterAgents</w:t>
      </w:r>
    </w:p>
    <w:p>
      <w:pPr>
        <w:pStyle w:val="BodyText"/>
      </w:pPr>
      <w:r>
        <w:t>starterAgents is the default agent list used when localStorage is empty, malformed, or contains no valid agents. The starter list gives the user something useful immediately: a Prompt Coach and a Socratic Tutor.</w:t>
      </w:r>
    </w:p>
    <w:p>
      <w:pPr>
        <w:pStyle w:val="BodyText"/>
      </w:pPr>
      <w:r>
        <w:t>Each starter agent uses the same shape as saved agents: id, name, goal, systemPrompt, and createdAt. This consistency lets the rest of the app treat built-in agents and user-created agents the same way.</w:t>
      </w:r>
    </w:p>
    <w:p>
      <w:pPr>
        <w:pStyle w:val="BodyText"/>
      </w:pPr>
      <w:r>
        <w:t>createdAt is set with Date.now() and Date.now() + 1. The slight offset avoids identical timestamps between the two defaults, although the current UI does not visibly sort by timestamp after load.</w:t>
      </w:r>
    </w:p>
    <w:p>
      <w:pPr>
        <w:pStyle w:val="Heading2"/>
      </w:pPr>
      <w:r>
        <w:t>promptChecks</w:t>
      </w:r>
    </w:p>
    <w:p>
      <w:pPr>
        <w:pStyle w:val="BodyText"/>
      </w:pPr>
      <w:r>
        <w:t>promptChecks is a small rubric for judging whether a system prompt has the basic ingredients of a usable agent prompt. Each item has a label, a test function, and a hint. The test function is a regular expression applied to the prompt text.</w:t>
      </w:r>
    </w:p>
    <w:p>
      <w:pPr>
        <w:pStyle w:val="BodyText"/>
      </w:pPr>
      <w:r>
        <w:t>The four checks are Role, Outcome, Behavior, and Audience. Role looks for phrases like "you are" or "act as". Outcome looks for verbs such as help, create, teach, write, answer, or improve. Behavior looks for constraint words such as concise, step, ask, do not, always, or when. Audience looks for words such as user, learner, beginner, expert, developer, or reader.</w:t>
      </w:r>
    </w:p>
    <w:p>
      <w:pPr>
        <w:pStyle w:val="BodyText"/>
      </w:pPr>
      <w:r>
        <w:t>This is intentionally heuristic. The app is not trying to prove prompt quality; it is giving quick feedback that nudges a learner toward explicit role, goal, behavioral constraints, and audience framing.</w:t>
      </w:r>
    </w:p>
    <w:p>
      <w:pPr>
        <w:pStyle w:val="NTTFlushBodyText"/>
        <w:shd w:val="clear" w:color="auto" w:fill="F2F6FA"/>
        <w:ind w:left="360" w:right="180"/>
        <w:spacing w:before="100" w:after="120"/>
      </w:pPr>
      <w:r>
        <w:rPr>
          <w:rFonts w:ascii="Courier New" w:hAnsi="Courier New"/>
          <w:sz w:val="18"/>
        </w:rPr>
        <w:t>const promptScore = useMemo(() =&gt; {</w:t>
      </w:r>
      <w:r>
        <w:br/>
      </w:r>
      <w:r>
        <w:rPr>
          <w:rFonts w:ascii="Courier New" w:hAnsi="Courier New"/>
          <w:sz w:val="18"/>
        </w:rPr>
        <w:t xml:space="preserve">  const passed = promptChecks.filter((check) =&gt; check.test(promptText));</w:t>
      </w:r>
      <w:r>
        <w:br/>
      </w:r>
      <w:r>
        <w:rPr>
          <w:rFonts w:ascii="Courier New" w:hAnsi="Courier New"/>
          <w:sz w:val="18"/>
        </w:rPr>
        <w:t xml:space="preserve">  return { passed, total: promptChecks.length, value: passed.length / promptChecks.length };</w:t>
      </w:r>
      <w:r>
        <w:br/>
      </w:r>
      <w:r>
        <w:rPr>
          <w:rFonts w:ascii="Courier New" w:hAnsi="Courier New"/>
          <w:sz w:val="18"/>
        </w:rPr>
        <w:t>}, [promptText]);</w:t>
      </w:r>
    </w:p>
    <w:p>
      <w:pPr>
        <w:pStyle w:val="Heading2"/>
      </w:pPr>
      <w:r>
        <w:t>followUpIdeas</w:t>
      </w:r>
    </w:p>
    <w:p>
      <w:pPr>
        <w:pStyle w:val="BodyText"/>
      </w:pPr>
      <w:r>
        <w:t>followUpIdeas is an array of short suggested chat prompts. The UI renders these as buttons below the chat window. Clicking one sets the composer draft, making it easy for the user to test whether the current system prompt handles follow-up instructions well.</w:t>
      </w:r>
    </w:p>
    <w:p>
      <w:pPr>
        <w:pStyle w:val="BodyText"/>
      </w:pPr>
      <w:r>
        <w:t>The follow-up ideas are not sent automatically. They are copied into the draft field, preserving user control. The user can edit the idea before pressing Send.</w:t>
      </w:r>
    </w:p>
    <w:p>
      <w:pPr>
        <w:pStyle w:val="Heading2"/>
      </w:pPr>
      <w:r>
        <w:t>promptTemplates</w:t>
      </w:r>
    </w:p>
    <w:p>
      <w:pPr>
        <w:pStyle w:val="BodyText"/>
      </w:pPr>
      <w:r>
        <w:t>promptTemplates is the source data for the template modal. Each template has id, name, category, goal, and systemPrompt. The templates are domain examples rather than runtime configuration: Socratic Tutor, Writing Coach, Code Reviewer, Research Summarizer, and Interview Practice.</w:t>
      </w:r>
    </w:p>
    <w:p>
      <w:pPr>
        <w:pStyle w:val="BodyText"/>
      </w:pPr>
      <w:r>
        <w:t>The template data serves two workflows. A template can create a new agent, or it can replace the current edit draft. That is why createAgentFromTemplate and applyTemplateToDraft both consume the same template object but update state differently.</w:t>
      </w:r>
    </w:p>
    <w:p>
      <w:pPr>
        <w:pStyle w:val="Heading2"/>
      </w:pPr>
      <w:r>
        <w:t>defaultApiSettings and apiBaseUrl</w:t>
      </w:r>
    </w:p>
    <w:p>
      <w:pPr>
        <w:pStyle w:val="BodyText"/>
      </w:pPr>
      <w:r>
        <w:t>defaultApiSettings defines the initial OpenRouter-compatible configuration. The default base URL is https://openrouter.ai/api/v1, the API key starts empty, and the default model string is openai/gpt-5.2-chat.</w:t>
      </w:r>
    </w:p>
    <w:p>
      <w:pPr>
        <w:pStyle w:val="BodyText"/>
      </w:pPr>
      <w:r>
        <w:t>apiBaseUrl decides where frontend API requests go. If VITE_API_URL is defined, that value is used. If the app is running in Vite development mode, it uses http://localhost:3001. Otherwise it uses an empty string so /api paths are relative to the production origin.</w:t>
      </w:r>
    </w:p>
    <w:p>
      <w:pPr>
        <w:pStyle w:val="BodyText"/>
      </w:pPr>
      <w:r>
        <w:t>This small constant is the switch that lets the same React code work in local dev, custom API deployments, and production static serving.</w:t>
      </w:r>
    </w:p>
    <w:p>
      <w:pPr>
        <w:pStyle w:val="Heading2"/>
      </w:pPr>
      <w:r>
        <w:t>loadAgents</w:t>
      </w:r>
    </w:p>
    <w:p>
      <w:pPr>
        <w:pStyle w:val="BodyText"/>
      </w:pPr>
      <w:r>
        <w:t>loadAgents reads prompt-lab-agents from localStorage, parses it as JSON, validates the result, normalizes each agent, and falls back to starterAgents whenever anything goes wrong.</w:t>
      </w:r>
    </w:p>
    <w:p>
      <w:pPr>
        <w:pStyle w:val="BodyText"/>
      </w:pPr>
      <w:r>
        <w:t>The function is defensive in several ways. It verifies the saved value is an array. It filters out non-object entries. It supplies fallback IDs, names, goals, system prompts, and createdAt values. The fallback prompt is a safe generic assistant instruction.</w:t>
      </w:r>
    </w:p>
    <w:p>
      <w:pPr>
        <w:pStyle w:val="BodyText"/>
      </w:pPr>
      <w:r>
        <w:t>The try/catch is important because localStorage content can be corrupted by manual edits or old app versions. If JSON.parse throws, the function returns starterAgents rather than crashing the React app before render.</w:t>
      </w:r>
    </w:p>
    <w:p>
      <w:pPr>
        <w:pStyle w:val="Heading2"/>
      </w:pPr>
      <w:r>
        <w:t>loadApiSettings</w:t>
      </w:r>
    </w:p>
    <w:p>
      <w:pPr>
        <w:pStyle w:val="BodyText"/>
      </w:pPr>
      <w:r>
        <w:t>loadApiSettings reads prompt-lab-api-settings from localStorage, merges it with defaultApiSettings, and normalizes individual fields. This lets the app keep user convenience settings between sessions while still recovering from missing or invalid values.</w:t>
      </w:r>
    </w:p>
    <w:p>
      <w:pPr>
        <w:pStyle w:val="BodyText"/>
      </w:pPr>
      <w:r>
        <w:t>Two migration-like guards are included. If the saved base URL is https://api.openai.com/v1, it is replaced with the OpenRouter default. If the saved model is gpt-5.5, it is replaced with the default OpenRouter model string. These guards suggest the app previously used or experimented with different defaults and now steers users back toward OpenRouter-compatible settings.</w:t>
      </w:r>
    </w:p>
    <w:p>
      <w:pPr>
        <w:pStyle w:val="BodyText"/>
      </w:pPr>
      <w:r>
        <w:t>The API key is persisted in browser localStorage. That is convenient for a local tool, but it is still sensitive. The Security and Privacy section later explains this consequence in more detail.</w:t>
      </w:r>
    </w:p>
    <w:p>
      <w:pPr>
        <w:pStyle w:val="Heading2"/>
      </w:pPr>
      <w:r>
        <w:t>createDraft and agentFromTemplate</w:t>
      </w:r>
    </w:p>
    <w:p>
      <w:pPr>
        <w:pStyle w:val="BodyText"/>
      </w:pPr>
      <w:r>
        <w:t>createDraft creates the editable shape used by the agent form. It extracts name, goal, and systemPrompt from an agent-like object and replaces missing values with empty strings. This prevents uncontrolled React input warnings because the form fields always receive string values.</w:t>
      </w:r>
    </w:p>
    <w:p>
      <w:pPr>
        <w:pStyle w:val="BodyText"/>
      </w:pPr>
      <w:r>
        <w:t>agentFromTemplate converts a static prompt template into a real agent. It creates a fresh crypto.randomUUID(), copies the template name, goal, and systemPrompt, and stamps createdAt with Date.now().</w:t>
      </w:r>
    </w:p>
    <w:p>
      <w:pPr>
        <w:pStyle w:val="Heading2"/>
      </w:pPr>
      <w:r>
        <w:t>SidebarIcon</w:t>
      </w:r>
    </w:p>
    <w:p>
      <w:pPr>
        <w:pStyle w:val="BodyText"/>
      </w:pPr>
      <w:r>
        <w:t>SidebarIcon is the one icon that is manually written as SVG instead of imported from lucide-react. It renders a simple sidebar panel symbol for the collapse/expand button. Keeping it local avoids adding another icon dependency or searching for an exact match.</w:t>
      </w:r>
    </w:p>
    <w:p>
      <w:pPr>
        <w:pStyle w:val="Heading2"/>
      </w:pPr>
      <w:r>
        <w:t>readApiJson</w:t>
      </w:r>
    </w:p>
    <w:p>
      <w:pPr>
        <w:pStyle w:val="BodyText"/>
      </w:pPr>
      <w:r>
        <w:t>readApiJson is the frontend's response parser for API calls. It reads the response body as text first, checks the Content-Type header, and parses JSON only when the response claims to be JSON.</w:t>
      </w:r>
    </w:p>
    <w:p>
      <w:pPr>
        <w:pStyle w:val="BodyText"/>
      </w:pPr>
      <w:r>
        <w:t>The special HTML guard is a helpful dev-experience detail. If the app receives an HTML document instead of API JSON, the function throws an error telling the user to restart npm run dev so the Express API routes are active. This catches a common failure mode where Vite serves index.html for an API path because the backend is not running or the proxy is not active.</w:t>
      </w:r>
    </w:p>
    <w:p>
      <w:pPr>
        <w:pStyle w:val="BodyText"/>
      </w:pPr>
      <w:r>
        <w:t>If the response is not OK and not JSON, readApiJson throws either the raw text body or the fallback message. If the response is OK but still not JSON, it throws the fallback message. This keeps calling code simple: callers get either parsed JSON or an exception.</w:t>
      </w:r>
    </w:p>
    <w:p>
      <w:pPr>
        <w:pStyle w:val="Heading2"/>
      </w:pPr>
      <w:r>
        <w:t>apiUrl</w:t>
      </w:r>
    </w:p>
    <w:p>
      <w:pPr>
        <w:pStyle w:val="BodyText"/>
      </w:pPr>
      <w:r>
        <w:t>apiUrl concatenates apiBaseUrl with a path. In development, this produces absolute URLs to the Express server. In production, when apiBaseUrl is empty, the result is a relative /api path.</w:t>
      </w:r>
    </w:p>
    <w:p>
      <w:pPr>
        <w:pStyle w:val="Heading2"/>
      </w:pPr>
      <w:r>
        <w:t>App State Model</w:t>
      </w:r>
    </w:p>
    <w:p>
      <w:pPr>
        <w:pStyle w:val="BodyText"/>
      </w:pPr>
      <w:r>
        <w:t>The App component begins by declaring all state needed by the interface. The state variables are not random UI leftovers; each one owns a specific part of the app's behavior.</w:t>
      </w:r>
    </w:p>
    <w:p>
      <w:pPr>
        <w:pStyle w:val="NTTFlushBullet1"/>
      </w:pPr>
      <w:r>
        <w:t>agents - The canonical in-browser list of available agents. Persisted to localStorage.</w:t>
      </w:r>
    </w:p>
    <w:p>
      <w:pPr>
        <w:pStyle w:val="NTTFlushBullet1"/>
      </w:pPr>
      <w:r>
        <w:t>activeId - The id of the selected agent. Used to derive activeAgent.</w:t>
      </w:r>
    </w:p>
    <w:p>
      <w:pPr>
        <w:pStyle w:val="NTTFlushBullet1"/>
      </w:pPr>
      <w:r>
        <w:t>models - Ollama model records returned by /api/models.</w:t>
      </w:r>
    </w:p>
    <w:p>
      <w:pPr>
        <w:pStyle w:val="NTTFlushBullet1"/>
      </w:pPr>
      <w:r>
        <w:t>apiModels - OpenRouter/API model records returned by /api/api-models.</w:t>
      </w:r>
    </w:p>
    <w:p>
      <w:pPr>
        <w:pStyle w:val="NTTFlushBullet1"/>
      </w:pPr>
      <w:r>
        <w:t>model - The selected Ollama model name.</w:t>
      </w:r>
    </w:p>
    <w:p>
      <w:pPr>
        <w:pStyle w:val="NTTFlushBullet1"/>
      </w:pPr>
      <w:r>
        <w:t>provider - Either "ollama" or "api". Controls visible settings and request payloads.</w:t>
      </w:r>
    </w:p>
    <w:p>
      <w:pPr>
        <w:pStyle w:val="NTTFlushBullet1"/>
      </w:pPr>
      <w:r>
        <w:t>apiSettings - The API base URL, API key, and model string for API mode. Persisted to localStorage.</w:t>
      </w:r>
    </w:p>
    <w:p>
      <w:pPr>
        <w:pStyle w:val="NTTFlushBullet1"/>
      </w:pPr>
      <w:r>
        <w:t>health - Ollama health state and message for the status pill.</w:t>
      </w:r>
    </w:p>
    <w:p>
      <w:pPr>
        <w:pStyle w:val="NTTFlushBullet1"/>
      </w:pPr>
      <w:r>
        <w:t>messages - The current chat transcript for the active agent session.</w:t>
      </w:r>
    </w:p>
    <w:p>
      <w:pPr>
        <w:pStyle w:val="NTTFlushBullet1"/>
      </w:pPr>
      <w:r>
        <w:t>draft - The current text in the chat composer.</w:t>
      </w:r>
    </w:p>
    <w:p>
      <w:pPr>
        <w:pStyle w:val="NTTFlushBullet1"/>
      </w:pPr>
      <w:r>
        <w:t>agentDraft - Editable copy of the selected agent's name, goal, and systemPrompt.</w:t>
      </w:r>
    </w:p>
    <w:p>
      <w:pPr>
        <w:pStyle w:val="NTTFlushBullet1"/>
      </w:pPr>
      <w:r>
        <w:t>isEditingAgent - Whether form fields are editable and save/cancel controls are visible.</w:t>
      </w:r>
    </w:p>
    <w:p>
      <w:pPr>
        <w:pStyle w:val="NTTFlushBullet1"/>
      </w:pPr>
      <w:r>
        <w:t>isSidebarCollapsed - Whether the left agent rail is collapsed.</w:t>
      </w:r>
    </w:p>
    <w:p>
      <w:pPr>
        <w:pStyle w:val="NTTFlushBullet1"/>
      </w:pPr>
      <w:r>
        <w:t>isTemplateModalOpen - Whether the prompt template modal is visible.</w:t>
      </w:r>
    </w:p>
    <w:p>
      <w:pPr>
        <w:pStyle w:val="NTTFlushBullet1"/>
      </w:pPr>
      <w:r>
        <w:t>isSending - Whether a chat request is currently in flight.</w:t>
      </w:r>
    </w:p>
    <w:p>
      <w:pPr>
        <w:pStyle w:val="NTTFlushBullet1"/>
      </w:pPr>
      <w:r>
        <w:t>isLoadingApiModels - Whether /api/api-models is currently loading.</w:t>
      </w:r>
    </w:p>
    <w:p>
      <w:pPr>
        <w:pStyle w:val="NTTFlushBullet1"/>
      </w:pPr>
      <w:r>
        <w:t>apiModelStatus - Status object for API model refresh messaging.</w:t>
      </w:r>
    </w:p>
    <w:p>
      <w:pPr>
        <w:pStyle w:val="NTTFlushBullet1"/>
      </w:pPr>
      <w:r>
        <w:t>aiSuggestions - Prompt improvement suggestions returned by the model.</w:t>
      </w:r>
    </w:p>
    <w:p>
      <w:pPr>
        <w:pStyle w:val="NTTFlushBullet1"/>
      </w:pPr>
      <w:r>
        <w:t>isImprovingPrompt - Whether /api/prompt-suggestions is currently in flight.</w:t>
      </w:r>
    </w:p>
    <w:p>
      <w:pPr>
        <w:pStyle w:val="NTTFlushBullet1"/>
      </w:pPr>
      <w:r>
        <w:t>suggestionStatus - Status object for prompt suggestion messaging.</w:t>
      </w:r>
    </w:p>
    <w:p>
      <w:pPr>
        <w:pStyle w:val="BodyText"/>
      </w:pPr>
      <w:r>
        <w:t>The component derives activeAgent from agents and activeId. If activeId no longer matches any agent, it falls back to agents[0]. That fallback matters after deleting agents or recovering from malformed storage.</w:t>
      </w:r>
    </w:p>
    <w:p>
      <w:pPr>
        <w:pStyle w:val="BodyText"/>
      </w:pPr>
      <w:r>
        <w:t>isApiReady is true only when API base URL, API key, and model are all non-empty after trimming. The UI uses this to disable API-dependent actions until the minimum credentials are present.</w:t>
      </w:r>
    </w:p>
    <w:p>
      <w:pPr>
        <w:pStyle w:val="BodyText"/>
      </w:pPr>
      <w:r>
        <w:t>promptText points to agentDraft.systemPrompt while editing and activeAgent.systemPrompt while viewing. That small distinction lets the prompt score and improvement feature reflect unsaved edits when the user is editing, while reflecting saved data otherwise.</w:t>
      </w:r>
    </w:p>
    <w:p>
      <w:pPr>
        <w:pStyle w:val="Heading2"/>
      </w:pPr>
      <w:r>
        <w:t>App Effects</w:t>
      </w:r>
    </w:p>
    <w:p>
      <w:pPr>
        <w:pStyle w:val="BodyText"/>
      </w:pPr>
      <w:r>
        <w:t>The first effect persists agents to localStorage whenever agents changes. The second effect persists apiSettings whenever apiSettings changes. These effects make localStorage a passive persistence sink, while React state remains the live source of truth during a session.</w:t>
      </w:r>
    </w:p>
    <w:p>
      <w:pPr>
        <w:pStyle w:val="BodyText"/>
      </w:pPr>
      <w:r>
        <w:t>The startup effect calls refreshOllama once after the component mounts. That populates the Ollama health indicator and local model list. It has an empty dependency array, so it behaves like a componentDidMount hook.</w:t>
      </w:r>
    </w:p>
    <w:p>
      <w:pPr>
        <w:pStyle w:val="BodyText"/>
      </w:pPr>
      <w:r>
        <w:t>The active-agent effect runs when activeAgent?.id changes. It resets the edit draft to match the selected agent, clears AI suggestions, and resets suggestion status. This prevents suggestions generated for one agent from visually leaking into another agent.</w:t>
      </w:r>
    </w:p>
    <w:p>
      <w:pPr>
        <w:pStyle w:val="Heading2"/>
      </w:pPr>
      <w:r>
        <w:t>refreshOllama</w:t>
      </w:r>
    </w:p>
    <w:p>
      <w:pPr>
        <w:pStyle w:val="BodyText"/>
      </w:pPr>
      <w:r>
        <w:t>refreshOllama is responsible for checking Ollama availability and loading local model names. It starts by setting health to a checking message, then requests /api/health and /api/models in parallel with Promise.all.</w:t>
      </w:r>
    </w:p>
    <w:p>
      <w:pPr>
        <w:pStyle w:val="BodyText"/>
      </w:pPr>
      <w:r>
        <w:t>When both calls succeed, the function updates health, stores the model list, and preserves the current selected model only if it is still present. If the current selection is missing, it selects the first returned model or falls back to an empty string.</w:t>
      </w:r>
    </w:p>
    <w:p>
      <w:pPr>
        <w:pStyle w:val="BodyText"/>
      </w:pPr>
      <w:r>
        <w:t>If anything fails, the function clears the model list and selected model and sets a user-friendly message telling the user to start Ollama and pull a model. The catch intentionally ignores the specific error because the user-facing remediation is the same for the most common failures.</w:t>
      </w:r>
    </w:p>
    <w:p>
      <w:pPr>
        <w:pStyle w:val="Heading2"/>
      </w:pPr>
      <w:r>
        <w:t>updateApiSettings</w:t>
      </w:r>
    </w:p>
    <w:p>
      <w:pPr>
        <w:pStyle w:val="BodyText"/>
      </w:pPr>
      <w:r>
        <w:t>updateApiSettings merges partial updates into apiSettings. It also clears apiModels when the base URL or API key changes. This avoids showing a stale model dropdown from a previous credential set. The function resets apiModelStatus to idle after any settings change.</w:t>
      </w:r>
    </w:p>
    <w:p>
      <w:pPr>
        <w:pStyle w:val="Heading2"/>
      </w:pPr>
      <w:r>
        <w:t>applyPromptSuggestion</w:t>
      </w:r>
    </w:p>
    <w:p>
      <w:pPr>
        <w:pStyle w:val="BodyText"/>
      </w:pPr>
      <w:r>
        <w:t>applyPromptSuggestion appends a suggestion snippet to the editable system prompt. It trims the existing prompt, inserts a newline separator only when needed, and then removes the applied suggestion from aiSuggestions.</w:t>
      </w:r>
    </w:p>
    <w:p>
      <w:pPr>
        <w:pStyle w:val="BodyText"/>
      </w:pPr>
      <w:r>
        <w:t>The function updates suggestionStatus from inside the setAiSuggestions callback because it needs to know how many suggestions remain after filtering. It also switches the app into editing mode, ensuring the user can immediately see and save the changed draft.</w:t>
      </w:r>
    </w:p>
    <w:p>
      <w:pPr>
        <w:pStyle w:val="Heading2"/>
      </w:pPr>
      <w:r>
        <w:t>refreshApiModels</w:t>
      </w:r>
    </w:p>
    <w:p>
      <w:pPr>
        <w:pStyle w:val="BodyText"/>
      </w:pPr>
      <w:r>
        <w:t>refreshApiModels loads available API models from the backend. It exits early unless both apiSettings.baseUrl and apiSettings.apiKey are non-empty. During the request it sets isLoadingApiModels and a loading status message.</w:t>
      </w:r>
    </w:p>
    <w:p>
      <w:pPr>
        <w:pStyle w:val="BodyText"/>
      </w:pPr>
      <w:r>
        <w:t>The POST body contains apiBaseUrl and apiKey. The backend uses those to instantiate an OpenAI SDK client pointed at the normalized OpenRouter-compatible base URL. If models are returned and the currently saved model is not in the list, refreshApiModels updates the selected model to the first returned option.</w:t>
      </w:r>
    </w:p>
    <w:p>
      <w:pPr>
        <w:pStyle w:val="BodyText"/>
      </w:pPr>
      <w:r>
        <w:t>The status message distinguishes success with a count, empty model lists, and errors. This gives the topbar enough state to show whether API mode is merely configured or whether a verified model list has loaded.</w:t>
      </w:r>
    </w:p>
    <w:p>
      <w:pPr>
        <w:pStyle w:val="Heading2"/>
      </w:pPr>
      <w:r>
        <w:t>Agent CRUD and Editing Functions</w:t>
      </w:r>
    </w:p>
    <w:p>
      <w:pPr>
        <w:pStyle w:val="BodyText"/>
      </w:pPr>
      <w:r>
        <w:t>createAgent creates a generic new agent, prepends it to the agents array, selects it, creates a draft, enters editing mode, and clears the chat. The new agent uses crypto.randomUUID() for a stable unique id.</w:t>
      </w:r>
    </w:p>
    <w:p>
      <w:pPr>
        <w:pStyle w:val="BodyText"/>
      </w:pPr>
      <w:r>
        <w:t>createAgentFromTemplate does the same general workflow but seeds the agent from a selected template. applyTemplateToDraft does not create an agent; instead, it replaces the current edit draft with the template values, enters editing mode, closes the modal, and clears chat messages.</w:t>
      </w:r>
    </w:p>
    <w:p>
      <w:pPr>
        <w:pStyle w:val="BodyText"/>
      </w:pPr>
      <w:r>
        <w:t>deleteAgent refuses to delete the final remaining agent. If more than one agent exists, it asks for confirmation with window.confirm. After deletion it selects the first remaining agent, exits editing mode, and clears the chat.</w:t>
      </w:r>
    </w:p>
    <w:p>
      <w:pPr>
        <w:pStyle w:val="BodyText"/>
      </w:pPr>
      <w:r>
        <w:t>selectAgent changes activeId, exits editing mode, and clears messages. The app treats each agent selection as a fresh test session rather than preserving one transcript per agent.</w:t>
      </w:r>
    </w:p>
    <w:p>
      <w:pPr>
        <w:pStyle w:val="BodyText"/>
      </w:pPr>
      <w:r>
        <w:t>startEditingAgent copies activeAgent into agentDraft and enables editing. cancelEditingAgent restores the draft from activeAgent and disables editing. saveAgent trims fields, applies fallback name/goal/prompt values when needed, updates the matching agent by id, exits editing mode, and clears chat.</w:t>
      </w:r>
    </w:p>
    <w:p>
      <w:pPr>
        <w:pStyle w:val="BodyText"/>
      </w:pPr>
      <w:r>
        <w:t>duplicatePrompt writes the active agent's system prompt to navigator.clipboard when the clipboard API is available. resetChat clears messages and the composer draft.</w:t>
      </w:r>
    </w:p>
    <w:p>
      <w:pPr>
        <w:pStyle w:val="Heading2"/>
      </w:pPr>
      <w:r>
        <w:t>improvePrompt</w:t>
      </w:r>
    </w:p>
    <w:p>
      <w:pPr>
        <w:pStyle w:val="BodyText"/>
      </w:pPr>
      <w:r>
        <w:t>improvePrompt asks the active provider to review the current system prompt and return structured suggestions. It determines selectedModel from apiSettings.model in API mode or model in Ollama mode. It exits early if there is no prompt, no selected model, or a request is already in progress.</w:t>
      </w:r>
    </w:p>
    <w:p>
      <w:pPr>
        <w:pStyle w:val="BodyText"/>
      </w:pPr>
      <w:r>
        <w:t>The request body always includes provider, model, and systemPrompt. In API mode it also includes apiBaseUrl and apiKey. The function posts to /api/prompt-suggestions, parses the response through readApiJson, and stores data.suggestions in aiSuggestions.</w:t>
      </w:r>
    </w:p>
    <w:p>
      <w:pPr>
        <w:pStyle w:val="BodyText"/>
      </w:pPr>
      <w:r>
        <w:t>The status object communicates loading, success with a suggestion count, empty results, or errors. Because the backend normalizes both provider paths to the same { suggestions } shape, the frontend does not need provider-specific parsing here.</w:t>
      </w:r>
    </w:p>
    <w:p>
      <w:pPr>
        <w:pStyle w:val="Heading2"/>
      </w:pPr>
      <w:r>
        <w:t>sendMessage</w:t>
      </w:r>
    </w:p>
    <w:p>
      <w:pPr>
        <w:pStyle w:val="BodyText"/>
      </w:pPr>
      <w:r>
        <w:t>sendMessage is the chat submission handler. It prevents the browser's default form submission, trims the draft, chooses the selected model based on provider, and refuses to send if required data is missing or a request is already in flight.</w:t>
      </w:r>
    </w:p>
    <w:p>
      <w:pPr>
        <w:pStyle w:val="BodyText"/>
      </w:pPr>
      <w:r>
        <w:t>Before awaiting the backend, sendMessage optimistically appends the user message to the transcript, clears the draft, and sets isSending. The API body includes provider, model, systemPrompt, messages, and optional API credentials. Importantly, messages includes the newly appended user message.</w:t>
      </w:r>
    </w:p>
    <w:p>
      <w:pPr>
        <w:pStyle w:val="BodyText"/>
      </w:pPr>
      <w:r>
        <w:t>On success, the assistant response from the backend is appended to the message list. On failure, the app appends an assistant-shaped error message to the transcript. This keeps errors visible exactly where the user expected a model reply.</w:t>
      </w:r>
    </w:p>
    <w:p>
      <w:pPr>
        <w:pStyle w:val="NTTFlushBodyText"/>
        <w:shd w:val="clear" w:color="auto" w:fill="F2F6FA"/>
        <w:ind w:left="360" w:right="180"/>
        <w:spacing w:before="100" w:after="120"/>
      </w:pPr>
      <w:r>
        <w:rPr>
          <w:rFonts w:ascii="Courier New" w:hAnsi="Courier New"/>
          <w:sz w:val="18"/>
        </w:rPr>
        <w:t>const nextMessages = [...messages, { role: "user", content }];</w:t>
      </w:r>
      <w:r>
        <w:br/>
      </w:r>
      <w:r>
        <w:rPr>
          <w:rFonts w:ascii="Courier New" w:hAnsi="Courier New"/>
          <w:sz w:val="18"/>
        </w:rPr>
        <w:t>setMessages(nextMessages);</w:t>
      </w:r>
      <w:r>
        <w:br/>
      </w:r>
      <w:r>
        <w:rPr>
          <w:rFonts w:ascii="Courier New" w:hAnsi="Courier New"/>
          <w:sz w:val="18"/>
        </w:rPr>
        <w:t>setDraft("");</w:t>
      </w:r>
      <w:r>
        <w:br/>
      </w:r>
      <w:r>
        <w:rPr>
          <w:rFonts w:ascii="Courier New" w:hAnsi="Courier New"/>
          <w:sz w:val="18"/>
        </w:rPr>
        <w:t>setIsSending(true);</w:t>
      </w:r>
    </w:p>
    <w:p>
      <w:pPr>
        <w:pStyle w:val="Heading2"/>
      </w:pPr>
      <w:r>
        <w:t>JSX Render Structure</w:t>
      </w:r>
    </w:p>
    <w:p>
      <w:pPr>
        <w:pStyle w:val="BodyText"/>
      </w:pPr>
      <w:r>
        <w:t>The JSX returns one top-level main element with class app-shell. The class is conditionally extended with is-sidebar-collapsed. This single class switch drives a large part of the responsive/sidebar CSS.</w:t>
      </w:r>
    </w:p>
    <w:p>
      <w:pPr>
        <w:pStyle w:val="BodyText"/>
      </w:pPr>
      <w:r>
        <w:t>The left aside is the agent rail. It contains the brand block, sidebar collapse button, New agent button, and the list of agent cards. Each agent card is a button that selects an agent by id.</w:t>
      </w:r>
    </w:p>
    <w:p>
      <w:pPr>
        <w:pStyle w:val="BodyText"/>
      </w:pPr>
      <w:r>
        <w:t>The workspace section contains the topbar and the main two-column working area. The topbar handles provider selection, model selection, API credential inputs, refresh buttons, API model status, and the global status pill.</w:t>
      </w:r>
    </w:p>
    <w:p>
      <w:pPr>
        <w:pStyle w:val="BodyText"/>
      </w:pPr>
      <w:r>
        <w:t>The builder panel contains agent setup controls: name, goal, system prompt, toolbar actions, inline AI suggestions, prompt templates trigger, and the prompt shape score. Form fields are read-only unless isEditingAgent is true.</w:t>
      </w:r>
    </w:p>
    <w:p>
      <w:pPr>
        <w:pStyle w:val="BodyText"/>
      </w:pPr>
      <w:r>
        <w:t>The suggestion panel is nested inside the builder panel. It exposes an Improve button, a status message, suggestion cards with Apply buttons, and an empty-state message when the model returns no suggestions.</w:t>
      </w:r>
    </w:p>
    <w:p>
      <w:pPr>
        <w:pStyle w:val="BodyText"/>
      </w:pPr>
      <w:r>
        <w:t>The score panel visualizes promptScore with a conic-gradient ring and renders every prompt check as either a passed check or a hint. This is entirely client-side and updates immediately as promptText changes.</w:t>
      </w:r>
    </w:p>
    <w:p>
      <w:pPr>
        <w:pStyle w:val="BodyText"/>
      </w:pPr>
      <w:r>
        <w:t>The test panel contains the conversation test. It renders an empty state when messages is empty, message bubbles when messages exist, a loading assistant bubble while isSending is true, follow-up idea buttons, and the composer form.</w:t>
      </w:r>
    </w:p>
    <w:p>
      <w:pPr>
        <w:pStyle w:val="BodyText"/>
      </w:pPr>
      <w:r>
        <w:t>The template modal is conditionally rendered after the workspace when isTemplateModalOpen is true. The backdrop closes the modal on click, while the modal section stops propagation so clicks inside the dialog do not close it. Each template card supports New and Apply actions.</w:t>
      </w:r>
    </w:p>
    <w:p>
      <w:pPr>
        <w:pStyle w:val="BodyText"/>
      </w:pPr>
      <w:r>
        <w:t>At the bottom of the file, createRoot(document.getElementById("root")).render(&lt;App /&gt;) attaches the React tree to index.html's root div.</w:t>
      </w:r>
    </w:p>
    <w:p>
      <w:pPr>
        <w:pStyle w:val="Heading1"/>
      </w:pPr>
      <w:r>
        <w:t>6. Backend: server/index.js</w:t>
      </w:r>
    </w:p>
    <w:p>
      <w:pPr>
        <w:pStyle w:val="BodyText"/>
      </w:pPr>
      <w:r>
        <w:t>server/index.js is the provider bridge. It accepts local JSON requests from the React app, validates them, calls Ollama or an OpenAI-compatible API, and returns normalized JSON. It also serves the built frontend in production.</w:t>
      </w:r>
    </w:p>
    <w:p>
      <w:pPr>
        <w:pStyle w:val="Heading2"/>
      </w:pPr>
      <w:r>
        <w:t>Imports and Server Constants</w:t>
      </w:r>
    </w:p>
    <w:p>
      <w:pPr>
        <w:pStyle w:val="BodyText"/>
      </w:pPr>
      <w:r>
        <w:t>The server imports Express, Node path helpers, fileURLToPath for resolving __dirname in ESM, and OpenAI from the openai package. Because the project uses ESM, __dirname is reconstructed from import.meta.url.</w:t>
      </w:r>
    </w:p>
    <w:p>
      <w:pPr>
        <w:pStyle w:val="BodyText"/>
      </w:pPr>
      <w:r>
        <w:t>port defaults to process.env.PORT or 3001. ollamaBaseUrl defaults to process.env.OLLAMA_URL or http://127.0.0.1:11434. rootDir resolves to the repository root one level above server/.</w:t>
      </w:r>
    </w:p>
    <w:p>
      <w:pPr>
        <w:pStyle w:val="Heading2"/>
      </w:pPr>
      <w:r>
        <w:t>Middleware</w:t>
      </w:r>
    </w:p>
    <w:p>
      <w:pPr>
        <w:pStyle w:val="BodyText"/>
      </w:pPr>
      <w:r>
        <w:t>express.json({ limit: "1mb" }) parses JSON request bodies and rejects oversized bodies. The 1 MB limit is reasonable for local chat prompts and helps avoid accidentally accepting very large payloads.</w:t>
      </w:r>
    </w:p>
    <w:p>
      <w:pPr>
        <w:pStyle w:val="BodyText"/>
      </w:pPr>
      <w:r>
        <w:t>The custom CORS middleware allows origins matching http://localhost:&lt;port&gt; or http://127.0.0.1:&lt;port&gt;. It sets Access-Control-Allow-Origin only when the origin matches that local pattern. It always allows Content-Type and GET, POST, OPTIONS methods.</w:t>
      </w:r>
    </w:p>
    <w:p>
      <w:pPr>
        <w:pStyle w:val="BodyText"/>
      </w:pPr>
      <w:r>
        <w:t>OPTIONS requests receive status 204 immediately. All other requests pass to the next middleware or route handler.</w:t>
      </w:r>
    </w:p>
    <w:p>
      <w:pPr>
        <w:pStyle w:val="Heading2"/>
      </w:pPr>
      <w:r>
        <w:t>ollamaFetch</w:t>
      </w:r>
    </w:p>
    <w:p>
      <w:pPr>
        <w:pStyle w:val="BodyText"/>
      </w:pPr>
      <w:r>
        <w:t>ollamaFetch wraps fetch calls to the Ollama server. It joins ollamaBaseUrl with the requested pathname, merges JSON headers with any provided headers, and throws if Ollama returns a non-OK response.</w:t>
      </w:r>
    </w:p>
    <w:p>
      <w:pPr>
        <w:pStyle w:val="BodyText"/>
      </w:pPr>
      <w:r>
        <w:t>When an Ollama response is not OK, the function reads the text body and throws that detail if present. Otherwise it throws a generic status message. On success it parses and returns JSON.</w:t>
      </w:r>
    </w:p>
    <w:p>
      <w:pPr>
        <w:pStyle w:val="BodyText"/>
      </w:pPr>
      <w:r>
        <w:t>This helper centralizes the assumptions about Ollama: JSON requests, JSON responses, and error details coming back as text.</w:t>
      </w:r>
    </w:p>
    <w:p>
      <w:pPr>
        <w:pStyle w:val="Heading2"/>
      </w:pPr>
      <w:r>
        <w:t>normalizeErrorMessage</w:t>
      </w:r>
    </w:p>
    <w:p>
      <w:pPr>
        <w:pStyle w:val="BodyText"/>
      </w:pPr>
      <w:r>
        <w:t>normalizeErrorMessage turns arbitrary thrown values into user-facing strings. It starts with error.message for Error instances or String(error) otherwise. Then it tries to parse that message as JSON and return parsed.error or parsed.message if available.</w:t>
      </w:r>
    </w:p>
    <w:p>
      <w:pPr>
        <w:pStyle w:val="BodyText"/>
      </w:pPr>
      <w:r>
        <w:t>This is useful because provider SDKs and remote APIs sometimes stringify JSON error objects into Error.message. The helper pulls the meaningful inner message out when possible.</w:t>
      </w:r>
    </w:p>
    <w:p>
      <w:pPr>
        <w:pStyle w:val="Heading2"/>
      </w:pPr>
      <w:r>
        <w:t>isNonEmptyString</w:t>
      </w:r>
    </w:p>
    <w:p>
      <w:pPr>
        <w:pStyle w:val="BodyText"/>
      </w:pPr>
      <w:r>
        <w:t>isNonEmptyString is a tiny validation helper. It returns true only for strings with non-whitespace content. The route handlers use it to reject missing model names, prompts, API base URLs, and API keys.</w:t>
      </w:r>
    </w:p>
    <w:p>
      <w:pPr>
        <w:pStyle w:val="Heading2"/>
      </w:pPr>
      <w:r>
        <w:t>normalizeOpenRouterServerUrl</w:t>
      </w:r>
    </w:p>
    <w:p>
      <w:pPr>
        <w:pStyle w:val="BodyText"/>
      </w:pPr>
      <w:r>
        <w:t>normalizeOpenRouterServerUrl sanitizes and normalizes the API base URL provided from the frontend. It trims the input, falls back to https://openrouter.ai/api/v1 when empty or invalid, removes hash and query components, and maps api.openai.com to the OpenRouter fallback.</w:t>
      </w:r>
    </w:p>
    <w:p>
      <w:pPr>
        <w:pStyle w:val="BodyText"/>
      </w:pPr>
      <w:r>
        <w:t>It also strips a trailing /chat/completions segment and trailing slashes. If the hostname ends with openrouter.ai and the path does not end in /api/v1, it forces /api/v1. The result is returned without a trailing slash.</w:t>
      </w:r>
    </w:p>
    <w:p>
      <w:pPr>
        <w:pStyle w:val="BodyText"/>
      </w:pPr>
      <w:r>
        <w:t>The practical effect is that users can paste several common OpenRouter URL shapes and still end up with a baseURL suitable for the OpenAI SDK.</w:t>
      </w:r>
    </w:p>
    <w:p>
      <w:pPr>
        <w:pStyle w:val="Heading2"/>
      </w:pPr>
      <w:r>
        <w:t>openRouterClient</w:t>
      </w:r>
    </w:p>
    <w:p>
      <w:pPr>
        <w:pStyle w:val="BodyText"/>
      </w:pPr>
      <w:r>
        <w:t>openRouterClient constructs an OpenAI SDK client with apiKey, normalized baseURL, and two default headers: HTTP-Referer and X-OpenRouter-Title. These headers are commonly expected by OpenRouter for attribution and dashboard display.</w:t>
      </w:r>
    </w:p>
    <w:p>
      <w:pPr>
        <w:pStyle w:val="NTTFlushBodyText"/>
        <w:shd w:val="clear" w:color="auto" w:fill="F2F6FA"/>
        <w:ind w:left="360" w:right="180"/>
        <w:spacing w:before="100" w:after="120"/>
      </w:pPr>
      <w:r>
        <w:rPr>
          <w:rFonts w:ascii="Courier New" w:hAnsi="Courier New"/>
          <w:sz w:val="18"/>
        </w:rPr>
        <w:t>return new OpenAI({</w:t>
      </w:r>
      <w:r>
        <w:br/>
      </w:r>
      <w:r>
        <w:rPr>
          <w:rFonts w:ascii="Courier New" w:hAnsi="Courier New"/>
          <w:sz w:val="18"/>
        </w:rPr>
        <w:t xml:space="preserve">  apiKey,</w:t>
      </w:r>
      <w:r>
        <w:br/>
      </w:r>
      <w:r>
        <w:rPr>
          <w:rFonts w:ascii="Courier New" w:hAnsi="Courier New"/>
          <w:sz w:val="18"/>
        </w:rPr>
        <w:t xml:space="preserve">  baseURL: normalizeOpenRouterServerUrl(apiBaseUrl),</w:t>
      </w:r>
      <w:r>
        <w:br/>
      </w:r>
      <w:r>
        <w:rPr>
          <w:rFonts w:ascii="Courier New" w:hAnsi="Courier New"/>
          <w:sz w:val="18"/>
        </w:rPr>
        <w:t xml:space="preserve">  defaultHeaders: {</w:t>
      </w:r>
      <w:r>
        <w:br/>
      </w:r>
      <w:r>
        <w:rPr>
          <w:rFonts w:ascii="Courier New" w:hAnsi="Courier New"/>
          <w:sz w:val="18"/>
        </w:rPr>
        <w:t xml:space="preserve">    "HTTP-Referer": "http://localhost:5173",</w:t>
      </w:r>
      <w:r>
        <w:br/>
      </w:r>
      <w:r>
        <w:rPr>
          <w:rFonts w:ascii="Courier New" w:hAnsi="Courier New"/>
          <w:sz w:val="18"/>
        </w:rPr>
        <w:t xml:space="preserve">    "X-OpenRouter-Title": "Prompt Lab",</w:t>
      </w:r>
      <w:r>
        <w:br/>
      </w:r>
      <w:r>
        <w:rPr>
          <w:rFonts w:ascii="Courier New" w:hAnsi="Courier New"/>
          <w:sz w:val="18"/>
        </w:rPr>
        <w:t xml:space="preserve">  },</w:t>
      </w:r>
      <w:r>
        <w:br/>
      </w:r>
      <w:r>
        <w:rPr>
          <w:rFonts w:ascii="Courier New" w:hAnsi="Courier New"/>
          <w:sz w:val="18"/>
        </w:rPr>
        <w:t>});</w:t>
      </w:r>
    </w:p>
    <w:p>
      <w:pPr>
        <w:pStyle w:val="Heading2"/>
      </w:pPr>
      <w:r>
        <w:t>apiChat</w:t>
      </w:r>
    </w:p>
    <w:p>
      <w:pPr>
        <w:pStyle w:val="BodyText"/>
      </w:pPr>
      <w:r>
        <w:t>apiChat sends a chat completion request through the OpenAI SDK. It builds a messages array beginning with the system prompt, then maps frontend transcript messages into provider-compatible roles and content.</w:t>
      </w:r>
    </w:p>
    <w:p>
      <w:pPr>
        <w:pStyle w:val="BodyText"/>
      </w:pPr>
      <w:r>
        <w:t>The mapping protects against unexpected roles by preserving assistant only when role === "assistant" and treating everything else as user. The function returns a normalized assistant message with role: "assistant" and content from completion.choices[0].message.content, falling back to an empty string.</w:t>
      </w:r>
    </w:p>
    <w:p>
      <w:pPr>
        <w:pStyle w:val="Heading2"/>
      </w:pPr>
      <w:r>
        <w:t>Prompt Suggestion Parsing Helpers</w:t>
      </w:r>
    </w:p>
    <w:p>
      <w:pPr>
        <w:pStyle w:val="BodyText"/>
      </w:pPr>
      <w:r>
        <w:t>Prompt suggestions are deliberately stricter than chat responses. The backend asks the provider for JSON only, then parses and normalizes that JSON before returning suggestions to the frontend.</w:t>
      </w:r>
    </w:p>
    <w:p>
      <w:pPr>
        <w:pStyle w:val="BodyText"/>
      </w:pPr>
      <w:r>
        <w:t>extractJsonBlock handles model replies that include markdown fences or prose around JSON. It first extracts the contents of a fenced json block if present. Then it chooses the first array or object in the candidate string and slices through the last matching bracket or brace. If no bracket is found, it returns the candidate as-is.</w:t>
      </w:r>
    </w:p>
    <w:p>
      <w:pPr>
        <w:pStyle w:val="BodyText"/>
      </w:pPr>
      <w:r>
        <w:t>normalizeSuggestionItems accepts either an array directly or an object with a suggestions array. It maps each item into id, label, hint, and snippet, using fallback property names such as title, reason, description, rewrite, or insert. It filters out items that lack both a hint and snippet.</w:t>
      </w:r>
    </w:p>
    <w:p>
      <w:pPr>
        <w:pStyle w:val="BodyText"/>
      </w:pPr>
      <w:r>
        <w:t>parseSuggestionResponse composes extractJsonBlock, JSON.parse, and normalizeSuggestionItems. Any invalid JSON will throw, which the route handler catches and reports as a 502.</w:t>
      </w:r>
    </w:p>
    <w:p>
      <w:pPr>
        <w:pStyle w:val="BodyText"/>
      </w:pPr>
      <w:r>
        <w:t>buildSuggestionPrompt constructs the user message sent to the model for prompt review. It asks for JSON only, specifies the exact schema, limits the result to 0 to 5 suggestions, and tells the model to focus on specificity, constraints, audience, structure, and vague wording.</w:t>
      </w:r>
    </w:p>
    <w:p>
      <w:pPr>
        <w:pStyle w:val="Heading2"/>
      </w:pPr>
      <w:r>
        <w:t>apiPromptSuggestions and ollamaPromptSuggestions</w:t>
      </w:r>
    </w:p>
    <w:p>
      <w:pPr>
        <w:pStyle w:val="BodyText"/>
      </w:pPr>
      <w:r>
        <w:t>apiPromptSuggestions uses the OpenAI SDK path. Its system message tells the model it is a prompt engineering reviewer and must return valid JSON matching the requested schema. Its user message is the output of buildSuggestionPrompt.</w:t>
      </w:r>
    </w:p>
    <w:p>
      <w:pPr>
        <w:pStyle w:val="BodyText"/>
      </w:pPr>
      <w:r>
        <w:t>ollamaPromptSuggestions uses ollamaFetch against /api/chat. It sends stream: false and similar system/user messages. It then parses data.message.content through parseSuggestionResponse.</w:t>
      </w:r>
    </w:p>
    <w:p>
      <w:pPr>
        <w:pStyle w:val="BodyText"/>
      </w:pPr>
      <w:r>
        <w:t>Both helpers return the same normalized suggestion array. This is why the frontend can render suggestions without knowing which provider created them.</w:t>
      </w:r>
    </w:p>
    <w:p>
      <w:pPr>
        <w:pStyle w:val="Heading2"/>
      </w:pPr>
      <w:r>
        <w:t>apiModels</w:t>
      </w:r>
    </w:p>
    <w:p>
      <w:pPr>
        <w:pStyle w:val="BodyText"/>
      </w:pPr>
      <w:r>
        <w:t>apiModels lists available models through the OpenAI SDK client. It maps model ids into { name } objects, removes missing names, and sorts alphabetically. The frontend expects the same rough shape as Ollama models, which also expose name.</w:t>
      </w:r>
    </w:p>
    <w:p>
      <w:pPr>
        <w:pStyle w:val="Heading2"/>
      </w:pPr>
      <w:r>
        <w:t>GET /api/health</w:t>
      </w:r>
    </w:p>
    <w:p>
      <w:pPr>
        <w:pStyle w:val="BodyText"/>
      </w:pPr>
      <w:r>
        <w:t>This route checks whether Ollama is reachable by calling ollamaFetch("/api/tags"). On success it returns { ok: true, ollamaBaseUrl }. On failure it returns 503 with ok: false, the base URL, and a remediation message.</w:t>
      </w:r>
    </w:p>
    <w:p>
      <w:pPr>
        <w:pStyle w:val="BodyText"/>
      </w:pPr>
      <w:r>
        <w:t>The frontend calls this route during refreshOllama and uses the result for the status pill.</w:t>
      </w:r>
    </w:p>
    <w:p>
      <w:pPr>
        <w:pStyle w:val="Heading2"/>
      </w:pPr>
      <w:r>
        <w:t>GET /api/models</w:t>
      </w:r>
    </w:p>
    <w:p>
      <w:pPr>
        <w:pStyle w:val="BodyText"/>
      </w:pPr>
      <w:r>
        <w:t>This route also calls Ollama /api/tags. On success it returns a models array where each model contains name, size, and modifiedAt. On failure it returns 503 with the error message.</w:t>
      </w:r>
    </w:p>
    <w:p>
      <w:pPr>
        <w:pStyle w:val="BodyText"/>
      </w:pPr>
      <w:r>
        <w:t>The frontend uses this endpoint to populate the Ollama model select. If the returned list is empty, the UI shows "No model found".</w:t>
      </w:r>
    </w:p>
    <w:p>
      <w:pPr>
        <w:pStyle w:val="Heading2"/>
      </w:pPr>
      <w:r>
        <w:t>POST /api/api-models</w:t>
      </w:r>
    </w:p>
    <w:p>
      <w:pPr>
        <w:pStyle w:val="BodyText"/>
      </w:pPr>
      <w:r>
        <w:t>This route lists API models for OpenRouter/API mode. It requires apiBaseUrl and apiKey. Missing or blank values produce a 400 response. Provider errors produce a 502 response after normalization.</w:t>
      </w:r>
    </w:p>
    <w:p>
      <w:pPr>
        <w:pStyle w:val="BodyText"/>
      </w:pPr>
      <w:r>
        <w:t>On success it returns { models }. The frontend uses the count and list to either show a model dropdown or keep the manual model input.</w:t>
      </w:r>
    </w:p>
    <w:p>
      <w:pPr>
        <w:pStyle w:val="Heading2"/>
      </w:pPr>
      <w:r>
        <w:t>POST /api/chat</w:t>
      </w:r>
    </w:p>
    <w:p>
      <w:pPr>
        <w:pStyle w:val="BodyText"/>
      </w:pPr>
      <w:r>
        <w:t>This is the main chat route. It accepts provider, model, systemPrompt, messages, apiBaseUrl, and apiKey. The effective provider is api when provider === "api" or when provider is absent but API credentials are present. Otherwise it defaults to ollama.</w:t>
      </w:r>
    </w:p>
    <w:p>
      <w:pPr>
        <w:pStyle w:val="BodyText"/>
      </w:pPr>
      <w:r>
        <w:t>The route validates model, systemPrompt, and messages for every provider. In API mode it also validates apiBaseUrl and apiKey. Missing required inputs return 400. Provider failures return 502.</w:t>
      </w:r>
    </w:p>
    <w:p>
      <w:pPr>
        <w:pStyle w:val="BodyText"/>
      </w:pPr>
      <w:r>
        <w:t>In API mode the route delegates to apiChat and returns its normalized assistant message. In Ollama mode it calls /api/chat with stream: false, prepends the system prompt to the message list, and returns role/content from data.message.</w:t>
      </w:r>
    </w:p>
    <w:p>
      <w:pPr>
        <w:pStyle w:val="NTTFlushBodyText"/>
        <w:shd w:val="clear" w:color="auto" w:fill="F2F6FA"/>
        <w:ind w:left="360" w:right="180"/>
        <w:spacing w:before="100" w:after="120"/>
      </w:pPr>
      <w:r>
        <w:rPr>
          <w:rFonts w:ascii="Courier New" w:hAnsi="Courier New"/>
          <w:sz w:val="18"/>
        </w:rPr>
        <w:t>messages: [</w:t>
      </w:r>
      <w:r>
        <w:br/>
      </w:r>
      <w:r>
        <w:rPr>
          <w:rFonts w:ascii="Courier New" w:hAnsi="Courier New"/>
          <w:sz w:val="18"/>
        </w:rPr>
        <w:t xml:space="preserve">  { role: "system", content: systemPrompt },</w:t>
      </w:r>
      <w:r>
        <w:br/>
      </w:r>
      <w:r>
        <w:rPr>
          <w:rFonts w:ascii="Courier New" w:hAnsi="Courier New"/>
          <w:sz w:val="18"/>
        </w:rPr>
        <w:t xml:space="preserve">  ...messages.map(({ role, content }) =&gt; ({ role, content })),</w:t>
      </w:r>
      <w:r>
        <w:br/>
      </w:r>
      <w:r>
        <w:rPr>
          <w:rFonts w:ascii="Courier New" w:hAnsi="Courier New"/>
          <w:sz w:val="18"/>
        </w:rPr>
        <w:t>]</w:t>
      </w:r>
    </w:p>
    <w:p>
      <w:pPr>
        <w:pStyle w:val="Heading2"/>
      </w:pPr>
      <w:r>
        <w:t>POST /api/prompt-suggestions</w:t>
      </w:r>
    </w:p>
    <w:p>
      <w:pPr>
        <w:pStyle w:val="BodyText"/>
      </w:pPr>
      <w:r>
        <w:t>This route mirrors the provider selection and validation shape of /api/chat, but it only needs model and systemPrompt plus optional API credentials. It returns { suggestions } on success.</w:t>
      </w:r>
    </w:p>
    <w:p>
      <w:pPr>
        <w:pStyle w:val="BodyText"/>
      </w:pPr>
      <w:r>
        <w:t>The route chooses apiPromptSuggestions or ollamaPromptSuggestions based on effectiveProvider. Any parse failure, provider failure, or SDK error becomes a 502 with a normalized message.</w:t>
      </w:r>
    </w:p>
    <w:p>
      <w:pPr>
        <w:pStyle w:val="Heading2"/>
      </w:pPr>
      <w:r>
        <w:t>Production Static Serving</w:t>
      </w:r>
    </w:p>
    <w:p>
      <w:pPr>
        <w:pStyle w:val="BodyText"/>
      </w:pPr>
      <w:r>
        <w:t>When NODE_ENV is production, Express serves the dist folder and falls back to dist/index.html for any unmatched route. This allows the same server process to host both API endpoints and the compiled single-page app.</w:t>
      </w:r>
    </w:p>
    <w:p>
      <w:pPr>
        <w:pStyle w:val="Heading2"/>
      </w:pPr>
      <w:r>
        <w:t>Server Startup and Error Handling</w:t>
      </w:r>
    </w:p>
    <w:p>
      <w:pPr>
        <w:pStyle w:val="BodyText"/>
      </w:pPr>
      <w:r>
        <w:t>The server listens on the configured port and logs the local URL. If the server emits an error, the handler logs "Prompt Lab API failed to start:" and exits with status 1. This makes startup failures visible rather than silently leaving the client without a backend.</w:t>
      </w:r>
    </w:p>
    <w:p>
      <w:pPr>
        <w:pStyle w:val="Heading1"/>
      </w:pPr>
      <w:r>
        <w:t>7. Styling: src/styles.css</w:t>
      </w:r>
    </w:p>
    <w:p>
      <w:pPr>
        <w:pStyle w:val="BodyText"/>
      </w:pPr>
      <w:r>
        <w:t>The stylesheet defines the entire look and layout of Prompt Lab. It is organized around root variables, layout containers, reusable controls, panels, specialized components, and responsive rules.</w:t>
      </w:r>
    </w:p>
    <w:p>
      <w:pPr>
        <w:pStyle w:val="Heading2"/>
      </w:pPr>
      <w:r>
        <w:t>Root Variables and Global Base</w:t>
      </w:r>
    </w:p>
    <w:p>
      <w:pPr>
        <w:pStyle w:val="BodyText"/>
      </w:pPr>
      <w:r>
        <w:t>:root defines the main typography and color tokens. The palette uses paper, ink, muted text, line, teal, dark teal, coral, amber, and mint. These variables are reused throughout the file, making most color changes possible from a small section at the top.</w:t>
      </w:r>
    </w:p>
    <w:p>
      <w:pPr>
        <w:pStyle w:val="BodyText"/>
      </w:pPr>
      <w:r>
        <w:t>The body background combines a subtle teal linear gradient, a faint repeating line pattern, and the warm base background. Inputs and buttons inherit font settings so controls match surrounding text.</w:t>
      </w:r>
    </w:p>
    <w:p>
      <w:pPr>
        <w:pStyle w:val="Heading2"/>
      </w:pPr>
      <w:r>
        <w:t>Application Shell and Sidebar</w:t>
      </w:r>
    </w:p>
    <w:p>
      <w:pPr>
        <w:pStyle w:val="BodyText"/>
      </w:pPr>
      <w:r>
        <w:t>.app-shell is a two-column CSS grid: a 310px sidebar and a flexible workspace. When .is-sidebar-collapsed is present, the sidebar column becomes 78px. The transition animates the grid column width.</w:t>
      </w:r>
    </w:p>
    <w:p>
      <w:pPr>
        <w:pStyle w:val="BodyText"/>
      </w:pPr>
      <w:r>
        <w:t>.agent-rail is the sidebar container. It uses flex column layout, padding, a right border, translucent paper background, and backdrop blur. Collapsed-state selectors hide the sidebar text, brand mark, and button labels while forcing icon-sized controls.</w:t>
      </w:r>
    </w:p>
    <w:p>
      <w:pPr>
        <w:pStyle w:val="BodyText"/>
      </w:pPr>
      <w:r>
        <w:t>.agent-card styles each saved agent as a selectable button. The active card gets a mint background, teal border, and inset teal indicator. Text is truncated with ellipsis to keep long goals from breaking the rail.</w:t>
      </w:r>
    </w:p>
    <w:p>
      <w:pPr>
        <w:pStyle w:val="Heading2"/>
      </w:pPr>
      <w:r>
        <w:t>Shared Flex Groups and Controls</w:t>
      </w:r>
    </w:p>
    <w:p>
      <w:pPr>
        <w:pStyle w:val="BodyText"/>
      </w:pPr>
      <w:r>
        <w:t>A large grouped selector gives many UI elements display: flex and align-items: center. This avoids repeating the same flex boilerplate for brand blocks, rows, buttons, cards, and pills.</w:t>
      </w:r>
    </w:p>
    <w:p>
      <w:pPr>
        <w:pStyle w:val="BodyText"/>
      </w:pPr>
      <w:r>
        <w:t>Primary and secondary actions share border radius, hover transforms, and transitions. Icon buttons have fixed 42px square dimensions, making toolbar layouts stable. Disabled icon buttons reduce opacity and disable hover-like visual changes.</w:t>
      </w:r>
    </w:p>
    <w:p>
      <w:pPr>
        <w:pStyle w:val="Heading2"/>
      </w:pPr>
      <w:r>
        <w:t>Topbar and Provider Settings</w:t>
      </w:r>
    </w:p>
    <w:p>
      <w:pPr>
        <w:pStyle w:val="BodyText"/>
      </w:pPr>
      <w:r>
        <w:t>.topbar spaces provider controls and status on a horizontal row. .provider-toggle creates a segmented control with active state styling. .model-row aligns the model selector and refresh button.</w:t>
      </w:r>
    </w:p>
    <w:p>
      <w:pPr>
        <w:pStyle w:val="BodyText"/>
      </w:pPr>
      <w:r>
        <w:t>.api-settings uses a two-column grid for base URL and API key inputs on wider screens, collapsing to one column in the mobile media query. .api-model-status has success and error color states that mirror the status object in React.</w:t>
      </w:r>
    </w:p>
    <w:p>
      <w:pPr>
        <w:pStyle w:val="Heading2"/>
      </w:pPr>
      <w:r>
        <w:t>Main Grid and Panels</w:t>
      </w:r>
    </w:p>
    <w:p>
      <w:pPr>
        <w:pStyle w:val="BodyText"/>
      </w:pPr>
      <w:r>
        <w:t>.main-grid creates the two primary work areas: builder and test. The builder panel is slightly narrower than the test panel. Both use translucent paper backgrounds, borders, radius, and a soft shadow.</w:t>
      </w:r>
    </w:p>
    <w:p>
      <w:pPr>
        <w:pStyle w:val="BodyText"/>
      </w:pPr>
      <w:r>
        <w:t>.builder-panel is a grid with consistent gaps. Labels are also grids, which places field labels above inputs naturally. The system prompt textarea uses a monospace font and a taller minimum height because prompt editing benefits from code-editor-like spacing.</w:t>
      </w:r>
    </w:p>
    <w:p>
      <w:pPr>
        <w:pStyle w:val="Heading2"/>
      </w:pPr>
      <w:r>
        <w:t>Suggestion Panel and Templates</w:t>
      </w:r>
    </w:p>
    <w:p>
      <w:pPr>
        <w:pStyle w:val="BodyText"/>
      </w:pPr>
      <w:r>
        <w:t>.suggestion-panel visually groups the model-generated prompt suggestions. Suggestion cards are flex rows with text on the left and an Apply button on the right. At smaller widths, media queries stack the card content and button vertically.</w:t>
      </w:r>
    </w:p>
    <w:p>
      <w:pPr>
        <w:pStyle w:val="BodyText"/>
      </w:pPr>
      <w:r>
        <w:t>.template-modal-backdrop covers the viewport with a translucent overlay and blur. .template-modal is constrained to 920px width, capped by viewport height, scrollable, and styled as a dialog. .template-grid uses two columns on desktop and one column on smaller screens.</w:t>
      </w:r>
    </w:p>
    <w:p>
      <w:pPr>
        <w:pStyle w:val="Heading2"/>
      </w:pPr>
      <w:r>
        <w:t>Prompt Score</w:t>
      </w:r>
    </w:p>
    <w:p>
      <w:pPr>
        <w:pStyle w:val="BodyText"/>
      </w:pPr>
      <w:r>
        <w:t>.score-ring uses a conic-gradient controlled by the CSS variable --score. React passes --score as an inline style based on promptScore.value. A radial gradient masks the center, creating a donut ring around the Gauge icon and numeric score.</w:t>
      </w:r>
    </w:p>
    <w:p>
      <w:pPr>
        <w:pStyle w:val="BodyText"/>
      </w:pPr>
      <w:r>
        <w:t>.check and .check.is-passed represent failed and passed prompt heuristics. Failed checks use an amber warning treatment. Passed checks use mint/teal styling.</w:t>
      </w:r>
    </w:p>
    <w:p>
      <w:pPr>
        <w:pStyle w:val="Heading2"/>
      </w:pPr>
      <w:r>
        <w:t>Chat Panel</w:t>
      </w:r>
    </w:p>
    <w:p>
      <w:pPr>
        <w:pStyle w:val="BodyText"/>
      </w:pPr>
      <w:r>
        <w:t>.test-panel uses grid rows for header, chat window, idea strip, and composer. Its height is constrained on desktop to fit within the viewport, while mobile rules let it expand naturally.</w:t>
      </w:r>
    </w:p>
    <w:p>
      <w:pPr>
        <w:pStyle w:val="BodyText"/>
      </w:pPr>
      <w:r>
        <w:t>.chat-window is scrollable, vertical, and gap-based. User messages align to the right and use dark teal with paper text. Assistant messages use paper background. Message paragraphs preserve whitespace with white-space: pre-wrap, so multi-line model replies remain readable.</w:t>
      </w:r>
    </w:p>
    <w:p>
      <w:pPr>
        <w:pStyle w:val="BodyText"/>
      </w:pPr>
      <w:r>
        <w:t>.idea-strip is horizontally scrollable so suggested follow-up prompts can overflow without wrapping awkwardly. .composer aligns the textarea and Send button, then stacks them on narrow screens.</w:t>
      </w:r>
    </w:p>
    <w:p>
      <w:pPr>
        <w:pStyle w:val="Heading2"/>
      </w:pPr>
      <w:r>
        <w:t>Responsive Rules</w:t>
      </w:r>
    </w:p>
    <w:p>
      <w:pPr>
        <w:pStyle w:val="BodyText"/>
      </w:pPr>
      <w:r>
        <w:t>At max-width 1060px, the app becomes one column. The sidebar loses its right border and gains a bottom border. The agent list becomes a two-column grid, the main grid becomes one column, the template grid becomes one column, suggestion cards stack, and the test panel receives an auto height.</w:t>
      </w:r>
    </w:p>
    <w:p>
      <w:pPr>
        <w:pStyle w:val="BodyText"/>
      </w:pPr>
      <w:r>
        <w:t>At max-width 700px, outer padding shrinks, the topbar/composer/score panel stack vertically, API settings become one column, agent cards become one column, the status pill loses its pill radius, messages can use full width, and the send button receives a taller tap target.</w:t>
      </w:r>
    </w:p>
    <w:p>
      <w:pPr>
        <w:pStyle w:val="Heading1"/>
      </w:pPr>
      <w:r>
        <w:t>8. Data Model and Persistence</w:t>
      </w:r>
    </w:p>
    <w:p>
      <w:pPr>
        <w:pStyle w:val="Heading2"/>
      </w:pPr>
      <w:r>
        <w:t>Agent Shape</w:t>
      </w:r>
    </w:p>
    <w:p>
      <w:pPr>
        <w:pStyle w:val="BodyText"/>
      </w:pPr>
      <w:r>
        <w:t>An agent is represented as an object with id, name, goal, systemPrompt, and createdAt. The React app never introduces a class or schema library; it relies on consistent object shape and defensive normalization in loadAgents.</w:t>
      </w:r>
    </w:p>
    <w:p>
      <w:pPr>
        <w:pStyle w:val="NTTFlushBodyText"/>
        <w:shd w:val="clear" w:color="auto" w:fill="F2F6FA"/>
        <w:ind w:left="360" w:right="180"/>
        <w:spacing w:before="100" w:after="120"/>
      </w:pPr>
      <w:r>
        <w:rPr>
          <w:rFonts w:ascii="Courier New" w:hAnsi="Courier New"/>
          <w:sz w:val="18"/>
        </w:rPr>
        <w:t>{</w:t>
      </w:r>
      <w:r>
        <w:br/>
      </w:r>
      <w:r>
        <w:rPr>
          <w:rFonts w:ascii="Courier New" w:hAnsi="Courier New"/>
          <w:sz w:val="18"/>
        </w:rPr>
        <w:t xml:space="preserve">  id: "coach",</w:t>
      </w:r>
      <w:r>
        <w:br/>
      </w:r>
      <w:r>
        <w:rPr>
          <w:rFonts w:ascii="Courier New" w:hAnsi="Courier New"/>
          <w:sz w:val="18"/>
        </w:rPr>
        <w:t xml:space="preserve">  name: "Prompt Coach",</w:t>
      </w:r>
      <w:r>
        <w:br/>
      </w:r>
      <w:r>
        <w:rPr>
          <w:rFonts w:ascii="Courier New" w:hAnsi="Courier New"/>
          <w:sz w:val="18"/>
        </w:rPr>
        <w:t xml:space="preserve">  goal: "Improve prompts with direct, practical feedback.",</w:t>
      </w:r>
      <w:r>
        <w:br/>
      </w:r>
      <w:r>
        <w:rPr>
          <w:rFonts w:ascii="Courier New" w:hAnsi="Courier New"/>
          <w:sz w:val="18"/>
        </w:rPr>
        <w:t xml:space="preserve">  systemPrompt: "You are a concise prompt coach...",</w:t>
      </w:r>
      <w:r>
        <w:br/>
      </w:r>
      <w:r>
        <w:rPr>
          <w:rFonts w:ascii="Courier New" w:hAnsi="Courier New"/>
          <w:sz w:val="18"/>
        </w:rPr>
        <w:t xml:space="preserve">  createdAt: Date.now()</w:t>
      </w:r>
      <w:r>
        <w:br/>
      </w:r>
      <w:r>
        <w:rPr>
          <w:rFonts w:ascii="Courier New" w:hAnsi="Courier New"/>
          <w:sz w:val="18"/>
        </w:rPr>
        <w:t>}</w:t>
      </w:r>
    </w:p>
    <w:p>
      <w:pPr>
        <w:pStyle w:val="BodyText"/>
      </w:pPr>
      <w:r>
        <w:t>The saved data is stored under localStorage key prompt-lab-agents. It is local to the current browser profile. There is no sync, backend persistence, or multi-user account model.</w:t>
      </w:r>
    </w:p>
    <w:p>
      <w:pPr>
        <w:pStyle w:val="Heading2"/>
      </w:pPr>
      <w:r>
        <w:t>API Settings Shape</w:t>
      </w:r>
    </w:p>
    <w:p>
      <w:pPr>
        <w:pStyle w:val="BodyText"/>
      </w:pPr>
      <w:r>
        <w:t>API settings include baseUrl, apiKey, and model. They are stored under localStorage key prompt-lab-api-settings. The UI treats these values as convenience settings rather than secure account credentials.</w:t>
      </w:r>
    </w:p>
    <w:p>
      <w:pPr>
        <w:pStyle w:val="BodyText"/>
      </w:pPr>
      <w:r>
        <w:t>Because apiKey is stored in localStorage, anyone with access to that browser profile can inspect it. For a local practice tool this may be acceptable, but it should be reconsidered before deploying the app for other users.</w:t>
      </w:r>
    </w:p>
    <w:p>
      <w:pPr>
        <w:pStyle w:val="Heading2"/>
      </w:pPr>
      <w:r>
        <w:t>Chat Message Shape</w:t>
      </w:r>
    </w:p>
    <w:p>
      <w:pPr>
        <w:pStyle w:val="BodyText"/>
      </w:pPr>
      <w:r>
        <w:t>The frontend chat transcript uses objects with role and content. User messages are appended with role: "user". Successful backend responses are assistant-shaped. Failure messages are also assistant-shaped so they render in the same conversation stream.</w:t>
      </w:r>
    </w:p>
    <w:p>
      <w:pPr>
        <w:pStyle w:val="BodyText"/>
      </w:pPr>
      <w:r>
        <w:t>The backend accepts role/content pairs. API mode normalizes all non-assistant roles to user before calling OpenAI-compatible chat completions. Ollama mode forwards each role/content pair directly after prepending the system prompt.</w:t>
      </w:r>
    </w:p>
    <w:p>
      <w:pPr>
        <w:pStyle w:val="Heading1"/>
      </w:pPr>
      <w:r>
        <w:t>9. Request and Response Flows</w:t>
      </w:r>
    </w:p>
    <w:p>
      <w:pPr>
        <w:pStyle w:val="Heading2"/>
      </w:pPr>
      <w:r>
        <w:t>Initial Page Load</w:t>
      </w:r>
    </w:p>
    <w:p>
      <w:pPr>
        <w:pStyle w:val="NTTFlushBullet1"/>
      </w:pPr>
      <w:r>
        <w:t>index.html loads /src/main.jsx.</w:t>
      </w:r>
    </w:p>
    <w:p>
      <w:pPr>
        <w:pStyle w:val="NTTFlushBullet1"/>
      </w:pPr>
      <w:r>
        <w:t>React renders App into #root.</w:t>
      </w:r>
    </w:p>
    <w:p>
      <w:pPr>
        <w:pStyle w:val="NTTFlushBullet1"/>
      </w:pPr>
      <w:r>
        <w:t>agents initializes from loadAgents; apiSettings initializes from loadApiSettings.</w:t>
      </w:r>
    </w:p>
    <w:p>
      <w:pPr>
        <w:pStyle w:val="NTTFlushBullet1"/>
      </w:pPr>
      <w:r>
        <w:t>The startup effect calls refreshOllama.</w:t>
      </w:r>
    </w:p>
    <w:p>
      <w:pPr>
        <w:pStyle w:val="NTTFlushBullet1"/>
      </w:pPr>
      <w:r>
        <w:t>refreshOllama requests /api/health and /api/models.</w:t>
      </w:r>
    </w:p>
    <w:p>
      <w:pPr>
        <w:pStyle w:val="NTTFlushBullet1"/>
      </w:pPr>
      <w:r>
        <w:t>The status pill and Ollama model selector update from the responses.</w:t>
      </w:r>
    </w:p>
    <w:p>
      <w:pPr>
        <w:pStyle w:val="Heading2"/>
      </w:pPr>
      <w:r>
        <w:t>Ollama Chat Flow</w:t>
      </w:r>
    </w:p>
    <w:p>
      <w:pPr>
        <w:pStyle w:val="NTTFlushBullet1"/>
      </w:pPr>
      <w:r>
        <w:t>User selects provider Ollama and an available local model.</w:t>
      </w:r>
    </w:p>
    <w:p>
      <w:pPr>
        <w:pStyle w:val="NTTFlushBullet1"/>
      </w:pPr>
      <w:r>
        <w:t>User writes a prompt in the composer and submits the form.</w:t>
      </w:r>
    </w:p>
    <w:p>
      <w:pPr>
        <w:pStyle w:val="NTTFlushBullet1"/>
      </w:pPr>
      <w:r>
        <w:t>sendMessage appends the user message locally and posts to /api/chat.</w:t>
      </w:r>
    </w:p>
    <w:p>
      <w:pPr>
        <w:pStyle w:val="NTTFlushBullet1"/>
      </w:pPr>
      <w:r>
        <w:t>Express sees effectiveProvider as ollama.</w:t>
      </w:r>
    </w:p>
    <w:p>
      <w:pPr>
        <w:pStyle w:val="NTTFlushBullet1"/>
      </w:pPr>
      <w:r>
        <w:t>Express validates model, systemPrompt, and messages.</w:t>
      </w:r>
    </w:p>
    <w:p>
      <w:pPr>
        <w:pStyle w:val="NTTFlushBullet1"/>
      </w:pPr>
      <w:r>
        <w:t>Express posts to Ollama /api/chat with stream: false and a system message prepended.</w:t>
      </w:r>
    </w:p>
    <w:p>
      <w:pPr>
        <w:pStyle w:val="NTTFlushBullet1"/>
      </w:pPr>
      <w:r>
        <w:t>Express returns normalized role/content.</w:t>
      </w:r>
    </w:p>
    <w:p>
      <w:pPr>
        <w:pStyle w:val="NTTFlushBullet1"/>
      </w:pPr>
      <w:r>
        <w:t>React appends the assistant response to messages.</w:t>
      </w:r>
    </w:p>
    <w:p>
      <w:pPr>
        <w:pStyle w:val="Heading2"/>
      </w:pPr>
      <w:r>
        <w:t>API Chat Flow</w:t>
      </w:r>
    </w:p>
    <w:p>
      <w:pPr>
        <w:pStyle w:val="NTTFlushBullet1"/>
      </w:pPr>
      <w:r>
        <w:t>User selects provider API.</w:t>
      </w:r>
    </w:p>
    <w:p>
      <w:pPr>
        <w:pStyle w:val="NTTFlushBullet1"/>
      </w:pPr>
      <w:r>
        <w:t>User provides base URL, API key, and model or loads models from the refresh button.</w:t>
      </w:r>
    </w:p>
    <w:p>
      <w:pPr>
        <w:pStyle w:val="NTTFlushBullet1"/>
      </w:pPr>
      <w:r>
        <w:t>sendMessage posts to /api/chat with provider: "api" and API credentials.</w:t>
      </w:r>
    </w:p>
    <w:p>
      <w:pPr>
        <w:pStyle w:val="NTTFlushBullet1"/>
      </w:pPr>
      <w:r>
        <w:t>Express validates model, systemPrompt, messages, apiBaseUrl, and apiKey.</w:t>
      </w:r>
    </w:p>
    <w:p>
      <w:pPr>
        <w:pStyle w:val="NTTFlushBullet1"/>
      </w:pPr>
      <w:r>
        <w:t>Express creates an OpenAI SDK client with normalized baseURL.</w:t>
      </w:r>
    </w:p>
    <w:p>
      <w:pPr>
        <w:pStyle w:val="NTTFlushBullet1"/>
      </w:pPr>
      <w:r>
        <w:t>apiChat sends openai.chat.completions.create.</w:t>
      </w:r>
    </w:p>
    <w:p>
      <w:pPr>
        <w:pStyle w:val="NTTFlushBullet1"/>
      </w:pPr>
      <w:r>
        <w:t>Express returns a normalized assistant response.</w:t>
      </w:r>
    </w:p>
    <w:p>
      <w:pPr>
        <w:pStyle w:val="NTTFlushBullet1"/>
      </w:pPr>
      <w:r>
        <w:t>React appends that response to the chat window.</w:t>
      </w:r>
    </w:p>
    <w:p>
      <w:pPr>
        <w:pStyle w:val="Heading2"/>
      </w:pPr>
      <w:r>
        <w:t>Prompt Suggestion Flow</w:t>
      </w:r>
    </w:p>
    <w:p>
      <w:pPr>
        <w:pStyle w:val="NTTFlushBullet1"/>
      </w:pPr>
      <w:r>
        <w:t>User clicks Improve in the suggestion panel.</w:t>
      </w:r>
    </w:p>
    <w:p>
      <w:pPr>
        <w:pStyle w:val="NTTFlushBullet1"/>
      </w:pPr>
      <w:r>
        <w:t>improvePrompt chooses provider credentials and posts to /api/prompt-suggestions.</w:t>
      </w:r>
    </w:p>
    <w:p>
      <w:pPr>
        <w:pStyle w:val="NTTFlushBullet1"/>
      </w:pPr>
      <w:r>
        <w:t>Express validates model and systemPrompt, plus API credentials when needed.</w:t>
      </w:r>
    </w:p>
    <w:p>
      <w:pPr>
        <w:pStyle w:val="NTTFlushBullet1"/>
      </w:pPr>
      <w:r>
        <w:t>The provider receives a prompt asking for JSON-only suggestions.</w:t>
      </w:r>
    </w:p>
    <w:p>
      <w:pPr>
        <w:pStyle w:val="NTTFlushBullet1"/>
      </w:pPr>
      <w:r>
        <w:t>The backend extracts JSON, parses it, normalizes items, and filters incomplete suggestions.</w:t>
      </w:r>
    </w:p>
    <w:p>
      <w:pPr>
        <w:pStyle w:val="NTTFlushBullet1"/>
      </w:pPr>
      <w:r>
        <w:t>React stores suggestions and renders suggestion cards.</w:t>
      </w:r>
    </w:p>
    <w:p>
      <w:pPr>
        <w:pStyle w:val="NTTFlushBullet1"/>
      </w:pPr>
      <w:r>
        <w:t>User clicks Apply on a suggestion.</w:t>
      </w:r>
    </w:p>
    <w:p>
      <w:pPr>
        <w:pStyle w:val="NTTFlushBullet1"/>
      </w:pPr>
      <w:r>
        <w:t>applyPromptSuggestion appends the snippet to the editable system prompt and removes that suggestion card.</w:t>
      </w:r>
    </w:p>
    <w:p>
      <w:pPr>
        <w:pStyle w:val="Heading2"/>
      </w:pPr>
      <w:r>
        <w:t>Template Flow</w:t>
      </w:r>
    </w:p>
    <w:p>
      <w:pPr>
        <w:pStyle w:val="NTTFlushBullet1"/>
      </w:pPr>
      <w:r>
        <w:t>User opens the Prompt templates modal.</w:t>
      </w:r>
    </w:p>
    <w:p>
      <w:pPr>
        <w:pStyle w:val="NTTFlushBullet1"/>
      </w:pPr>
      <w:r>
        <w:t>Each template is rendered from promptTemplates.</w:t>
      </w:r>
    </w:p>
    <w:p>
      <w:pPr>
        <w:pStyle w:val="NTTFlushBullet1"/>
      </w:pPr>
      <w:r>
        <w:t>New creates a new agent from the template and selects it.</w:t>
      </w:r>
    </w:p>
    <w:p>
      <w:pPr>
        <w:pStyle w:val="NTTFlushBullet1"/>
      </w:pPr>
      <w:r>
        <w:t>Apply replaces the current agentDraft with the template but does not create a new agent.</w:t>
      </w:r>
    </w:p>
    <w:p>
      <w:pPr>
        <w:pStyle w:val="NTTFlushBullet1"/>
      </w:pPr>
      <w:r>
        <w:t>Both actions close the modal and clear chat messages.</w:t>
      </w:r>
    </w:p>
    <w:p>
      <w:pPr>
        <w:pStyle w:val="Heading1"/>
      </w:pPr>
      <w:r>
        <w:t>10. Error Handling Strategy</w:t>
      </w:r>
    </w:p>
    <w:p>
      <w:pPr>
        <w:pStyle w:val="BodyText"/>
      </w:pPr>
      <w:r>
        <w:t>The app handles errors at both frontend and backend boundaries. The backend uses HTTP status codes and JSON messages. The frontend turns failed chat requests into visible assistant messages and turns setup/model/suggestion failures into status text.</w:t>
      </w:r>
    </w:p>
    <w:p>
      <w:pPr>
        <w:pStyle w:val="BodyText"/>
      </w:pPr>
      <w:r>
        <w:t>Backend validation failures use 400. Ollama health/model failures use 503. Provider, SDK, and parsing failures in active operations use 502. This distinction makes it easier to tell whether a problem is bad input, unavailable local service, or upstream provider failure.</w:t>
      </w:r>
    </w:p>
    <w:p>
      <w:pPr>
        <w:pStyle w:val="BodyText"/>
      </w:pPr>
      <w:r>
        <w:t>Frontend readApiJson is a key reliability helper because it protects the UI from silently trying to parse HTML as JSON. That can happen when the API server is down and a dev server fallback page is returned.</w:t>
      </w:r>
    </w:p>
    <w:p>
      <w:pPr>
        <w:pStyle w:val="BodyText"/>
      </w:pPr>
      <w:r>
        <w:t>Buttons are disabled when required inputs are missing or requests are in flight. For example, Send is disabled without draft text, while a request is sending, without an Ollama model in Ollama mode, or without complete API settings in API mode.</w:t>
      </w:r>
    </w:p>
    <w:p>
      <w:pPr>
        <w:pStyle w:val="BodyText"/>
      </w:pPr>
      <w:r>
        <w:t>Prompt suggestions can fail when the model returns malformed JSON. The backend intentionally catches that parse failure and sends a 502. The frontend displays the message in suggestionStatus rather than crashing.</w:t>
      </w:r>
    </w:p>
    <w:p>
      <w:pPr>
        <w:pStyle w:val="Heading1"/>
      </w:pPr>
      <w:r>
        <w:t>11. Security and Privacy Notes</w:t>
      </w:r>
    </w:p>
    <w:p>
      <w:pPr>
        <w:pStyle w:val="BodyText"/>
      </w:pPr>
      <w:r>
        <w:t>The server CORS logic only allows localhost and 127.0.0.1 origins with any port. This is consistent with a local development tool and reduces accidental exposure to arbitrary browser origins.</w:t>
      </w:r>
    </w:p>
    <w:p>
      <w:pPr>
        <w:pStyle w:val="BodyText"/>
      </w:pPr>
      <w:r>
        <w:t>API keys are entered in the browser and stored in localStorage. They are sent to the local Express backend when loading API models, chatting in API mode, or requesting prompt suggestions in API mode. The backend does not persist the key, but the browser does.</w:t>
      </w:r>
    </w:p>
    <w:p>
      <w:pPr>
        <w:pStyle w:val="BodyText"/>
      </w:pPr>
      <w:r>
        <w:t>The app has no authentication, authorization, database, account model, or encrypted secret storage. That is appropriate for a single-user local lab, but it should not be treated as production-ready for hosted multi-user use without changing the credential handling model.</w:t>
      </w:r>
    </w:p>
    <w:p>
      <w:pPr>
        <w:pStyle w:val="BodyText"/>
      </w:pPr>
      <w:r>
        <w:t>The JSON body limit of 1 MB reduces accidental oversized requests. It does not provide content moderation, rate limiting, origin authentication, or protection from local malicious processes.</w:t>
      </w:r>
    </w:p>
    <w:p>
      <w:pPr>
        <w:pStyle w:val="BodyText"/>
      </w:pPr>
      <w:r>
        <w:t>Prompt and chat contents are sent to whichever provider the user selects. In Ollama mode that is local to the configured Ollama server. In API mode that content leaves the machine and goes to the configured OpenAI-compatible provider.</w:t>
      </w:r>
    </w:p>
    <w:p>
      <w:pPr>
        <w:pStyle w:val="Heading1"/>
      </w:pPr>
      <w:r>
        <w:t>12. Maintenance Guide</w:t>
      </w:r>
    </w:p>
    <w:p>
      <w:pPr>
        <w:pStyle w:val="Heading2"/>
      </w:pPr>
      <w:r>
        <w:t>Adding a New Prompt Template</w:t>
      </w:r>
    </w:p>
    <w:p>
      <w:pPr>
        <w:pStyle w:val="BodyText"/>
      </w:pPr>
      <w:r>
        <w:t>Add another object to promptTemplates with id, name, category, goal, and systemPrompt. No rendering changes are needed because the modal maps over promptTemplates. Use a stable id string so React keys remain predictable.</w:t>
      </w:r>
    </w:p>
    <w:p>
      <w:pPr>
        <w:pStyle w:val="Heading2"/>
      </w:pPr>
      <w:r>
        <w:t>Changing Prompt Checks</w:t>
      </w:r>
    </w:p>
    <w:p>
      <w:pPr>
        <w:pStyle w:val="BodyText"/>
      </w:pPr>
      <w:r>
        <w:t>Edit promptChecks. Each check needs label, test, and hint. The score panel automatically updates because it maps over promptChecks and promptScore derives from the array length. Be careful with regexes: too broad creates false confidence, too narrow makes helpful prompts look weak.</w:t>
      </w:r>
    </w:p>
    <w:p>
      <w:pPr>
        <w:pStyle w:val="Heading2"/>
      </w:pPr>
      <w:r>
        <w:t>Adding Another AI Provider</w:t>
      </w:r>
    </w:p>
    <w:p>
      <w:pPr>
        <w:pStyle w:val="BodyText"/>
      </w:pPr>
      <w:r>
        <w:t>A third provider would require coordinated frontend and backend changes. Frontend state would need another provider option, readiness logic, settings controls, and request payload fields. The backend would need provider detection, validation, a provider-specific chat helper, a provider-specific model-list helper if supported, and prompt suggestion support.</w:t>
      </w:r>
    </w:p>
    <w:p>
      <w:pPr>
        <w:pStyle w:val="BodyText"/>
      </w:pPr>
      <w:r>
        <w:t>The existing pattern to imitate is: normalize provider-specific details in the backend, return a simple shape to the frontend, and keep React rendering provider-neutral wherever possible.</w:t>
      </w:r>
    </w:p>
    <w:p>
      <w:pPr>
        <w:pStyle w:val="Heading2"/>
      </w:pPr>
      <w:r>
        <w:t>Enabling Streaming Responses</w:t>
      </w:r>
    </w:p>
    <w:p>
      <w:pPr>
        <w:pStyle w:val="BodyText"/>
      </w:pPr>
      <w:r>
        <w:t>Both Ollama and many OpenAI-compatible APIs can stream tokens, but this app currently sets stream: false and waits for complete responses. Streaming would require a different backend response format and frontend incremental message updates. The current simpler design is easier to reason about and document.</w:t>
      </w:r>
    </w:p>
    <w:p>
      <w:pPr>
        <w:pStyle w:val="Heading2"/>
      </w:pPr>
      <w:r>
        <w:t>Improving Modal Accessibility</w:t>
      </w:r>
    </w:p>
    <w:p>
      <w:pPr>
        <w:pStyle w:val="BodyText"/>
      </w:pPr>
      <w:r>
        <w:t>The template modal has role="dialog", aria-modal="true", and a labelled title. It does not currently implement focus trapping, Escape key close handling, or focus restoration. Those would be natural accessibility improvements if the modal becomes more central.</w:t>
      </w:r>
    </w:p>
    <w:p>
      <w:pPr>
        <w:pStyle w:val="Heading2"/>
      </w:pPr>
      <w:r>
        <w:t>Testing Recommendations</w:t>
      </w:r>
    </w:p>
    <w:p>
      <w:pPr>
        <w:pStyle w:val="BodyText"/>
      </w:pPr>
      <w:r>
        <w:t>There is no test suite defined in package.json. Useful future tests would include loadAgents normalization, loadApiSettings migrations, normalizeOpenRouterServerUrl edge cases, parseSuggestionResponse with fenced and unfenced JSON, route validation behavior, and sendMessage/improvePrompt disabled-state logic through component tests.</w:t>
      </w:r>
    </w:p>
    <w:p>
      <w:pPr>
        <w:pStyle w:val="BodyText"/>
      </w:pPr>
      <w:r>
        <w:t>Manual verification should cover startup with no localStorage, startup with corrupted localStorage, Ollama unavailable, Ollama available with at least one model, API mode with missing key, API model refresh with valid credentials, chat request success, chat request failure, prompt suggestion success, malformed suggestion JSON, creating/deleting agents, template New, template Apply, and mobile layout.</w:t>
      </w:r>
    </w:p>
    <w:p>
      <w:pPr>
        <w:pStyle w:val="Heading1"/>
      </w:pPr>
      <w:r>
        <w:t>13. Line Range Reference</w:t>
      </w:r>
    </w:p>
    <w:p>
      <w:pPr>
        <w:pStyle w:val="Heading2"/>
      </w:pPr>
      <w:r>
        <w:t>src/main.jsx</w:t>
      </w:r>
    </w:p>
    <w:p>
      <w:pPr>
        <w:pStyle w:val="NTTFlushBullet1"/>
      </w:pPr>
      <w:r>
        <w:t>Lines 1-23: React, ReactDOM, icon, and stylesheet imports.</w:t>
      </w:r>
    </w:p>
    <w:p>
      <w:pPr>
        <w:pStyle w:val="NTTFlushBullet1"/>
      </w:pPr>
      <w:r>
        <w:t>Lines 25-42: starterAgents default data.</w:t>
      </w:r>
    </w:p>
    <w:p>
      <w:pPr>
        <w:pStyle w:val="NTTFlushBullet1"/>
      </w:pPr>
      <w:r>
        <w:t>Lines 44-65: promptChecks heuristic rubric.</w:t>
      </w:r>
    </w:p>
    <w:p>
      <w:pPr>
        <w:pStyle w:val="NTTFlushBullet1"/>
      </w:pPr>
      <w:r>
        <w:t>Lines 67-72: followUpIdeas quick composer prompts.</w:t>
      </w:r>
    </w:p>
    <w:p>
      <w:pPr>
        <w:pStyle w:val="NTTFlushBullet1"/>
      </w:pPr>
      <w:r>
        <w:t>Lines 74-115: promptTemplates shown in the modal.</w:t>
      </w:r>
    </w:p>
    <w:p>
      <w:pPr>
        <w:pStyle w:val="NTTFlushBullet1"/>
      </w:pPr>
      <w:r>
        <w:t>Lines 117-124: default API settings and frontend API base URL selection.</w:t>
      </w:r>
    </w:p>
    <w:p>
      <w:pPr>
        <w:pStyle w:val="NTTFlushBullet1"/>
      </w:pPr>
      <w:r>
        <w:t>Lines 126-147: loadAgents localStorage parsing and normalization.</w:t>
      </w:r>
    </w:p>
    <w:p>
      <w:pPr>
        <w:pStyle w:val="NTTFlushBullet1"/>
      </w:pPr>
      <w:r>
        <w:t>Lines 149-169: loadApiSettings localStorage parsing, defaults, and migrations.</w:t>
      </w:r>
    </w:p>
    <w:p>
      <w:pPr>
        <w:pStyle w:val="NTTFlushBullet1"/>
      </w:pPr>
      <w:r>
        <w:t>Lines 171-187: draft and template-to-agent helpers.</w:t>
      </w:r>
    </w:p>
    <w:p>
      <w:pPr>
        <w:pStyle w:val="NTTFlushBullet1"/>
      </w:pPr>
      <w:r>
        <w:t>Lines 189-195: inline sidebar SVG icon.</w:t>
      </w:r>
    </w:p>
    <w:p>
      <w:pPr>
        <w:pStyle w:val="NTTFlushBullet1"/>
      </w:pPr>
      <w:r>
        <w:t>Lines 197-218: API response parser and API URL helper.</w:t>
      </w:r>
    </w:p>
    <w:p>
      <w:pPr>
        <w:pStyle w:val="NTTFlushBullet1"/>
      </w:pPr>
      <w:r>
        <w:t>Lines 220-240: React state declarations.</w:t>
      </w:r>
    </w:p>
    <w:p>
      <w:pPr>
        <w:pStyle w:val="NTTFlushBullet1"/>
      </w:pPr>
      <w:r>
        <w:t>Lines 242-250: derived activeAgent, readiness, promptText, and promptScore.</w:t>
      </w:r>
    </w:p>
    <w:p>
      <w:pPr>
        <w:pStyle w:val="NTTFlushBullet1"/>
      </w:pPr>
      <w:r>
        <w:t>Lines 252-268: persistence, startup, and active-agent effects.</w:t>
      </w:r>
    </w:p>
    <w:p>
      <w:pPr>
        <w:pStyle w:val="NTTFlushBullet1"/>
      </w:pPr>
      <w:r>
        <w:t>Lines 270-355: provider/model refresh and API settings actions.</w:t>
      </w:r>
    </w:p>
    <w:p>
      <w:pPr>
        <w:pStyle w:val="NTTFlushBullet1"/>
      </w:pPr>
      <w:r>
        <w:t>Lines 357-435: agent creation, selection, deletion, editing, and saving actions.</w:t>
      </w:r>
    </w:p>
    <w:p>
      <w:pPr>
        <w:pStyle w:val="NTTFlushBullet1"/>
      </w:pPr>
      <w:r>
        <w:t>Lines 437-488: clipboard, chat reset, and prompt improvement action.</w:t>
      </w:r>
    </w:p>
    <w:p>
      <w:pPr>
        <w:pStyle w:val="NTTFlushBullet1"/>
      </w:pPr>
      <w:r>
        <w:t>Lines 490-535: chat submission action.</w:t>
      </w:r>
    </w:p>
    <w:p>
      <w:pPr>
        <w:pStyle w:val="NTTFlushBullet1"/>
      </w:pPr>
      <w:r>
        <w:t>Lines 537-581: app shell and agent sidebar JSX.</w:t>
      </w:r>
    </w:p>
    <w:p>
      <w:pPr>
        <w:pStyle w:val="NTTFlushBullet1"/>
      </w:pPr>
      <w:r>
        <w:t>Lines 583-698: workspace topbar, provider controls, and status pill JSX.</w:t>
      </w:r>
    </w:p>
    <w:p>
      <w:pPr>
        <w:pStyle w:val="NTTFlushBullet1"/>
      </w:pPr>
      <w:r>
        <w:t>Lines 700-842: builder panel, agent form, suggestions, templates trigger, and prompt score JSX.</w:t>
      </w:r>
    </w:p>
    <w:p>
      <w:pPr>
        <w:pStyle w:val="NTTFlushBullet1"/>
      </w:pPr>
      <w:r>
        <w:t>Lines 844-908: chat test panel JSX.</w:t>
      </w:r>
    </w:p>
    <w:p>
      <w:pPr>
        <w:pStyle w:val="NTTFlushBullet1"/>
      </w:pPr>
      <w:r>
        <w:t>Lines 912-954: template modal JSX.</w:t>
      </w:r>
    </w:p>
    <w:p>
      <w:pPr>
        <w:pStyle w:val="NTTFlushBullet1"/>
      </w:pPr>
      <w:r>
        <w:t>Line 959: React root mounting.</w:t>
      </w:r>
    </w:p>
    <w:p>
      <w:pPr>
        <w:pStyle w:val="Heading2"/>
      </w:pPr>
      <w:r>
        <w:t>server/index.js</w:t>
      </w:r>
    </w:p>
    <w:p>
      <w:pPr>
        <w:pStyle w:val="NTTFlushBullet1"/>
      </w:pPr>
      <w:r>
        <w:t>Lines 1-11: imports, app creation, port, Ollama URL, and directory resolution.</w:t>
      </w:r>
    </w:p>
    <w:p>
      <w:pPr>
        <w:pStyle w:val="NTTFlushBullet1"/>
      </w:pPr>
      <w:r>
        <w:t>Lines 13-28: JSON parsing and localhost CORS middleware.</w:t>
      </w:r>
    </w:p>
    <w:p>
      <w:pPr>
        <w:pStyle w:val="NTTFlushBullet1"/>
      </w:pPr>
      <w:r>
        <w:t>Lines 30-45: ollamaFetch helper.</w:t>
      </w:r>
    </w:p>
    <w:p>
      <w:pPr>
        <w:pStyle w:val="NTTFlushBullet1"/>
      </w:pPr>
      <w:r>
        <w:t>Lines 47-60: error and string validation helpers.</w:t>
      </w:r>
    </w:p>
    <w:p>
      <w:pPr>
        <w:pStyle w:val="NTTFlushBullet1"/>
      </w:pPr>
      <w:r>
        <w:t>Lines 62-92: OpenRouter base URL normalization.</w:t>
      </w:r>
    </w:p>
    <w:p>
      <w:pPr>
        <w:pStyle w:val="NTTFlushBullet1"/>
      </w:pPr>
      <w:r>
        <w:t>Lines 94-103: OpenAI SDK client creation.</w:t>
      </w:r>
    </w:p>
    <w:p>
      <w:pPr>
        <w:pStyle w:val="NTTFlushBullet1"/>
      </w:pPr>
      <w:r>
        <w:t>Lines 105-122: API chat completion helper.</w:t>
      </w:r>
    </w:p>
    <w:p>
      <w:pPr>
        <w:pStyle w:val="NTTFlushBullet1"/>
      </w:pPr>
      <w:r>
        <w:t>Lines 124-175: suggestion JSON extraction, normalization, parsing, and prompt construction.</w:t>
      </w:r>
    </w:p>
    <w:p>
      <w:pPr>
        <w:pStyle w:val="NTTFlushBullet1"/>
      </w:pPr>
      <w:r>
        <w:t>Lines 177-223: API and Ollama prompt suggestion helpers.</w:t>
      </w:r>
    </w:p>
    <w:p>
      <w:pPr>
        <w:pStyle w:val="NTTFlushBullet1"/>
      </w:pPr>
      <w:r>
        <w:t>Lines 225-233: API model listing helper.</w:t>
      </w:r>
    </w:p>
    <w:p>
      <w:pPr>
        <w:pStyle w:val="NTTFlushBullet1"/>
      </w:pPr>
      <w:r>
        <w:t>Lines 235-262: Ollama health and model routes.</w:t>
      </w:r>
    </w:p>
    <w:p>
      <w:pPr>
        <w:pStyle w:val="NTTFlushBullet1"/>
      </w:pPr>
      <w:r>
        <w:t>Lines 264-279: API model route.</w:t>
      </w:r>
    </w:p>
    <w:p>
      <w:pPr>
        <w:pStyle w:val="NTTFlushBullet1"/>
      </w:pPr>
      <w:r>
        <w:t>Lines 281-342: chat route.</w:t>
      </w:r>
    </w:p>
    <w:p>
      <w:pPr>
        <w:pStyle w:val="NTTFlushBullet1"/>
      </w:pPr>
      <w:r>
        <w:t>Lines 344-381: prompt suggestions route.</w:t>
      </w:r>
    </w:p>
    <w:p>
      <w:pPr>
        <w:pStyle w:val="NTTFlushBullet1"/>
      </w:pPr>
      <w:r>
        <w:t>Lines 383-388: production static serving.</w:t>
      </w:r>
    </w:p>
    <w:p>
      <w:pPr>
        <w:pStyle w:val="NTTFlushBullet1"/>
      </w:pPr>
      <w:r>
        <w:t>Lines 390-397: server startup and startup error handling.</w:t>
      </w:r>
    </w:p>
    <w:p>
      <w:pPr>
        <w:pStyle w:val="Heading2"/>
      </w:pPr>
      <w:r>
        <w:t>src/styles.css</w:t>
      </w:r>
    </w:p>
    <w:p>
      <w:pPr>
        <w:pStyle w:val="NTTFlushBullet1"/>
      </w:pPr>
      <w:r>
        <w:t>Lines 1-41: root variables, global sizing, body background, and base control inheritance.</w:t>
      </w:r>
    </w:p>
    <w:p>
      <w:pPr>
        <w:pStyle w:val="NTTFlushBullet1"/>
      </w:pPr>
      <w:r>
        <w:t>Lines 43-119: app shell, sidebar, brand, and sidebar toggle layout.</w:t>
      </w:r>
    </w:p>
    <w:p>
      <w:pPr>
        <w:pStyle w:val="NTTFlushBullet1"/>
      </w:pPr>
      <w:r>
        <w:t>Lines 121-180: headings and shared button interaction styles.</w:t>
      </w:r>
    </w:p>
    <w:p>
      <w:pPr>
        <w:pStyle w:val="NTTFlushBullet1"/>
      </w:pPr>
      <w:r>
        <w:t>Lines 182-270: agent list, agent cards, and collapsed sidebar states.</w:t>
      </w:r>
    </w:p>
    <w:p>
      <w:pPr>
        <w:pStyle w:val="NTTFlushBullet1"/>
      </w:pPr>
      <w:r>
        <w:t>Lines 273-371: workspace, topbar, provider controls, API settings, inputs, and focus states.</w:t>
      </w:r>
    </w:p>
    <w:p>
      <w:pPr>
        <w:pStyle w:val="NTTFlushBullet1"/>
      </w:pPr>
      <w:r>
        <w:t>Lines 379-437: icon buttons and status pill states.</w:t>
      </w:r>
    </w:p>
    <w:p>
      <w:pPr>
        <w:pStyle w:val="NTTFlushBullet1"/>
      </w:pPr>
      <w:r>
        <w:t>Lines 439-487: main grid, builder/test panel shell, labels, and prompt textarea.</w:t>
      </w:r>
    </w:p>
    <w:p>
      <w:pPr>
        <w:pStyle w:val="NTTFlushBullet1"/>
      </w:pPr>
      <w:r>
        <w:t>Lines 489-618: suggestion panel, improve button, spinner, statuses, suggestion cards, and template trigger.</w:t>
      </w:r>
    </w:p>
    <w:p>
      <w:pPr>
        <w:pStyle w:val="NTTFlushBullet1"/>
      </w:pPr>
      <w:r>
        <w:t>Lines 620-705: template grid, cards, actions, modal backdrop, modal panel, and modal header.</w:t>
      </w:r>
    </w:p>
    <w:p>
      <w:pPr>
        <w:pStyle w:val="NTTFlushBullet1"/>
      </w:pPr>
      <w:r>
        <w:t>Lines 707-753: prompt score panel, score ring, checks, and passed-check styles.</w:t>
      </w:r>
    </w:p>
    <w:p>
      <w:pPr>
        <w:pStyle w:val="NTTFlushBullet1"/>
      </w:pPr>
      <w:r>
        <w:t>Lines 755-879: chat panel, chat window, messages, idea strip, composer, and disabled send button.</w:t>
      </w:r>
    </w:p>
    <w:p>
      <w:pPr>
        <w:pStyle w:val="NTTFlushBullet1"/>
      </w:pPr>
      <w:r>
        <w:t>Lines 881-933: responsive layout for tablet/smaller desktop widths.</w:t>
      </w:r>
    </w:p>
    <w:p>
      <w:pPr>
        <w:pStyle w:val="NTTFlushBullet1"/>
      </w:pPr>
      <w:r>
        <w:t>Lines 935-969: responsive layout for narrow mobile widths.</w:t>
      </w:r>
    </w:p>
    <w:p>
      <w:pPr>
        <w:pStyle w:val="Heading1"/>
      </w:pPr>
      <w:r>
        <w:t>14. Glossary</w:t>
      </w:r>
    </w:p>
    <w:p>
      <w:pPr>
        <w:pStyle w:val="NTTFlushBullet1"/>
      </w:pPr>
      <w:r>
        <w:t>Agent - A local object containing a name, learning goal, and system prompt.</w:t>
      </w:r>
    </w:p>
    <w:p>
      <w:pPr>
        <w:pStyle w:val="NTTFlushBullet1"/>
      </w:pPr>
      <w:r>
        <w:t>System prompt - The instruction prepended to chat messages before sending them to the model.</w:t>
      </w:r>
    </w:p>
    <w:p>
      <w:pPr>
        <w:pStyle w:val="NTTFlushBullet1"/>
      </w:pPr>
      <w:r>
        <w:t>Provider - The selected AI backend mode, either Ollama or API.</w:t>
      </w:r>
    </w:p>
    <w:p>
      <w:pPr>
        <w:pStyle w:val="NTTFlushBullet1"/>
      </w:pPr>
      <w:r>
        <w:t>Ollama - A local model server used by the app through /api/tags and /api/chat.</w:t>
      </w:r>
    </w:p>
    <w:p>
      <w:pPr>
        <w:pStyle w:val="NTTFlushBullet1"/>
      </w:pPr>
      <w:r>
        <w:t>OpenRouter/API mode - A configurable OpenAI-compatible API path using the OpenAI Node SDK with baseURL override.</w:t>
      </w:r>
    </w:p>
    <w:p>
      <w:pPr>
        <w:pStyle w:val="NTTFlushBullet1"/>
      </w:pPr>
      <w:r>
        <w:t>Prompt check - A simple regex-based heuristic used to score whether a prompt contains role, outcome, behavior, and audience signals.</w:t>
      </w:r>
    </w:p>
    <w:p>
      <w:pPr>
        <w:pStyle w:val="NTTFlushBullet1"/>
      </w:pPr>
      <w:r>
        <w:t>Prompt suggestion - A structured model-generated recommendation containing id, label, hint, and snippet.</w:t>
      </w:r>
    </w:p>
    <w:p>
      <w:pPr>
        <w:pStyle w:val="NTTFlushBullet1"/>
      </w:pPr>
      <w:r>
        <w:t>agentDraft - The temporary editable copy of the selected agent.</w:t>
      </w:r>
    </w:p>
    <w:p>
      <w:pPr>
        <w:pStyle w:val="NTTFlushBullet1"/>
      </w:pPr>
      <w:r>
        <w:t>messages - The current chat transcript rendered in the conversation test panel.</w:t>
      </w:r>
    </w:p>
    <w:p>
      <w:pPr>
        <w:pStyle w:val="NTTFlushBullet1"/>
      </w:pPr>
      <w:r>
        <w:t>apiModelStatus and suggestionStatus - Small state objects used to communicate loading, success, empty, and error states in the UI.</w:t>
      </w:r>
    </w:p>
    <w:p>
      <w:pPr>
        <w:pStyle w:val="Heading1"/>
      </w:pPr>
      <w:r>
        <w:t>Closing Mental Model</w:t>
      </w:r>
    </w:p>
    <w:p>
      <w:pPr>
        <w:pStyle w:val="BodyText"/>
      </w:pPr>
      <w:r>
        <w:t>Prompt Lab is easiest to maintain when treated as a local-first React app with a thin provider bridge. The browser owns agents, settings, drafts, and conversation state. The Express backend owns provider details, input validation, error normalization, and static serving in production. The stylesheet owns nearly all layout and responsive behavior through a small set of class names generated by the JSX.</w:t>
      </w:r>
    </w:p>
    <w:p>
      <w:pPr>
        <w:pStyle w:val="BodyText"/>
      </w:pPr>
      <w:r>
        <w:t>When modifying the app, trace a feature through this chain: data constant or state variable, UI control, event handler, API request if needed, backend route, provider helper, normalized response, React state update, and CSS class. That chain is the spine of the codebase.</w:t>
      </w:r>
    </w:p>
    <w:sectPr w:rsidR="00BA5274" w:rsidSect="00762711">
      <w:headerReference w:type="default" r:id="rId21"/>
      <w:footerReference w:type="default" r:id="rId22"/>
      <w:headerReference w:type="first" r:id="rId23"/>
      <w:footerReference w:type="first" r:id="rId24"/>
      <w:pgSz w:w="11906" w:h="16838"/>
      <w:pgMar w:top="1609" w:right="1134" w:bottom="1134" w:left="1134" w:header="709" w:footer="47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33A42" w14:textId="77777777" w:rsidR="00841AFF" w:rsidRDefault="00841AFF" w:rsidP="004F71FC">
      <w:r>
        <w:separator/>
      </w:r>
    </w:p>
    <w:p w14:paraId="558EFB46" w14:textId="77777777" w:rsidR="00841AFF" w:rsidRDefault="00841AFF"/>
  </w:endnote>
  <w:endnote w:type="continuationSeparator" w:id="0">
    <w:p w14:paraId="6BDCCD6D" w14:textId="77777777" w:rsidR="00841AFF" w:rsidRDefault="00841AFF" w:rsidP="004F71FC">
      <w:r>
        <w:continuationSeparator/>
      </w:r>
    </w:p>
    <w:p w14:paraId="10C1B22E" w14:textId="77777777" w:rsidR="00841AFF" w:rsidRDefault="00841A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old">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626DF" w14:textId="77777777" w:rsidR="00762711" w:rsidRDefault="007627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16E8B" w14:textId="5C1DC18B" w:rsidR="000433E6" w:rsidRDefault="00380132" w:rsidP="00824EC5">
    <w:pPr>
      <w:pStyle w:val="Footer"/>
      <w:tabs>
        <w:tab w:val="clear" w:pos="9026"/>
        <w:tab w:val="right" w:pos="9575"/>
      </w:tabs>
    </w:pPr>
    <w:r w:rsidRPr="001C5D50">
      <w:rPr>
        <w:rFonts w:hint="eastAsia"/>
        <w:bCs/>
        <w:lang w:val="en-GB"/>
      </w:rPr>
      <w:t>©</w:t>
    </w:r>
    <w:r>
      <w:rPr>
        <w:bCs/>
        <w:lang w:val="en-GB"/>
      </w:rPr>
      <w:t xml:space="preserve"> 2023</w:t>
    </w:r>
    <w:r w:rsidRPr="001C5D50">
      <w:rPr>
        <w:bCs/>
        <w:lang w:val="en-GB"/>
      </w:rPr>
      <w:t xml:space="preserve"> </w:t>
    </w:r>
    <w:sdt>
      <w:sdtPr>
        <w:rPr>
          <w:bCs/>
          <w:lang w:val="en-GB"/>
        </w:rPr>
        <w:alias w:val="Company"/>
        <w:tag w:val=""/>
        <w:id w:val="-1979137449"/>
        <w:placeholder>
          <w:docPart w:val="F9B3FD16871F4C54ACF12EFE83A2BD4C"/>
        </w:placeholder>
        <w:dataBinding w:prefixMappings="xmlns:ns0='http://schemas.openxmlformats.org/officeDocument/2006/extended-properties' " w:xpath="/ns0:Properties[1]/ns0:Company[1]" w:storeItemID="{6668398D-A668-4E3E-A5EB-62B293D839F1}"/>
        <w:text/>
      </w:sdtPr>
      <w:sdtContent>
        <w:r w:rsidR="00762711">
          <w:rPr>
            <w:bCs/>
            <w:lang w:val="en-GB"/>
          </w:rPr>
          <w:t>NTT DATA, Inc.</w:t>
        </w:r>
      </w:sdtContent>
    </w:sdt>
    <w:r w:rsidRPr="001C5D50">
      <w:rPr>
        <w:b/>
        <w:bCs/>
        <w:lang w:val="en-GB"/>
      </w:rPr>
      <w:t xml:space="preserve"> </w:t>
    </w:r>
    <w:r>
      <w:rPr>
        <w:noProof/>
      </w:rPr>
      <mc:AlternateContent>
        <mc:Choice Requires="wps">
          <w:drawing>
            <wp:anchor distT="45720" distB="45720" distL="114300" distR="114300" simplePos="0" relativeHeight="251694080" behindDoc="0" locked="0" layoutInCell="1" allowOverlap="1" wp14:anchorId="09E117FC" wp14:editId="1B61D5FF">
              <wp:simplePos x="0" y="0"/>
              <wp:positionH relativeFrom="margin">
                <wp:align>right</wp:align>
              </wp:positionH>
              <wp:positionV relativeFrom="paragraph">
                <wp:posOffset>5715</wp:posOffset>
              </wp:positionV>
              <wp:extent cx="804545" cy="160020"/>
              <wp:effectExtent l="0" t="0" r="0" b="0"/>
              <wp:wrapSquare wrapText="bothSides"/>
              <wp:docPr id="14482905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160020"/>
                      </a:xfrm>
                      <a:prstGeom prst="rect">
                        <a:avLst/>
                      </a:prstGeom>
                      <a:solidFill>
                        <a:srgbClr val="FFFFFF"/>
                      </a:solidFill>
                      <a:ln w="9525">
                        <a:noFill/>
                        <a:miter lim="800000"/>
                        <a:headEnd/>
                        <a:tailEnd/>
                      </a:ln>
                    </wps:spPr>
                    <wps:txbx>
                      <w:txbxContent>
                        <w:p w14:paraId="75A1A2E4" w14:textId="77777777" w:rsidR="00380132" w:rsidRPr="00824EC5" w:rsidRDefault="00380132"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09E117FC" id="_x0000_t202" coordsize="21600,21600" o:spt="202" path="m,l,21600r21600,l21600,xe">
              <v:stroke joinstyle="miter"/>
              <v:path gradientshapeok="t" o:connecttype="rect"/>
            </v:shapetype>
            <v:shape id="Text Box 2" o:spid="_x0000_s1026" type="#_x0000_t202" style="position:absolute;margin-left:12.15pt;margin-top:.45pt;width:63.35pt;height:12.6pt;z-index:2516940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" stroked="f">
              <v:textbox style="mso-fit-shape-to-text:t" inset="0,0,0,0">
                <w:txbxContent>
                  <w:p w14:paraId="75A1A2E4" w14:textId="77777777" w:rsidR="00380132" w:rsidRPr="00824EC5" w:rsidRDefault="00380132"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8E39D" w14:textId="089CB0C7" w:rsidR="00824EC5" w:rsidRDefault="00824EC5" w:rsidP="00824EC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4E9B6" w14:textId="5E4E05D8" w:rsidR="00762711" w:rsidRPr="005B0B72" w:rsidRDefault="00762711" w:rsidP="005B0B72">
    <w:pPr>
      <w:pStyle w:val="Footer"/>
      <w:tabs>
        <w:tab w:val="clear" w:pos="9026"/>
        <w:tab w:val="right" w:pos="9575"/>
      </w:tabs>
      <w:rPr>
        <w:bCs/>
        <w:lang w:val="en-GB"/>
      </w:rPr>
    </w:pPr>
    <w:r w:rsidRPr="00762711">
      <w:rPr>
        <w:noProof/>
        <w:sz w:val="12"/>
        <w:szCs w:val="12"/>
      </w:rPr>
      <mc:AlternateContent>
        <mc:Choice Requires="wps">
          <w:drawing>
            <wp:anchor distT="45720" distB="45720" distL="114300" distR="114300" simplePos="0" relativeHeight="251696128" behindDoc="0" locked="0" layoutInCell="1" allowOverlap="1" wp14:anchorId="53D51667" wp14:editId="30C95E7B">
              <wp:simplePos x="0" y="0"/>
              <wp:positionH relativeFrom="margin">
                <wp:align>right</wp:align>
              </wp:positionH>
              <wp:positionV relativeFrom="paragraph">
                <wp:posOffset>4445</wp:posOffset>
              </wp:positionV>
              <wp:extent cx="804545" cy="160020"/>
              <wp:effectExtent l="0" t="0" r="0" b="0"/>
              <wp:wrapSquare wrapText="bothSides"/>
              <wp:docPr id="3215705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160020"/>
                      </a:xfrm>
                      <a:prstGeom prst="rect">
                        <a:avLst/>
                      </a:prstGeom>
                      <a:solidFill>
                        <a:srgbClr val="FFFFFF"/>
                      </a:solidFill>
                      <a:ln w="9525">
                        <a:noFill/>
                        <a:miter lim="800000"/>
                        <a:headEnd/>
                        <a:tailEnd/>
                      </a:ln>
                    </wps:spPr>
                    <wps:txbx>
                      <w:txbxContent>
                        <w:p w14:paraId="51A6B313" w14:textId="77777777" w:rsidR="00762711" w:rsidRPr="00824EC5" w:rsidRDefault="00762711"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53D51667" id="_x0000_t202" coordsize="21600,21600" o:spt="202" path="m,l,21600r21600,l21600,xe">
              <v:stroke joinstyle="miter"/>
              <v:path gradientshapeok="t" o:connecttype="rect"/>
            </v:shapetype>
            <v:shape id="_x0000_s1027" type="#_x0000_t202" style="position:absolute;margin-left:12.15pt;margin-top:.35pt;width:63.35pt;height:12.6pt;z-index:2516961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" stroked="f">
              <v:textbox style="mso-fit-shape-to-text:t" inset="0,0,0,0">
                <w:txbxContent>
                  <w:p w14:paraId="51A6B313" w14:textId="77777777" w:rsidR="00762711" w:rsidRPr="00824EC5" w:rsidRDefault="00762711"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v:textbox>
              <w10:wrap type="square" anchorx="margin"/>
            </v:shape>
          </w:pict>
        </mc:Fallback>
      </mc:AlternateContent>
    </w:r>
    <w:r w:rsidRPr="001C5D50">
      <w:rPr>
        <w:rFonts w:hint="eastAsia"/>
        <w:bCs/>
        <w:lang w:val="en-GB"/>
      </w:rPr>
      <w:t>©</w:t>
    </w:r>
    <w:r>
      <w:rPr>
        <w:bCs/>
        <w:lang w:val="en-GB"/>
      </w:rPr>
      <w:t xml:space="preserve"> 202</w:t>
    </w:r>
    <w:r w:rsidR="005B0B72">
      <w:rPr>
        <w:bCs/>
        <w:lang w:val="en-GB"/>
      </w:rPr>
      <w:t>6</w:t>
    </w:r>
    <w:r w:rsidRPr="001C5D50">
      <w:rPr>
        <w:bCs/>
        <w:lang w:val="en-GB"/>
      </w:rPr>
      <w:t xml:space="preserve"> </w:t>
    </w:r>
    <w:sdt>
      <w:sdtPr>
        <w:rPr>
          <w:bCs/>
          <w:lang w:val="en-GB"/>
        </w:rPr>
        <w:alias w:val="Company"/>
        <w:tag w:val=""/>
        <w:id w:val="-1607030622"/>
        <w:placeholder>
          <w:docPart w:val="7E69470399464888BD163DC6228BD769"/>
        </w:placeholder>
        <w:dataBinding w:prefixMappings="xmlns:ns0='http://schemas.openxmlformats.org/officeDocument/2006/extended-properties' " w:xpath="/ns0:Properties[1]/ns0:Company[1]" w:storeItemID="{6668398D-A668-4E3E-A5EB-62B293D839F1}"/>
        <w:text/>
      </w:sdtPr>
      <w:sdtContent>
        <w:r>
          <w:rPr>
            <w:bCs/>
            <w:lang w:val="en-GB"/>
          </w:rPr>
          <w:t>NTT DATA, Inc.</w:t>
        </w:r>
      </w:sdtContent>
    </w:sdt>
    <w:r>
      <w:rPr>
        <w:bCs/>
        <w:lang w:val="en-GB"/>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EE498" w14:textId="59A54981" w:rsidR="00C12906" w:rsidRPr="005B0B72" w:rsidRDefault="00762711" w:rsidP="005B0B72">
    <w:pPr>
      <w:pStyle w:val="Footer"/>
      <w:tabs>
        <w:tab w:val="clear" w:pos="9026"/>
        <w:tab w:val="right" w:pos="9575"/>
      </w:tabs>
      <w:rPr>
        <w:bCs/>
        <w:lang w:val="en-GB"/>
      </w:rPr>
    </w:pPr>
    <w:r w:rsidRPr="00762711">
      <w:rPr>
        <w:noProof/>
        <w:sz w:val="12"/>
        <w:szCs w:val="12"/>
      </w:rPr>
      <mc:AlternateContent>
        <mc:Choice Requires="wps">
          <w:drawing>
            <wp:anchor distT="45720" distB="45720" distL="114300" distR="114300" simplePos="0" relativeHeight="251683840" behindDoc="0" locked="0" layoutInCell="1" allowOverlap="1" wp14:anchorId="123C0B25" wp14:editId="269D6182">
              <wp:simplePos x="0" y="0"/>
              <wp:positionH relativeFrom="margin">
                <wp:align>right</wp:align>
              </wp:positionH>
              <wp:positionV relativeFrom="paragraph">
                <wp:posOffset>4445</wp:posOffset>
              </wp:positionV>
              <wp:extent cx="804545" cy="16002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160020"/>
                      </a:xfrm>
                      <a:prstGeom prst="rect">
                        <a:avLst/>
                      </a:prstGeom>
                      <a:solidFill>
                        <a:srgbClr val="FFFFFF"/>
                      </a:solidFill>
                      <a:ln w="9525">
                        <a:noFill/>
                        <a:miter lim="800000"/>
                        <a:headEnd/>
                        <a:tailEnd/>
                      </a:ln>
                    </wps:spPr>
                    <wps:txbx>
                      <w:txbxContent>
                        <w:p w14:paraId="5555AE76" w14:textId="77777777" w:rsidR="00C12906" w:rsidRPr="00824EC5" w:rsidRDefault="00C12906"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23C0B25" id="_x0000_t202" coordsize="21600,21600" o:spt="202" path="m,l,21600r21600,l21600,xe">
              <v:stroke joinstyle="miter"/>
              <v:path gradientshapeok="t" o:connecttype="rect"/>
            </v:shapetype>
            <v:shape id="_x0000_s1028" type="#_x0000_t202" style="position:absolute;margin-left:12.15pt;margin-top:.35pt;width:63.35pt;height:12.6pt;z-index:25168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" stroked="f">
              <v:textbox style="mso-fit-shape-to-text:t" inset="0,0,0,0">
                <w:txbxContent>
                  <w:p w14:paraId="5555AE76" w14:textId="77777777" w:rsidR="00C12906" w:rsidRPr="00824EC5" w:rsidRDefault="00C12906"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v:textbox>
              <w10:wrap type="square" anchorx="margin"/>
            </v:shape>
          </w:pict>
        </mc:Fallback>
      </mc:AlternateContent>
    </w:r>
    <w:r w:rsidR="001C5D50" w:rsidRPr="001C5D50">
      <w:rPr>
        <w:rFonts w:hint="eastAsia"/>
        <w:bCs/>
        <w:lang w:val="en-GB"/>
      </w:rPr>
      <w:t>©</w:t>
    </w:r>
    <w:r w:rsidR="001C5D50">
      <w:rPr>
        <w:bCs/>
        <w:lang w:val="en-GB"/>
      </w:rPr>
      <w:t xml:space="preserve"> 202</w:t>
    </w:r>
    <w:r w:rsidR="005B0B72">
      <w:rPr>
        <w:bCs/>
        <w:lang w:val="en-GB"/>
      </w:rPr>
      <w:t>6</w:t>
    </w:r>
    <w:r w:rsidR="001C5D50" w:rsidRPr="001C5D50">
      <w:rPr>
        <w:bCs/>
        <w:lang w:val="en-GB"/>
      </w:rPr>
      <w:t xml:space="preserve"> </w:t>
    </w:r>
    <w:sdt>
      <w:sdtPr>
        <w:rPr>
          <w:bCs/>
          <w:lang w:val="en-GB"/>
        </w:rPr>
        <w:alias w:val="Company"/>
        <w:tag w:val=""/>
        <w:id w:val="1613089459"/>
        <w:placeholder>
          <w:docPart w:val="07F13BF82FC6447CAC9D511CF9723222"/>
        </w:placeholder>
        <w:dataBinding w:prefixMappings="xmlns:ns0='http://schemas.openxmlformats.org/officeDocument/2006/extended-properties' " w:xpath="/ns0:Properties[1]/ns0:Company[1]" w:storeItemID="{6668398D-A668-4E3E-A5EB-62B293D839F1}"/>
        <w:text/>
      </w:sdtPr>
      <w:sdtContent>
        <w:r w:rsidR="001C17FF">
          <w:rPr>
            <w:bCs/>
            <w:lang w:val="en-GB"/>
          </w:rPr>
          <w:t>NTT DATA, Inc.</w:t>
        </w:r>
      </w:sdtContent>
    </w:sdt>
    <w:r w:rsidR="001C17FF">
      <w:rPr>
        <w:bCs/>
        <w:lang w:val="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72AA3" w14:textId="77777777" w:rsidR="00841AFF" w:rsidRDefault="00841AFF" w:rsidP="004F71FC">
      <w:r>
        <w:separator/>
      </w:r>
    </w:p>
    <w:p w14:paraId="023BA934" w14:textId="77777777" w:rsidR="00841AFF" w:rsidRDefault="00841AFF"/>
  </w:footnote>
  <w:footnote w:type="continuationSeparator" w:id="0">
    <w:p w14:paraId="5E33F1F6" w14:textId="77777777" w:rsidR="00841AFF" w:rsidRDefault="00841AFF" w:rsidP="004F71FC">
      <w:r>
        <w:continuationSeparator/>
      </w:r>
    </w:p>
    <w:p w14:paraId="09D656DE" w14:textId="77777777" w:rsidR="00841AFF" w:rsidRDefault="00841A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494F3" w14:textId="77777777" w:rsidR="00762711" w:rsidRDefault="007627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alias w:val="Title"/>
      <w:tag w:val="Title"/>
      <w:id w:val="-1121457527"/>
      <w:lock w:val="sdtContentLocked"/>
      <w:placeholder>
        <w:docPart w:val="DefaultPlaceholder_-1854013440"/>
      </w:placeholder>
    </w:sdtPr>
    <w:sdtContent>
      <w:p w14:paraId="41D7D7DE" w14:textId="122363C8" w:rsidR="00196899" w:rsidRDefault="00063F40" w:rsidP="00B35478">
        <w:pPr>
          <w:pStyle w:val="Header"/>
          <w:tabs>
            <w:tab w:val="clear" w:pos="9026"/>
          </w:tabs>
        </w:pPr>
        <w:r w:rsidRPr="0085122C">
          <w:rPr>
            <w:noProof/>
          </w:rPr>
          <w:drawing>
            <wp:anchor distT="0" distB="0" distL="114300" distR="114300" simplePos="0" relativeHeight="251658240" behindDoc="0" locked="0" layoutInCell="1" allowOverlap="1" wp14:anchorId="66275B9A" wp14:editId="3CB2A46F">
              <wp:simplePos x="0" y="0"/>
              <wp:positionH relativeFrom="margin">
                <wp:align>right</wp:align>
              </wp:positionH>
              <wp:positionV relativeFrom="paragraph">
                <wp:posOffset>-635</wp:posOffset>
              </wp:positionV>
              <wp:extent cx="1223645" cy="249555"/>
              <wp:effectExtent l="0" t="0" r="0" b="0"/>
              <wp:wrapNone/>
              <wp:docPr id="701481139" name="Graphic 701481139">
                <a:extLst xmlns:a="http://schemas.openxmlformats.org/drawingml/2006/main">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a:extLst>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23645" cy="249555"/>
                      </a:xfrm>
                      <a:prstGeom prst="rect">
                        <a:avLst/>
                      </a:prstGeom>
                    </pic:spPr>
                  </pic:pic>
                </a:graphicData>
              </a:graphic>
            </wp:anchor>
          </w:drawing>
        </w:r>
        <w:r w:rsidR="00B449AE">
          <w:rPr>
            <w:noProof/>
          </w:rPr>
          <w:fldChar w:fldCharType="begin"/>
        </w:r>
        <w:r w:rsidR="00B449AE">
          <w:rPr>
            <w:noProof/>
          </w:rPr>
          <w:instrText xml:space="preserve"> STYLEREF  Title  \* MERGEFORMAT </w:instrText>
        </w:r>
        <w:r w:rsidR="00B449AE">
          <w:rPr>
            <w:noProof/>
          </w:rPr>
          <w:fldChar w:fldCharType="separate"/>
        </w:r>
        <w:r w:rsidR="005675A2">
          <w:rPr>
            <w:noProof/>
          </w:rPr>
          <w:t>Document title</w:t>
        </w:r>
        <w:r w:rsidR="00B449AE">
          <w:rPr>
            <w:noProof/>
          </w:rPr>
          <w:fldChar w:fldCharType="end"/>
        </w:r>
      </w:p>
    </w:sdtContent>
  </w:sdt>
  <w:p w14:paraId="3787521C" w14:textId="11A5001F" w:rsidR="004F71FC" w:rsidRDefault="004F71FC">
    <w:pPr>
      <w:pStyle w:val="Header"/>
    </w:pPr>
  </w:p>
  <w:p w14:paraId="012B70FF" w14:textId="77777777" w:rsidR="003D63E9" w:rsidRDefault="003D63E9">
    <w:pPr>
      <w:pStyle w:val="Header"/>
    </w:pPr>
  </w:p>
  <w:p w14:paraId="1C8485DD" w14:textId="77777777" w:rsidR="00FE77FD" w:rsidRDefault="00FE77FD" w:rsidP="00F646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3927B" w14:textId="66124AD8" w:rsidR="006C3ED2" w:rsidRDefault="0088676D" w:rsidP="00420B06">
    <w:pPr>
      <w:pStyle w:val="Header"/>
    </w:pPr>
    <w:r>
      <w:rPr>
        <w:noProof/>
      </w:rPr>
      <w:drawing>
        <wp:anchor distT="0" distB="0" distL="114300" distR="114300" simplePos="0" relativeHeight="251659264" behindDoc="1" locked="0" layoutInCell="1" allowOverlap="1" wp14:anchorId="04DD549F" wp14:editId="3802B4E8">
          <wp:simplePos x="0" y="0"/>
          <wp:positionH relativeFrom="margin">
            <wp:align>left</wp:align>
          </wp:positionH>
          <wp:positionV relativeFrom="paragraph">
            <wp:posOffset>219710</wp:posOffset>
          </wp:positionV>
          <wp:extent cx="1823577" cy="396000"/>
          <wp:effectExtent l="0" t="0" r="5715" b="4445"/>
          <wp:wrapNone/>
          <wp:docPr id="589847318" name="Picture 589847318"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text on a black background&#10;&#10;Description automatically generated"/>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1823577" cy="396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alias w:val="Title"/>
      <w:tag w:val="Title"/>
      <w:id w:val="-1155687943"/>
      <w:lock w:val="sdtContentLocked"/>
      <w:placeholder>
        <w:docPart w:val="95B71A9760304E7D856A924CBB85946C"/>
      </w:placeholder>
    </w:sdtPr>
    <w:sdtContent>
      <w:p w14:paraId="1BD9CB79" w14:textId="301A673C" w:rsidR="005675A2" w:rsidRDefault="005675A2" w:rsidP="00B35478">
        <w:pPr>
          <w:pStyle w:val="Header"/>
          <w:tabs>
            <w:tab w:val="clear" w:pos="9026"/>
          </w:tabs>
        </w:pPr>
        <w:r w:rsidRPr="0085122C">
          <w:rPr>
            <w:noProof/>
          </w:rPr>
          <w:drawing>
            <wp:anchor distT="0" distB="0" distL="114300" distR="114300" simplePos="0" relativeHeight="251689984" behindDoc="0" locked="0" layoutInCell="1" allowOverlap="1" wp14:anchorId="56C108D9" wp14:editId="467D403A">
              <wp:simplePos x="0" y="0"/>
              <wp:positionH relativeFrom="margin">
                <wp:align>right</wp:align>
              </wp:positionH>
              <wp:positionV relativeFrom="paragraph">
                <wp:posOffset>-635</wp:posOffset>
              </wp:positionV>
              <wp:extent cx="1223645" cy="249555"/>
              <wp:effectExtent l="0" t="0" r="0" b="0"/>
              <wp:wrapNone/>
              <wp:docPr id="2054829698" name="Graphic 2054829698">
                <a:extLst xmlns:a="http://schemas.openxmlformats.org/drawingml/2006/main">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a:extLst>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23645" cy="249555"/>
                      </a:xfrm>
                      <a:prstGeom prst="rect">
                        <a:avLst/>
                      </a:prstGeom>
                    </pic:spPr>
                  </pic:pic>
                </a:graphicData>
              </a:graphic>
            </wp:anchor>
          </w:drawing>
        </w:r>
        <w:r>
          <w:rPr>
            <w:noProof/>
          </w:rPr>
          <w:fldChar w:fldCharType="begin"/>
        </w:r>
        <w:r>
          <w:rPr>
            <w:noProof/>
          </w:rPr>
          <w:instrText xml:space="preserve"> STYLEREF  Title  \* MERGEFORMAT </w:instrText>
        </w:r>
        <w:r>
          <w:rPr>
            <w:noProof/>
          </w:rPr>
          <w:fldChar w:fldCharType="separate"/>
        </w:r>
        <w:r w:rsidR="005B0B72">
          <w:rPr>
            <w:noProof/>
          </w:rPr>
          <w:t>Document title</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87087" w14:textId="0FD6BD6C" w:rsidR="00F72BF4" w:rsidRPr="005675A2" w:rsidRDefault="00000000" w:rsidP="005675A2">
    <w:pPr>
      <w:pStyle w:val="Header"/>
      <w:rPr>
        <w:noProof/>
      </w:rPr>
    </w:pPr>
    <w:sdt>
      <w:sdtPr>
        <w:rPr>
          <w:noProof/>
        </w:rPr>
        <w:alias w:val="Title"/>
        <w:tag w:val="Title"/>
        <w:id w:val="1361085401"/>
        <w:placeholder>
          <w:docPart w:val="7CEF6F5123C545DEAF3672169BE6A63D"/>
        </w:placeholder>
      </w:sdtPr>
      <w:sdtContent>
        <w:r w:rsidR="00F72BF4" w:rsidRPr="005675A2">
          <w:rPr>
            <w:noProof/>
          </w:rPr>
          <w:fldChar w:fldCharType="begin"/>
        </w:r>
        <w:r w:rsidR="00F72BF4" w:rsidRPr="005675A2">
          <w:rPr>
            <w:noProof/>
          </w:rPr>
          <w:instrText xml:space="preserve"> STYLEREF  Title  \* MERGEFORMAT </w:instrText>
        </w:r>
        <w:r w:rsidR="00F72BF4" w:rsidRPr="005675A2">
          <w:rPr>
            <w:noProof/>
          </w:rPr>
          <w:fldChar w:fldCharType="separate"/>
        </w:r>
        <w:r w:rsidR="005B0B72">
          <w:rPr>
            <w:noProof/>
          </w:rPr>
          <w:t>Document title</w:t>
        </w:r>
        <w:r w:rsidR="00F72BF4" w:rsidRPr="005675A2">
          <w:rPr>
            <w:noProof/>
          </w:rPr>
          <w:fldChar w:fldCharType="end"/>
        </w:r>
      </w:sdtContent>
    </w:sdt>
    <w:r w:rsidR="00F72BF4" w:rsidRPr="005675A2">
      <w:rPr>
        <w:noProof/>
      </w:rPr>
      <w:drawing>
        <wp:anchor distT="0" distB="0" distL="114300" distR="114300" simplePos="0" relativeHeight="251692032" behindDoc="1" locked="0" layoutInCell="1" allowOverlap="1" wp14:anchorId="54019EBE" wp14:editId="5D33C599">
          <wp:simplePos x="0" y="0"/>
          <wp:positionH relativeFrom="margin">
            <wp:align>right</wp:align>
          </wp:positionH>
          <wp:positionV relativeFrom="paragraph">
            <wp:posOffset>-635</wp:posOffset>
          </wp:positionV>
          <wp:extent cx="1147375" cy="234000"/>
          <wp:effectExtent l="0" t="0" r="0" b="0"/>
          <wp:wrapNone/>
          <wp:docPr id="645083175" name="Graphic 645083175">
            <a:extLst xmlns:a="http://schemas.openxmlformats.org/drawingml/2006/main">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a:extLst>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47375" cy="234000"/>
                  </a:xfrm>
                  <a:prstGeom prst="rect">
                    <a:avLst/>
                  </a:prstGeom>
                </pic:spPr>
              </pic:pic>
            </a:graphicData>
          </a:graphic>
          <wp14:sizeRelH relativeFrom="margin">
            <wp14:pctWidth>0</wp14:pctWidth>
          </wp14:sizeRelH>
          <wp14:sizeRelV relativeFrom="margin">
            <wp14:pctHeight>0</wp14:pctHeight>
          </wp14:sizeRelV>
        </wp:anchor>
      </w:drawing>
    </w:r>
  </w:p>
  <w:p w14:paraId="184A9573" w14:textId="4D3E5A8D" w:rsidR="005675A2" w:rsidRPr="00F72BF4" w:rsidRDefault="005675A2" w:rsidP="00F72B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5906"/>
    <w:multiLevelType w:val="multilevel"/>
    <w:tmpl w:val="C6FAF8C8"/>
    <w:styleLink w:val="NTTHeadingsList"/>
    <w:lvl w:ilvl="0">
      <w:start w:val="1"/>
      <w:numFmt w:val="decimal"/>
      <w:lvlText w:val="%1."/>
      <w:lvlJc w:val="left"/>
      <w:pPr>
        <w:tabs>
          <w:tab w:val="num" w:pos="850"/>
        </w:tabs>
        <w:ind w:left="850" w:hanging="850"/>
      </w:pPr>
      <w:rPr>
        <w:rFonts w:ascii="Arial Bold" w:hAnsi="Arial Bold" w:cs="Arial" w:hint="default"/>
        <w:b/>
        <w:i w:val="0"/>
        <w:caps w:val="0"/>
        <w:strike w:val="0"/>
        <w:dstrike w:val="0"/>
        <w:vanish w:val="0"/>
        <w:color w:val="0072BC"/>
        <w:spacing w:val="10"/>
        <w:kern w:val="32"/>
        <w:sz w:val="32"/>
        <w:u w:val="none"/>
        <w:effect w:val="none"/>
        <w:vertAlign w:val="baseline"/>
      </w:rPr>
    </w:lvl>
    <w:lvl w:ilvl="1">
      <w:start w:val="1"/>
      <w:numFmt w:val="decimal"/>
      <w:lvlText w:val="%1.%2."/>
      <w:lvlJc w:val="left"/>
      <w:pPr>
        <w:tabs>
          <w:tab w:val="num" w:pos="850"/>
        </w:tabs>
        <w:ind w:left="850" w:hanging="850"/>
      </w:pPr>
      <w:rPr>
        <w:rFonts w:ascii="Arial Bold" w:hAnsi="Arial Bold" w:cs="Arial" w:hint="default"/>
        <w:b/>
        <w:i w:val="0"/>
        <w:caps w:val="0"/>
        <w:strike w:val="0"/>
        <w:dstrike w:val="0"/>
        <w:vanish w:val="0"/>
        <w:color w:val="0072BC"/>
        <w:spacing w:val="10"/>
        <w:sz w:val="24"/>
        <w:u w:val="none"/>
        <w:effect w:val="none"/>
        <w:vertAlign w:val="baseline"/>
      </w:rPr>
    </w:lvl>
    <w:lvl w:ilvl="2">
      <w:start w:val="1"/>
      <w:numFmt w:val="decimal"/>
      <w:lvlText w:val="%1.%2.%3"/>
      <w:lvlJc w:val="left"/>
      <w:pPr>
        <w:tabs>
          <w:tab w:val="num" w:pos="850"/>
        </w:tabs>
        <w:ind w:left="850" w:hanging="850"/>
      </w:pPr>
      <w:rPr>
        <w:rFonts w:ascii="Arial Bold" w:hAnsi="Arial Bold" w:cs="Arial" w:hint="default"/>
        <w:b/>
        <w:i w:val="0"/>
        <w:caps w:val="0"/>
        <w:strike w:val="0"/>
        <w:dstrike w:val="0"/>
        <w:vanish w:val="0"/>
        <w:color w:val="000000"/>
        <w:spacing w:val="10"/>
        <w:sz w:val="22"/>
        <w:u w:val="none"/>
        <w:effect w:val="none"/>
        <w:vertAlign w:val="baseline"/>
      </w:rPr>
    </w:lvl>
    <w:lvl w:ilvl="3">
      <w:start w:val="1"/>
      <w:numFmt w:val="decimal"/>
      <w:lvlText w:val="%1.%2.%3.%4"/>
      <w:lvlJc w:val="left"/>
      <w:pPr>
        <w:tabs>
          <w:tab w:val="num" w:pos="850"/>
        </w:tabs>
        <w:ind w:left="850" w:hanging="850"/>
      </w:pPr>
      <w:rPr>
        <w:rFonts w:ascii="Arial Bold" w:hAnsi="Arial Bold" w:cs="Arial" w:hint="default"/>
        <w:b/>
        <w:i w:val="0"/>
        <w:caps w:val="0"/>
        <w:strike w:val="0"/>
        <w:dstrike w:val="0"/>
        <w:vanish w:val="0"/>
        <w:color w:val="000000"/>
        <w:spacing w:val="10"/>
        <w:sz w:val="20"/>
        <w:u w:val="none"/>
        <w:effect w:val="none"/>
        <w:vertAlign w:val="baseline"/>
      </w:rPr>
    </w:lvl>
    <w:lvl w:ilvl="4">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lvl w:ilvl="5">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8"/>
        <w:u w:val="none"/>
        <w:effect w:val="none"/>
        <w:vertAlign w:val="baseline"/>
      </w:rPr>
    </w:lvl>
    <w:lvl w:ilvl="6">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4"/>
        <w:u w:val="none"/>
        <w:effect w:val="none"/>
        <w:vertAlign w:val="baseline"/>
      </w:rPr>
    </w:lvl>
    <w:lvl w:ilvl="7">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2"/>
        <w:u w:val="none"/>
        <w:effect w:val="none"/>
        <w:vertAlign w:val="baseline"/>
      </w:rPr>
    </w:lvl>
    <w:lvl w:ilvl="8">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abstractNum>
  <w:abstractNum w:abstractNumId="1" w15:restartNumberingAfterBreak="0">
    <w:nsid w:val="0AD12B3D"/>
    <w:multiLevelType w:val="multilevel"/>
    <w:tmpl w:val="691E06E2"/>
    <w:lvl w:ilvl="0">
      <w:start w:val="1"/>
      <w:numFmt w:val="bullet"/>
      <w:pStyle w:val="NTTBlueTableBoldBullet"/>
      <w:lvlText w:val="●"/>
      <w:lvlJc w:val="left"/>
      <w:pPr>
        <w:ind w:left="284" w:hanging="284"/>
      </w:pPr>
      <w:rPr>
        <w:rFonts w:ascii="Arial Bold" w:hAnsi="Arial Bold" w:hint="default"/>
        <w:b/>
        <w:i w:val="0"/>
        <w:color w:val="0072BC"/>
        <w:sz w:val="18"/>
      </w:rPr>
    </w:lvl>
    <w:lvl w:ilvl="1">
      <w:start w:val="1"/>
      <w:numFmt w:val="bullet"/>
      <w:lvlText w:val="●"/>
      <w:lvlJc w:val="left"/>
      <w:pPr>
        <w:ind w:left="284" w:hanging="284"/>
      </w:pPr>
      <w:rPr>
        <w:rFonts w:ascii="Arial" w:hAnsi="Arial" w:hint="default"/>
        <w:color w:val="000000"/>
      </w:rPr>
    </w:lvl>
    <w:lvl w:ilvl="2">
      <w:start w:val="1"/>
      <w:numFmt w:val="bullet"/>
      <w:pStyle w:val="NTTRedTableBoldBullet"/>
      <w:lvlText w:val="●"/>
      <w:lvlJc w:val="left"/>
      <w:pPr>
        <w:ind w:left="284" w:hanging="284"/>
      </w:pPr>
      <w:rPr>
        <w:rFonts w:ascii="Arial" w:hAnsi="Arial" w:hint="default"/>
        <w:color w:val="E42600"/>
      </w:rPr>
    </w:lvl>
    <w:lvl w:ilvl="3">
      <w:start w:val="1"/>
      <w:numFmt w:val="bullet"/>
      <w:pStyle w:val="NTTTableBoldBullet"/>
      <w:lvlText w:val="●"/>
      <w:lvlJc w:val="left"/>
      <w:pPr>
        <w:ind w:left="284" w:hanging="284"/>
      </w:pPr>
      <w:rPr>
        <w:rFonts w:ascii="Arial" w:hAnsi="Arial" w:hint="default"/>
        <w:color w:val="2E404D" w:themeColor="text1"/>
      </w:rPr>
    </w:lvl>
    <w:lvl w:ilvl="4">
      <w:start w:val="1"/>
      <w:numFmt w:val="bullet"/>
      <w:lvlText w:val="●"/>
      <w:lvlJc w:val="left"/>
      <w:pPr>
        <w:ind w:left="284" w:hanging="284"/>
      </w:pPr>
      <w:rPr>
        <w:rFonts w:ascii="Arial" w:hAnsi="Arial" w:hint="default"/>
        <w:color w:val="000000"/>
      </w:rPr>
    </w:lvl>
    <w:lvl w:ilvl="5">
      <w:start w:val="1"/>
      <w:numFmt w:val="bullet"/>
      <w:lvlText w:val="●"/>
      <w:lvlJc w:val="left"/>
      <w:pPr>
        <w:ind w:left="284" w:hanging="284"/>
      </w:pPr>
      <w:rPr>
        <w:rFonts w:ascii="Arial" w:hAnsi="Arial" w:hint="default"/>
        <w:color w:val="000000"/>
      </w:rPr>
    </w:lvl>
    <w:lvl w:ilvl="6">
      <w:start w:val="1"/>
      <w:numFmt w:val="bullet"/>
      <w:lvlText w:val="●"/>
      <w:lvlJc w:val="left"/>
      <w:pPr>
        <w:ind w:left="284" w:hanging="284"/>
      </w:pPr>
      <w:rPr>
        <w:rFonts w:ascii="Arial" w:hAnsi="Arial" w:hint="default"/>
        <w:color w:val="000000"/>
      </w:rPr>
    </w:lvl>
    <w:lvl w:ilvl="7">
      <w:start w:val="1"/>
      <w:numFmt w:val="bullet"/>
      <w:lvlText w:val="●"/>
      <w:lvlJc w:val="left"/>
      <w:pPr>
        <w:ind w:left="284" w:hanging="284"/>
      </w:pPr>
      <w:rPr>
        <w:rFonts w:ascii="Arial" w:hAnsi="Arial" w:hint="default"/>
        <w:color w:val="000000"/>
      </w:rPr>
    </w:lvl>
    <w:lvl w:ilvl="8">
      <w:start w:val="1"/>
      <w:numFmt w:val="bullet"/>
      <w:lvlText w:val="●"/>
      <w:lvlJc w:val="left"/>
      <w:pPr>
        <w:ind w:left="284" w:hanging="284"/>
      </w:pPr>
      <w:rPr>
        <w:rFonts w:ascii="Arial" w:hAnsi="Arial" w:hint="default"/>
        <w:color w:val="000000"/>
      </w:rPr>
    </w:lvl>
  </w:abstractNum>
  <w:abstractNum w:abstractNumId="2" w15:restartNumberingAfterBreak="0">
    <w:nsid w:val="0E631A21"/>
    <w:multiLevelType w:val="multilevel"/>
    <w:tmpl w:val="6A385020"/>
    <w:lvl w:ilvl="0">
      <w:start w:val="1"/>
      <w:numFmt w:val="upperLetter"/>
      <w:pStyle w:val="NTTAttachment"/>
      <w:lvlText w:val="Attachment %1"/>
      <w:lvlJc w:val="left"/>
      <w:pPr>
        <w:tabs>
          <w:tab w:val="num" w:pos="850"/>
        </w:tabs>
        <w:ind w:left="850" w:hanging="850"/>
      </w:pPr>
    </w:lvl>
    <w:lvl w:ilvl="1">
      <w:start w:val="1"/>
      <w:numFmt w:val="decimal"/>
      <w:lvlText w:val="%2"/>
      <w:lvlJc w:val="left"/>
      <w:pPr>
        <w:tabs>
          <w:tab w:val="num" w:pos="850"/>
        </w:tabs>
        <w:ind w:left="850" w:hanging="850"/>
      </w:pPr>
    </w:lvl>
    <w:lvl w:ilvl="2">
      <w:start w:val="1"/>
      <w:numFmt w:val="decimal"/>
      <w:lvlText w:val="%2.%3"/>
      <w:lvlJc w:val="left"/>
      <w:pPr>
        <w:tabs>
          <w:tab w:val="num" w:pos="850"/>
        </w:tabs>
        <w:ind w:left="850" w:hanging="850"/>
      </w:pPr>
    </w:lvl>
    <w:lvl w:ilvl="3">
      <w:start w:val="1"/>
      <w:numFmt w:val="decimal"/>
      <w:lvlText w:val="%2.%3.%4"/>
      <w:lvlJc w:val="left"/>
      <w:pPr>
        <w:tabs>
          <w:tab w:val="num" w:pos="850"/>
        </w:tabs>
        <w:ind w:left="850" w:hanging="850"/>
      </w:pPr>
    </w:lvl>
    <w:lvl w:ilvl="4">
      <w:start w:val="1"/>
      <w:numFmt w:val="lowerLetter"/>
      <w:lvlText w:val="(%5)"/>
      <w:lvlJc w:val="left"/>
      <w:pPr>
        <w:tabs>
          <w:tab w:val="num" w:pos="850"/>
        </w:tabs>
        <w:ind w:left="850" w:hanging="850"/>
      </w:pPr>
    </w:lvl>
    <w:lvl w:ilvl="5">
      <w:start w:val="1"/>
      <w:numFmt w:val="lowerRoman"/>
      <w:lvlText w:val="(%6)"/>
      <w:lvlJc w:val="left"/>
      <w:pPr>
        <w:tabs>
          <w:tab w:val="num" w:pos="850"/>
        </w:tabs>
        <w:ind w:left="850" w:hanging="850"/>
      </w:pPr>
    </w:lvl>
    <w:lvl w:ilvl="6">
      <w:start w:val="1"/>
      <w:numFmt w:val="upperLetter"/>
      <w:lvlText w:val="(%7)"/>
      <w:lvlJc w:val="left"/>
      <w:pPr>
        <w:tabs>
          <w:tab w:val="num" w:pos="850"/>
        </w:tabs>
        <w:ind w:left="850" w:hanging="850"/>
      </w:pPr>
    </w:lvl>
    <w:lvl w:ilvl="7">
      <w:start w:val="1"/>
      <w:numFmt w:val="none"/>
      <w:suff w:val="nothing"/>
      <w:lvlText w:val=""/>
      <w:lvlJc w:val="left"/>
      <w:pPr>
        <w:ind w:left="2880" w:hanging="360"/>
      </w:pPr>
    </w:lvl>
    <w:lvl w:ilvl="8">
      <w:start w:val="1"/>
      <w:numFmt w:val="none"/>
      <w:suff w:val="nothing"/>
      <w:lvlText w:val=""/>
      <w:lvlJc w:val="left"/>
      <w:pPr>
        <w:ind w:left="3240" w:hanging="360"/>
      </w:pPr>
    </w:lvl>
  </w:abstractNum>
  <w:abstractNum w:abstractNumId="3" w15:restartNumberingAfterBreak="0">
    <w:nsid w:val="0F4A33FA"/>
    <w:multiLevelType w:val="hybridMultilevel"/>
    <w:tmpl w:val="7E26013A"/>
    <w:lvl w:ilvl="0" w:tplc="4D0A0EF6">
      <w:start w:val="1"/>
      <w:numFmt w:val="upperLetter"/>
      <w:pStyle w:val="NTTLegal6"/>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21ED32C1"/>
    <w:multiLevelType w:val="multilevel"/>
    <w:tmpl w:val="39107888"/>
    <w:numStyleLink w:val="NTTBlueBulletList"/>
  </w:abstractNum>
  <w:abstractNum w:abstractNumId="5" w15:restartNumberingAfterBreak="0">
    <w:nsid w:val="277D2AE3"/>
    <w:multiLevelType w:val="multilevel"/>
    <w:tmpl w:val="39107888"/>
    <w:styleLink w:val="NTTBlueBulletList"/>
    <w:lvl w:ilvl="0">
      <w:start w:val="1"/>
      <w:numFmt w:val="bullet"/>
      <w:pStyle w:val="NTTBlueBullet1"/>
      <w:lvlText w:val="●"/>
      <w:lvlJc w:val="left"/>
      <w:pPr>
        <w:tabs>
          <w:tab w:val="num" w:pos="1134"/>
        </w:tabs>
        <w:ind w:left="1134" w:hanging="283"/>
      </w:pPr>
      <w:rPr>
        <w:rFonts w:ascii="Arial" w:hAnsi="Arial" w:hint="default"/>
        <w:b w:val="0"/>
        <w:i w:val="0"/>
        <w:color w:val="0072BC"/>
        <w:spacing w:val="8"/>
        <w:kern w:val="20"/>
        <w:sz w:val="20"/>
      </w:rPr>
    </w:lvl>
    <w:lvl w:ilvl="1">
      <w:start w:val="1"/>
      <w:numFmt w:val="bullet"/>
      <w:pStyle w:val="NTTBlueBullet2"/>
      <w:lvlText w:val="○"/>
      <w:lvlJc w:val="left"/>
      <w:pPr>
        <w:tabs>
          <w:tab w:val="num" w:pos="1418"/>
        </w:tabs>
        <w:ind w:left="1418" w:hanging="284"/>
      </w:pPr>
      <w:rPr>
        <w:rFonts w:ascii="Arial" w:hAnsi="Arial" w:cs="Times New Roman" w:hint="default"/>
        <w:b w:val="0"/>
        <w:i w:val="0"/>
        <w:color w:val="0072BC"/>
        <w:sz w:val="20"/>
      </w:rPr>
    </w:lvl>
    <w:lvl w:ilvl="2">
      <w:start w:val="1"/>
      <w:numFmt w:val="bullet"/>
      <w:pStyle w:val="NTTBlueBullet3"/>
      <w:lvlText w:val="-"/>
      <w:lvlJc w:val="left"/>
      <w:pPr>
        <w:tabs>
          <w:tab w:val="num" w:pos="1701"/>
        </w:tabs>
        <w:ind w:left="1701" w:hanging="283"/>
      </w:pPr>
      <w:rPr>
        <w:rFonts w:ascii="Arial Bold" w:hAnsi="Arial Bold" w:cs="Times New Roman" w:hint="default"/>
        <w:b/>
        <w:i w:val="0"/>
        <w:color w:val="0072BC"/>
        <w:sz w:val="20"/>
      </w:rPr>
    </w:lvl>
    <w:lvl w:ilvl="3">
      <w:start w:val="1"/>
      <w:numFmt w:val="decimal"/>
      <w:pStyle w:val="NTTBlueBullet4"/>
      <w:lvlText w:val="%4."/>
      <w:lvlJc w:val="left"/>
      <w:pPr>
        <w:tabs>
          <w:tab w:val="num" w:pos="1418"/>
        </w:tabs>
        <w:ind w:left="1418" w:hanging="567"/>
      </w:pPr>
      <w:rPr>
        <w:rFonts w:ascii="Arial" w:hAnsi="Arial" w:hint="default"/>
        <w:b w:val="0"/>
        <w:i w:val="0"/>
        <w:color w:val="0072BC"/>
        <w:spacing w:val="0"/>
        <w:sz w:val="20"/>
        <w:szCs w:val="20"/>
      </w:rPr>
    </w:lvl>
    <w:lvl w:ilvl="4">
      <w:start w:val="1"/>
      <w:numFmt w:val="decimal"/>
      <w:pStyle w:val="NTTBlueBullet5"/>
      <w:lvlText w:val="%4.%5."/>
      <w:lvlJc w:val="left"/>
      <w:pPr>
        <w:tabs>
          <w:tab w:val="num" w:pos="1418"/>
        </w:tabs>
        <w:ind w:left="1418" w:hanging="567"/>
      </w:pPr>
      <w:rPr>
        <w:rFonts w:ascii="Arial" w:hAnsi="Arial" w:hint="default"/>
        <w:b w:val="0"/>
        <w:i w:val="0"/>
        <w:color w:val="0072BC"/>
        <w:spacing w:val="0"/>
        <w:sz w:val="20"/>
        <w:szCs w:val="20"/>
      </w:rPr>
    </w:lvl>
    <w:lvl w:ilvl="5">
      <w:start w:val="1"/>
      <w:numFmt w:val="decimal"/>
      <w:pStyle w:val="NTTBlueBullet6"/>
      <w:lvlText w:val="%4.%5.%6."/>
      <w:lvlJc w:val="left"/>
      <w:pPr>
        <w:tabs>
          <w:tab w:val="num" w:pos="1418"/>
        </w:tabs>
        <w:ind w:left="1418" w:hanging="567"/>
      </w:pPr>
      <w:rPr>
        <w:rFonts w:ascii="Arial" w:hAnsi="Arial" w:hint="default"/>
        <w:b w:val="0"/>
        <w:i w:val="0"/>
        <w:color w:val="0072BC"/>
        <w:spacing w:val="0"/>
        <w:sz w:val="20"/>
        <w:szCs w:val="20"/>
      </w:rPr>
    </w:lvl>
    <w:lvl w:ilvl="6">
      <w:start w:val="1"/>
      <w:numFmt w:val="decimal"/>
      <w:pStyle w:val="NTTBlueBullet7"/>
      <w:lvlText w:val="%7."/>
      <w:lvlJc w:val="left"/>
      <w:pPr>
        <w:tabs>
          <w:tab w:val="num" w:pos="1418"/>
        </w:tabs>
        <w:ind w:left="1418" w:hanging="567"/>
      </w:pPr>
      <w:rPr>
        <w:rFonts w:ascii="Arial" w:hAnsi="Arial" w:hint="default"/>
        <w:b w:val="0"/>
        <w:i w:val="0"/>
        <w:color w:val="0072BC"/>
        <w:sz w:val="20"/>
        <w:szCs w:val="20"/>
      </w:rPr>
    </w:lvl>
    <w:lvl w:ilvl="7">
      <w:start w:val="1"/>
      <w:numFmt w:val="lowerLetter"/>
      <w:pStyle w:val="NTTBlueBullet8"/>
      <w:lvlText w:val="%8."/>
      <w:lvlJc w:val="left"/>
      <w:pPr>
        <w:tabs>
          <w:tab w:val="num" w:pos="1985"/>
        </w:tabs>
        <w:ind w:left="1985" w:hanging="567"/>
      </w:pPr>
      <w:rPr>
        <w:rFonts w:ascii="Arial" w:hAnsi="Arial" w:hint="default"/>
        <w:b w:val="0"/>
        <w:i w:val="0"/>
        <w:color w:val="0072BC"/>
        <w:sz w:val="20"/>
        <w:szCs w:val="20"/>
      </w:rPr>
    </w:lvl>
    <w:lvl w:ilvl="8">
      <w:start w:val="1"/>
      <w:numFmt w:val="lowerRoman"/>
      <w:pStyle w:val="NTTBlueBullet9"/>
      <w:lvlText w:val="%9."/>
      <w:lvlJc w:val="left"/>
      <w:pPr>
        <w:tabs>
          <w:tab w:val="num" w:pos="2552"/>
        </w:tabs>
        <w:ind w:left="2552" w:hanging="567"/>
      </w:pPr>
      <w:rPr>
        <w:rFonts w:ascii="Arial" w:hAnsi="Arial" w:hint="default"/>
        <w:b w:val="0"/>
        <w:i w:val="0"/>
        <w:color w:val="0072BC"/>
        <w:sz w:val="20"/>
        <w:szCs w:val="20"/>
      </w:rPr>
    </w:lvl>
  </w:abstractNum>
  <w:abstractNum w:abstractNumId="6" w15:restartNumberingAfterBreak="0">
    <w:nsid w:val="28864DF7"/>
    <w:multiLevelType w:val="multilevel"/>
    <w:tmpl w:val="771046AA"/>
    <w:numStyleLink w:val="NTTBlueTableBulletList"/>
  </w:abstractNum>
  <w:abstractNum w:abstractNumId="7" w15:restartNumberingAfterBreak="0">
    <w:nsid w:val="2B587E8C"/>
    <w:multiLevelType w:val="multilevel"/>
    <w:tmpl w:val="680CEBF8"/>
    <w:lvl w:ilvl="0">
      <w:start w:val="1"/>
      <w:numFmt w:val="decimal"/>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lvlText w:val="%1.%2.%3.%4"/>
      <w:lvlJc w:val="left"/>
      <w:pPr>
        <w:tabs>
          <w:tab w:val="num" w:pos="850"/>
        </w:tabs>
        <w:ind w:left="850" w:hanging="850"/>
      </w:pPr>
      <w:rPr>
        <w:rFonts w:ascii="Arial Bold" w:hAnsi="Arial Bold" w:cs="Arial" w:hint="default"/>
        <w:b/>
        <w:i w:val="0"/>
        <w:caps w:val="0"/>
        <w:strike w:val="0"/>
        <w:dstrike w:val="0"/>
        <w:vanish w:val="0"/>
        <w:color w:val="000000"/>
        <w:spacing w:val="10"/>
        <w:sz w:val="20"/>
        <w:u w:val="none"/>
        <w:effect w:val="none"/>
        <w:vertAlign w:val="baseline"/>
      </w:rPr>
    </w:lvl>
    <w:lvl w:ilvl="4">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lvl w:ilvl="5">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8"/>
        <w:u w:val="none"/>
        <w:effect w:val="none"/>
        <w:vertAlign w:val="baseline"/>
      </w:rPr>
    </w:lvl>
    <w:lvl w:ilvl="6">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4"/>
        <w:u w:val="none"/>
        <w:effect w:val="none"/>
        <w:vertAlign w:val="baseline"/>
      </w:rPr>
    </w:lvl>
    <w:lvl w:ilvl="7">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2"/>
        <w:u w:val="none"/>
        <w:effect w:val="none"/>
        <w:vertAlign w:val="baseline"/>
      </w:rPr>
    </w:lvl>
    <w:lvl w:ilvl="8">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abstractNum>
  <w:abstractNum w:abstractNumId="8" w15:restartNumberingAfterBreak="0">
    <w:nsid w:val="2C451A45"/>
    <w:multiLevelType w:val="hybridMultilevel"/>
    <w:tmpl w:val="EA0696DC"/>
    <w:lvl w:ilvl="0" w:tplc="EC98416C">
      <w:start w:val="1"/>
      <w:numFmt w:val="decimal"/>
      <w:pStyle w:val="ListParagraph"/>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9" w15:restartNumberingAfterBreak="0">
    <w:nsid w:val="322165AD"/>
    <w:multiLevelType w:val="multilevel"/>
    <w:tmpl w:val="5DF88DE2"/>
    <w:styleLink w:val="NTTAppendixList"/>
    <w:lvl w:ilvl="0">
      <w:start w:val="1"/>
      <w:numFmt w:val="upperLetter"/>
      <w:pStyle w:val="AppendixHeading1"/>
      <w:lvlText w:val="Appendix %1"/>
      <w:lvlJc w:val="left"/>
      <w:pPr>
        <w:ind w:left="360" w:hanging="360"/>
      </w:pPr>
      <w:rPr>
        <w:rFonts w:ascii="Georgia" w:hAnsi="Georgia" w:cs="Arial" w:hint="default"/>
        <w:color w:val="0072BC" w:themeColor="accent2"/>
        <w:kern w:val="20"/>
      </w:rPr>
    </w:lvl>
    <w:lvl w:ilvl="1">
      <w:start w:val="1"/>
      <w:numFmt w:val="decimal"/>
      <w:pStyle w:val="AppendixHeading2"/>
      <w:lvlText w:val="Appendix %1.%2"/>
      <w:lvlJc w:val="left"/>
      <w:pPr>
        <w:ind w:left="0" w:firstLine="0"/>
      </w:pPr>
      <w:rPr>
        <w:rFonts w:ascii="Arial" w:hAnsi="Arial" w:hint="default"/>
        <w:color w:val="2E404D" w:themeColor="text1"/>
      </w:rPr>
    </w:lvl>
    <w:lvl w:ilvl="2">
      <w:start w:val="1"/>
      <w:numFmt w:val="decimal"/>
      <w:pStyle w:val="AppendixHeading3"/>
      <w:lvlText w:val="Appendix %1.%2.%3"/>
      <w:lvlJc w:val="left"/>
      <w:pPr>
        <w:ind w:left="0" w:firstLine="0"/>
      </w:pPr>
      <w:rPr>
        <w:rFonts w:ascii="Arial" w:hAnsi="Arial" w:hint="default"/>
        <w:color w:val="00000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23E26EB"/>
    <w:multiLevelType w:val="multilevel"/>
    <w:tmpl w:val="8C6CA74E"/>
    <w:styleLink w:val="NTTRedBulletList"/>
    <w:lvl w:ilvl="0">
      <w:start w:val="1"/>
      <w:numFmt w:val="bullet"/>
      <w:lvlText w:val="●"/>
      <w:lvlJc w:val="left"/>
      <w:pPr>
        <w:tabs>
          <w:tab w:val="num" w:pos="1134"/>
        </w:tabs>
        <w:ind w:left="1134" w:hanging="283"/>
      </w:pPr>
      <w:rPr>
        <w:rFonts w:ascii="Arial" w:hAnsi="Arial"/>
        <w:b w:val="0"/>
        <w:i w:val="0"/>
        <w:color w:val="E42600"/>
        <w:spacing w:val="0"/>
        <w:kern w:val="20"/>
        <w:sz w:val="20"/>
        <w:szCs w:val="20"/>
      </w:rPr>
    </w:lvl>
    <w:lvl w:ilvl="1">
      <w:start w:val="1"/>
      <w:numFmt w:val="bullet"/>
      <w:lvlText w:val="○"/>
      <w:lvlJc w:val="left"/>
      <w:pPr>
        <w:tabs>
          <w:tab w:val="num" w:pos="1418"/>
        </w:tabs>
        <w:ind w:left="1418" w:hanging="284"/>
      </w:pPr>
      <w:rPr>
        <w:rFonts w:ascii="Arial" w:hAnsi="Arial" w:cs="Times New Roman" w:hint="default"/>
        <w:b w:val="0"/>
        <w:i w:val="0"/>
        <w:color w:val="FF0000"/>
        <w:spacing w:val="-20"/>
        <w:sz w:val="20"/>
        <w:szCs w:val="20"/>
      </w:rPr>
    </w:lvl>
    <w:lvl w:ilvl="2">
      <w:start w:val="1"/>
      <w:numFmt w:val="bullet"/>
      <w:lvlText w:val="-"/>
      <w:lvlJc w:val="left"/>
      <w:pPr>
        <w:tabs>
          <w:tab w:val="num" w:pos="1701"/>
        </w:tabs>
        <w:ind w:left="1701" w:hanging="283"/>
      </w:pPr>
      <w:rPr>
        <w:rFonts w:ascii="Arial" w:hAnsi="Arial" w:hint="default"/>
        <w:b w:val="0"/>
        <w:i w:val="0"/>
        <w:color w:val="FF0000"/>
        <w:spacing w:val="-20"/>
        <w:sz w:val="20"/>
        <w:szCs w:val="20"/>
      </w:rPr>
    </w:lvl>
    <w:lvl w:ilvl="3">
      <w:start w:val="1"/>
      <w:numFmt w:val="decimal"/>
      <w:lvlText w:val="%4."/>
      <w:lvlJc w:val="left"/>
      <w:pPr>
        <w:tabs>
          <w:tab w:val="num" w:pos="1418"/>
        </w:tabs>
        <w:ind w:left="1418" w:hanging="567"/>
      </w:pPr>
      <w:rPr>
        <w:rFonts w:ascii="Arial" w:hAnsi="Arial" w:hint="default"/>
        <w:b w:val="0"/>
        <w:i w:val="0"/>
        <w:color w:val="FF0000"/>
        <w:spacing w:val="0"/>
        <w:sz w:val="20"/>
        <w:szCs w:val="20"/>
      </w:rPr>
    </w:lvl>
    <w:lvl w:ilvl="4">
      <w:start w:val="1"/>
      <w:numFmt w:val="decimal"/>
      <w:lvlText w:val="%4.%5."/>
      <w:lvlJc w:val="left"/>
      <w:pPr>
        <w:tabs>
          <w:tab w:val="num" w:pos="1418"/>
        </w:tabs>
        <w:ind w:left="1418" w:hanging="567"/>
      </w:pPr>
      <w:rPr>
        <w:rFonts w:ascii="Arial" w:hAnsi="Arial" w:hint="default"/>
        <w:b w:val="0"/>
        <w:i w:val="0"/>
        <w:color w:val="FF0000"/>
        <w:spacing w:val="0"/>
        <w:sz w:val="20"/>
        <w:szCs w:val="20"/>
      </w:rPr>
    </w:lvl>
    <w:lvl w:ilvl="5">
      <w:start w:val="1"/>
      <w:numFmt w:val="decimal"/>
      <w:lvlText w:val="%4.%5.%6."/>
      <w:lvlJc w:val="left"/>
      <w:pPr>
        <w:tabs>
          <w:tab w:val="num" w:pos="1418"/>
        </w:tabs>
        <w:ind w:left="1418" w:hanging="567"/>
      </w:pPr>
      <w:rPr>
        <w:rFonts w:ascii="Arial" w:hAnsi="Arial" w:hint="default"/>
        <w:b w:val="0"/>
        <w:i w:val="0"/>
        <w:color w:val="FF0000"/>
        <w:spacing w:val="0"/>
        <w:sz w:val="20"/>
        <w:szCs w:val="20"/>
      </w:rPr>
    </w:lvl>
    <w:lvl w:ilvl="6">
      <w:start w:val="1"/>
      <w:numFmt w:val="decimal"/>
      <w:lvlText w:val="%7."/>
      <w:lvlJc w:val="left"/>
      <w:pPr>
        <w:tabs>
          <w:tab w:val="num" w:pos="1418"/>
        </w:tabs>
        <w:ind w:left="1418" w:hanging="567"/>
      </w:pPr>
      <w:rPr>
        <w:rFonts w:ascii="Arial" w:hAnsi="Arial" w:hint="default"/>
        <w:b w:val="0"/>
        <w:i w:val="0"/>
        <w:color w:val="FF0000"/>
        <w:spacing w:val="-20"/>
        <w:sz w:val="20"/>
        <w:szCs w:val="20"/>
      </w:rPr>
    </w:lvl>
    <w:lvl w:ilvl="7">
      <w:start w:val="1"/>
      <w:numFmt w:val="lowerLetter"/>
      <w:lvlText w:val="%8."/>
      <w:lvlJc w:val="left"/>
      <w:pPr>
        <w:tabs>
          <w:tab w:val="num" w:pos="1985"/>
        </w:tabs>
        <w:ind w:left="1985" w:hanging="567"/>
      </w:pPr>
      <w:rPr>
        <w:rFonts w:ascii="Arial" w:hAnsi="Arial" w:hint="default"/>
        <w:b w:val="0"/>
        <w:i w:val="0"/>
        <w:color w:val="FF0000"/>
        <w:spacing w:val="-20"/>
        <w:sz w:val="20"/>
        <w:szCs w:val="20"/>
      </w:rPr>
    </w:lvl>
    <w:lvl w:ilvl="8">
      <w:start w:val="1"/>
      <w:numFmt w:val="lowerRoman"/>
      <w:lvlText w:val="%9."/>
      <w:lvlJc w:val="left"/>
      <w:pPr>
        <w:tabs>
          <w:tab w:val="num" w:pos="2552"/>
        </w:tabs>
        <w:ind w:left="2552" w:hanging="567"/>
      </w:pPr>
      <w:rPr>
        <w:rFonts w:ascii="Arial" w:hAnsi="Arial" w:hint="default"/>
        <w:b w:val="0"/>
        <w:i w:val="0"/>
        <w:color w:val="FF0000"/>
        <w:spacing w:val="-20"/>
        <w:sz w:val="20"/>
        <w:szCs w:val="20"/>
      </w:rPr>
    </w:lvl>
  </w:abstractNum>
  <w:abstractNum w:abstractNumId="11" w15:restartNumberingAfterBreak="0">
    <w:nsid w:val="32A47F3E"/>
    <w:multiLevelType w:val="multilevel"/>
    <w:tmpl w:val="169263BC"/>
    <w:styleLink w:val="NTTBulletList"/>
    <w:lvl w:ilvl="0">
      <w:start w:val="1"/>
      <w:numFmt w:val="bullet"/>
      <w:pStyle w:val="NTTBullet1"/>
      <w:lvlText w:val="●"/>
      <w:lvlJc w:val="left"/>
      <w:pPr>
        <w:tabs>
          <w:tab w:val="num" w:pos="1134"/>
        </w:tabs>
        <w:ind w:left="1134" w:hanging="283"/>
      </w:pPr>
      <w:rPr>
        <w:rFonts w:ascii="Arial" w:hAnsi="Arial" w:hint="default"/>
        <w:b w:val="0"/>
        <w:i w:val="0"/>
        <w:color w:val="000000"/>
        <w:spacing w:val="8"/>
        <w:kern w:val="20"/>
        <w:sz w:val="20"/>
      </w:rPr>
    </w:lvl>
    <w:lvl w:ilvl="1">
      <w:start w:val="1"/>
      <w:numFmt w:val="bullet"/>
      <w:pStyle w:val="NTTBullet2"/>
      <w:lvlText w:val="○"/>
      <w:lvlJc w:val="left"/>
      <w:pPr>
        <w:tabs>
          <w:tab w:val="num" w:pos="1418"/>
        </w:tabs>
        <w:ind w:left="1418" w:hanging="284"/>
      </w:pPr>
      <w:rPr>
        <w:rFonts w:ascii="Times New Roman" w:hAnsi="Times New Roman" w:cs="Times New Roman" w:hint="default"/>
        <w:b w:val="0"/>
        <w:i w:val="0"/>
        <w:color w:val="000000"/>
        <w:sz w:val="20"/>
      </w:rPr>
    </w:lvl>
    <w:lvl w:ilvl="2">
      <w:start w:val="1"/>
      <w:numFmt w:val="bullet"/>
      <w:pStyle w:val="NTTBullet3"/>
      <w:lvlText w:val="-"/>
      <w:lvlJc w:val="left"/>
      <w:pPr>
        <w:tabs>
          <w:tab w:val="num" w:pos="1701"/>
        </w:tabs>
        <w:ind w:left="1701" w:hanging="283"/>
      </w:pPr>
      <w:rPr>
        <w:rFonts w:ascii="Times New Roman" w:hAnsi="Times New Roman" w:cs="Times New Roman" w:hint="default"/>
        <w:b/>
        <w:i w:val="0"/>
        <w:color w:val="000000"/>
        <w:sz w:val="20"/>
      </w:rPr>
    </w:lvl>
    <w:lvl w:ilvl="3">
      <w:start w:val="1"/>
      <w:numFmt w:val="decimal"/>
      <w:pStyle w:val="NTTBullet4"/>
      <w:lvlText w:val="%4."/>
      <w:lvlJc w:val="left"/>
      <w:pPr>
        <w:tabs>
          <w:tab w:val="num" w:pos="1418"/>
        </w:tabs>
        <w:ind w:left="1418" w:hanging="567"/>
      </w:pPr>
      <w:rPr>
        <w:rFonts w:ascii="Arial" w:hAnsi="Arial" w:hint="default"/>
        <w:b w:val="0"/>
        <w:i w:val="0"/>
        <w:color w:val="000000"/>
        <w:spacing w:val="0"/>
        <w:sz w:val="20"/>
        <w:szCs w:val="20"/>
      </w:rPr>
    </w:lvl>
    <w:lvl w:ilvl="4">
      <w:start w:val="1"/>
      <w:numFmt w:val="decimal"/>
      <w:pStyle w:val="NTTBullet5"/>
      <w:lvlText w:val="%4.%5."/>
      <w:lvlJc w:val="left"/>
      <w:pPr>
        <w:tabs>
          <w:tab w:val="num" w:pos="1418"/>
        </w:tabs>
        <w:ind w:left="1418" w:hanging="567"/>
      </w:pPr>
      <w:rPr>
        <w:rFonts w:ascii="Arial" w:hAnsi="Arial" w:hint="default"/>
        <w:b w:val="0"/>
        <w:i w:val="0"/>
        <w:color w:val="000000"/>
        <w:spacing w:val="0"/>
        <w:sz w:val="20"/>
        <w:szCs w:val="20"/>
      </w:rPr>
    </w:lvl>
    <w:lvl w:ilvl="5">
      <w:start w:val="1"/>
      <w:numFmt w:val="decimal"/>
      <w:pStyle w:val="NTTBullet6"/>
      <w:lvlText w:val="%4.%5.%6."/>
      <w:lvlJc w:val="left"/>
      <w:pPr>
        <w:tabs>
          <w:tab w:val="num" w:pos="1418"/>
        </w:tabs>
        <w:ind w:left="1418" w:hanging="567"/>
      </w:pPr>
      <w:rPr>
        <w:rFonts w:ascii="Arial" w:hAnsi="Arial" w:hint="default"/>
        <w:b w:val="0"/>
        <w:i w:val="0"/>
        <w:color w:val="000000"/>
        <w:spacing w:val="0"/>
        <w:sz w:val="20"/>
        <w:szCs w:val="20"/>
      </w:rPr>
    </w:lvl>
    <w:lvl w:ilvl="6">
      <w:start w:val="1"/>
      <w:numFmt w:val="decimal"/>
      <w:pStyle w:val="NTTBullet7"/>
      <w:lvlText w:val="%7."/>
      <w:lvlJc w:val="left"/>
      <w:pPr>
        <w:tabs>
          <w:tab w:val="num" w:pos="1418"/>
        </w:tabs>
        <w:ind w:left="1418" w:hanging="567"/>
      </w:pPr>
      <w:rPr>
        <w:rFonts w:ascii="Arial" w:hAnsi="Arial" w:hint="default"/>
        <w:b w:val="0"/>
        <w:i w:val="0"/>
        <w:color w:val="000000"/>
        <w:sz w:val="20"/>
        <w:szCs w:val="20"/>
      </w:rPr>
    </w:lvl>
    <w:lvl w:ilvl="7">
      <w:start w:val="1"/>
      <w:numFmt w:val="lowerLetter"/>
      <w:pStyle w:val="NTTBullet8"/>
      <w:lvlText w:val="%8."/>
      <w:lvlJc w:val="left"/>
      <w:pPr>
        <w:tabs>
          <w:tab w:val="num" w:pos="1985"/>
        </w:tabs>
        <w:ind w:left="1985" w:hanging="567"/>
      </w:pPr>
      <w:rPr>
        <w:rFonts w:ascii="Arial" w:hAnsi="Arial" w:hint="default"/>
        <w:b w:val="0"/>
        <w:i w:val="0"/>
        <w:color w:val="000000"/>
        <w:sz w:val="20"/>
        <w:szCs w:val="20"/>
      </w:rPr>
    </w:lvl>
    <w:lvl w:ilvl="8">
      <w:start w:val="1"/>
      <w:numFmt w:val="lowerRoman"/>
      <w:pStyle w:val="NTTBullet9"/>
      <w:lvlText w:val="%9."/>
      <w:lvlJc w:val="left"/>
      <w:pPr>
        <w:tabs>
          <w:tab w:val="num" w:pos="2552"/>
        </w:tabs>
        <w:ind w:left="2552" w:hanging="567"/>
      </w:pPr>
      <w:rPr>
        <w:rFonts w:ascii="Arial" w:hAnsi="Arial" w:hint="default"/>
        <w:b w:val="0"/>
        <w:i w:val="0"/>
        <w:color w:val="000000"/>
        <w:sz w:val="20"/>
        <w:szCs w:val="20"/>
      </w:rPr>
    </w:lvl>
  </w:abstractNum>
  <w:abstractNum w:abstractNumId="12" w15:restartNumberingAfterBreak="0">
    <w:nsid w:val="474B42B1"/>
    <w:multiLevelType w:val="multilevel"/>
    <w:tmpl w:val="2E501B8C"/>
    <w:styleLink w:val="NTTRedTableBulletList"/>
    <w:lvl w:ilvl="0">
      <w:start w:val="1"/>
      <w:numFmt w:val="bullet"/>
      <w:lvlText w:val="●"/>
      <w:lvlJc w:val="left"/>
      <w:pPr>
        <w:tabs>
          <w:tab w:val="num" w:pos="284"/>
        </w:tabs>
        <w:ind w:left="284" w:hanging="284"/>
      </w:pPr>
      <w:rPr>
        <w:rFonts w:ascii="Arial" w:hAnsi="Arial"/>
        <w:b w:val="0"/>
        <w:i w:val="0"/>
        <w:color w:val="E42600"/>
        <w:spacing w:val="0"/>
        <w:kern w:val="18"/>
        <w:sz w:val="18"/>
      </w:rPr>
    </w:lvl>
    <w:lvl w:ilvl="1">
      <w:start w:val="1"/>
      <w:numFmt w:val="bullet"/>
      <w:lvlText w:val="○"/>
      <w:lvlJc w:val="left"/>
      <w:pPr>
        <w:tabs>
          <w:tab w:val="num" w:pos="567"/>
        </w:tabs>
        <w:ind w:left="567" w:hanging="283"/>
      </w:pPr>
      <w:rPr>
        <w:rFonts w:ascii="Arial" w:hAnsi="Arial" w:cs="Times New Roman" w:hint="default"/>
        <w:b w:val="0"/>
        <w:i w:val="0"/>
        <w:color w:val="FF0000"/>
        <w:spacing w:val="-20"/>
        <w:sz w:val="18"/>
      </w:rPr>
    </w:lvl>
    <w:lvl w:ilvl="2">
      <w:start w:val="1"/>
      <w:numFmt w:val="bullet"/>
      <w:lvlText w:val="-"/>
      <w:lvlJc w:val="left"/>
      <w:pPr>
        <w:tabs>
          <w:tab w:val="num" w:pos="851"/>
        </w:tabs>
        <w:ind w:left="851" w:hanging="284"/>
      </w:pPr>
      <w:rPr>
        <w:rFonts w:ascii="Arial" w:hAnsi="Arial" w:cs="Times New Roman" w:hint="default"/>
        <w:b w:val="0"/>
        <w:i w:val="0"/>
        <w:color w:val="FF0000"/>
        <w:spacing w:val="-20"/>
        <w:sz w:val="18"/>
      </w:rPr>
    </w:lvl>
    <w:lvl w:ilvl="3">
      <w:start w:val="1"/>
      <w:numFmt w:val="decimal"/>
      <w:lvlText w:val="%4."/>
      <w:lvlJc w:val="left"/>
      <w:pPr>
        <w:tabs>
          <w:tab w:val="num" w:pos="567"/>
        </w:tabs>
        <w:ind w:left="567" w:hanging="567"/>
      </w:pPr>
      <w:rPr>
        <w:rFonts w:ascii="Arial" w:hAnsi="Arial" w:hint="default"/>
        <w:b w:val="0"/>
        <w:i w:val="0"/>
        <w:color w:val="FF0000"/>
        <w:spacing w:val="0"/>
        <w:sz w:val="18"/>
        <w:szCs w:val="18"/>
      </w:rPr>
    </w:lvl>
    <w:lvl w:ilvl="4">
      <w:start w:val="1"/>
      <w:numFmt w:val="decimal"/>
      <w:lvlText w:val="%4.%5."/>
      <w:lvlJc w:val="left"/>
      <w:pPr>
        <w:tabs>
          <w:tab w:val="num" w:pos="567"/>
        </w:tabs>
        <w:ind w:left="567" w:hanging="567"/>
      </w:pPr>
      <w:rPr>
        <w:rFonts w:ascii="Arial" w:hAnsi="Arial" w:hint="default"/>
        <w:b w:val="0"/>
        <w:i w:val="0"/>
        <w:color w:val="FF0000"/>
        <w:sz w:val="18"/>
        <w:szCs w:val="18"/>
      </w:rPr>
    </w:lvl>
    <w:lvl w:ilvl="5">
      <w:start w:val="1"/>
      <w:numFmt w:val="decimal"/>
      <w:lvlText w:val="%4.%5.%6."/>
      <w:lvlJc w:val="left"/>
      <w:pPr>
        <w:tabs>
          <w:tab w:val="num" w:pos="567"/>
        </w:tabs>
        <w:ind w:left="567" w:hanging="567"/>
      </w:pPr>
      <w:rPr>
        <w:rFonts w:ascii="Arial" w:hAnsi="Arial" w:hint="default"/>
        <w:b w:val="0"/>
        <w:i w:val="0"/>
        <w:color w:val="FF0000"/>
        <w:sz w:val="18"/>
        <w:szCs w:val="18"/>
      </w:rPr>
    </w:lvl>
    <w:lvl w:ilvl="6">
      <w:start w:val="1"/>
      <w:numFmt w:val="decimal"/>
      <w:lvlText w:val="%7."/>
      <w:lvlJc w:val="left"/>
      <w:pPr>
        <w:tabs>
          <w:tab w:val="num" w:pos="567"/>
        </w:tabs>
        <w:ind w:left="567" w:hanging="567"/>
      </w:pPr>
      <w:rPr>
        <w:rFonts w:ascii="Arial" w:hAnsi="Arial" w:hint="default"/>
        <w:b w:val="0"/>
        <w:i w:val="0"/>
        <w:color w:val="FF0000"/>
        <w:sz w:val="18"/>
        <w:szCs w:val="18"/>
      </w:rPr>
    </w:lvl>
    <w:lvl w:ilvl="7">
      <w:start w:val="1"/>
      <w:numFmt w:val="lowerLetter"/>
      <w:lvlText w:val="%8."/>
      <w:lvlJc w:val="left"/>
      <w:pPr>
        <w:tabs>
          <w:tab w:val="num" w:pos="1134"/>
        </w:tabs>
        <w:ind w:left="1134" w:hanging="567"/>
      </w:pPr>
      <w:rPr>
        <w:rFonts w:ascii="Arial" w:hAnsi="Arial" w:hint="default"/>
        <w:b w:val="0"/>
        <w:i w:val="0"/>
        <w:color w:val="FF0000"/>
        <w:sz w:val="18"/>
        <w:szCs w:val="18"/>
      </w:rPr>
    </w:lvl>
    <w:lvl w:ilvl="8">
      <w:start w:val="1"/>
      <w:numFmt w:val="lowerRoman"/>
      <w:lvlText w:val="%9."/>
      <w:lvlJc w:val="left"/>
      <w:pPr>
        <w:tabs>
          <w:tab w:val="num" w:pos="1701"/>
        </w:tabs>
        <w:ind w:left="1701" w:hanging="567"/>
      </w:pPr>
      <w:rPr>
        <w:rFonts w:ascii="Arial" w:hAnsi="Arial" w:hint="default"/>
        <w:b w:val="0"/>
        <w:i w:val="0"/>
        <w:color w:val="FF0000"/>
        <w:sz w:val="18"/>
        <w:szCs w:val="18"/>
      </w:rPr>
    </w:lvl>
  </w:abstractNum>
  <w:abstractNum w:abstractNumId="13" w15:restartNumberingAfterBreak="0">
    <w:nsid w:val="4A2B0949"/>
    <w:multiLevelType w:val="multilevel"/>
    <w:tmpl w:val="7D4A1AC0"/>
    <w:styleLink w:val="NTTBoldBulletList"/>
    <w:lvl w:ilvl="0">
      <w:start w:val="1"/>
      <w:numFmt w:val="bullet"/>
      <w:lvlText w:val="●"/>
      <w:lvlJc w:val="left"/>
      <w:pPr>
        <w:tabs>
          <w:tab w:val="num" w:pos="851"/>
        </w:tabs>
        <w:ind w:left="1134" w:hanging="283"/>
      </w:pPr>
      <w:rPr>
        <w:rFonts w:ascii="Arial" w:hAnsi="Arial" w:hint="default"/>
        <w:b w:val="0"/>
        <w:i w:val="0"/>
        <w:color w:val="000000"/>
        <w:spacing w:val="8"/>
        <w:kern w:val="20"/>
        <w:sz w:val="20"/>
      </w:rPr>
    </w:lvl>
    <w:lvl w:ilvl="1">
      <w:start w:val="1"/>
      <w:numFmt w:val="bullet"/>
      <w:pStyle w:val="NTTBlueBoldBullet"/>
      <w:lvlText w:val="●"/>
      <w:lvlJc w:val="left"/>
      <w:pPr>
        <w:tabs>
          <w:tab w:val="num" w:pos="851"/>
        </w:tabs>
        <w:ind w:left="1134" w:hanging="283"/>
      </w:pPr>
      <w:rPr>
        <w:rFonts w:ascii="Arial" w:hAnsi="Arial" w:hint="default"/>
        <w:color w:val="0072BC"/>
        <w:sz w:val="18"/>
      </w:rPr>
    </w:lvl>
    <w:lvl w:ilvl="2">
      <w:start w:val="1"/>
      <w:numFmt w:val="bullet"/>
      <w:pStyle w:val="NTTBoldBullet"/>
      <w:lvlText w:val="●"/>
      <w:lvlJc w:val="left"/>
      <w:pPr>
        <w:tabs>
          <w:tab w:val="num" w:pos="851"/>
        </w:tabs>
        <w:ind w:left="1134" w:hanging="283"/>
      </w:pPr>
      <w:rPr>
        <w:rFonts w:ascii="Arial" w:hAnsi="Arial" w:hint="default"/>
        <w:color w:val="000000"/>
        <w:sz w:val="20"/>
      </w:rPr>
    </w:lvl>
    <w:lvl w:ilvl="3">
      <w:start w:val="1"/>
      <w:numFmt w:val="bullet"/>
      <w:pStyle w:val="NTTRedBoldBullet"/>
      <w:lvlText w:val="●"/>
      <w:lvlJc w:val="left"/>
      <w:pPr>
        <w:ind w:left="1134" w:hanging="283"/>
      </w:pPr>
      <w:rPr>
        <w:rFonts w:ascii="Arial" w:hAnsi="Arial" w:hint="default"/>
        <w:color w:val="FF0000"/>
        <w:sz w:val="18"/>
      </w:rPr>
    </w:lvl>
    <w:lvl w:ilvl="4">
      <w:start w:val="1"/>
      <w:numFmt w:val="bullet"/>
      <w:lvlText w:val="●"/>
      <w:lvlJc w:val="left"/>
      <w:pPr>
        <w:ind w:left="284" w:hanging="284"/>
      </w:pPr>
      <w:rPr>
        <w:rFonts w:ascii="Arial" w:hAnsi="Arial" w:hint="default"/>
        <w:color w:val="000000"/>
        <w:sz w:val="20"/>
      </w:rPr>
    </w:lvl>
    <w:lvl w:ilvl="5">
      <w:start w:val="1"/>
      <w:numFmt w:val="bullet"/>
      <w:pStyle w:val="NTTFlushBlueBoldBullet"/>
      <w:lvlText w:val="●"/>
      <w:lvlJc w:val="left"/>
      <w:pPr>
        <w:ind w:left="284" w:hanging="284"/>
      </w:pPr>
      <w:rPr>
        <w:rFonts w:ascii="Arial" w:hAnsi="Arial" w:hint="default"/>
        <w:color w:val="0072BC"/>
        <w:sz w:val="18"/>
      </w:rPr>
    </w:lvl>
    <w:lvl w:ilvl="6">
      <w:start w:val="1"/>
      <w:numFmt w:val="bullet"/>
      <w:lvlRestart w:val="0"/>
      <w:pStyle w:val="NTTFlushBoldBullet"/>
      <w:lvlText w:val="●"/>
      <w:lvlJc w:val="left"/>
      <w:pPr>
        <w:ind w:left="284" w:hanging="284"/>
      </w:pPr>
      <w:rPr>
        <w:rFonts w:ascii="Arial" w:hAnsi="Arial" w:hint="default"/>
        <w:color w:val="000000"/>
        <w:sz w:val="20"/>
      </w:rPr>
    </w:lvl>
    <w:lvl w:ilvl="7">
      <w:start w:val="1"/>
      <w:numFmt w:val="bullet"/>
      <w:lvlText w:val="●"/>
      <w:lvlJc w:val="left"/>
      <w:pPr>
        <w:ind w:left="284" w:hanging="284"/>
      </w:pPr>
      <w:rPr>
        <w:rFonts w:ascii="Arial" w:hAnsi="Arial" w:hint="default"/>
        <w:color w:val="auto"/>
        <w:sz w:val="20"/>
      </w:rPr>
    </w:lvl>
    <w:lvl w:ilvl="8">
      <w:start w:val="1"/>
      <w:numFmt w:val="bullet"/>
      <w:lvlText w:val="●"/>
      <w:lvlJc w:val="left"/>
      <w:pPr>
        <w:ind w:left="284" w:hanging="284"/>
      </w:pPr>
      <w:rPr>
        <w:rFonts w:ascii="Arial" w:hAnsi="Arial" w:hint="default"/>
        <w:color w:val="auto"/>
        <w:sz w:val="18"/>
      </w:rPr>
    </w:lvl>
  </w:abstractNum>
  <w:abstractNum w:abstractNumId="14" w15:restartNumberingAfterBreak="0">
    <w:nsid w:val="4F194436"/>
    <w:multiLevelType w:val="multilevel"/>
    <w:tmpl w:val="C832ACC0"/>
    <w:lvl w:ilvl="0">
      <w:start w:val="1"/>
      <w:numFmt w:val="decimal"/>
      <w:pStyle w:val="Legalnumbering1"/>
      <w:lvlText w:val="%1."/>
      <w:lvlJc w:val="left"/>
      <w:pPr>
        <w:ind w:left="851" w:hanging="851"/>
      </w:pPr>
      <w:rPr>
        <w:rFonts w:hint="default"/>
      </w:rPr>
    </w:lvl>
    <w:lvl w:ilvl="1">
      <w:start w:val="1"/>
      <w:numFmt w:val="decimal"/>
      <w:pStyle w:val="Legalnumbering2"/>
      <w:lvlText w:val="%1.%2."/>
      <w:lvlJc w:val="left"/>
      <w:pPr>
        <w:ind w:left="851" w:hanging="851"/>
      </w:pPr>
      <w:rPr>
        <w:rFonts w:hint="default"/>
      </w:rPr>
    </w:lvl>
    <w:lvl w:ilvl="2">
      <w:start w:val="1"/>
      <w:numFmt w:val="decimal"/>
      <w:pStyle w:val="Legalnumbering3"/>
      <w:lvlText w:val="%1.%2.%3."/>
      <w:lvlJc w:val="left"/>
      <w:pPr>
        <w:ind w:left="851" w:hanging="851"/>
      </w:pPr>
      <w:rPr>
        <w:rFonts w:hint="default"/>
      </w:rPr>
    </w:lvl>
    <w:lvl w:ilvl="3">
      <w:start w:val="1"/>
      <w:numFmt w:val="lowerLetter"/>
      <w:lvlText w:val="%4."/>
      <w:lvlJc w:val="left"/>
      <w:pPr>
        <w:ind w:left="851" w:hanging="851"/>
      </w:pPr>
      <w:rPr>
        <w:rFonts w:hint="default"/>
      </w:rPr>
    </w:lvl>
    <w:lvl w:ilvl="4">
      <w:start w:val="1"/>
      <w:numFmt w:val="lowerRoman"/>
      <w:lvlText w:val="%5."/>
      <w:lvlJc w:val="left"/>
      <w:pPr>
        <w:ind w:left="851" w:hanging="851"/>
      </w:pPr>
      <w:rPr>
        <w:rFonts w:hint="default"/>
      </w:rPr>
    </w:lvl>
    <w:lvl w:ilvl="5">
      <w:start w:val="1"/>
      <w:numFmt w:val="upperLetter"/>
      <w:lvlText w:val="%6."/>
      <w:lvlJc w:val="left"/>
      <w:pPr>
        <w:ind w:left="851" w:hanging="851"/>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5" w15:restartNumberingAfterBreak="0">
    <w:nsid w:val="5B192594"/>
    <w:multiLevelType w:val="multilevel"/>
    <w:tmpl w:val="6456C98A"/>
    <w:styleLink w:val="NTTFlushBlueBulletList"/>
    <w:lvl w:ilvl="0">
      <w:start w:val="1"/>
      <w:numFmt w:val="bullet"/>
      <w:pStyle w:val="NTTFlushBlueBullet1"/>
      <w:lvlText w:val="●"/>
      <w:lvlJc w:val="left"/>
      <w:pPr>
        <w:ind w:left="284" w:hanging="284"/>
      </w:pPr>
      <w:rPr>
        <w:rFonts w:ascii="Arial" w:hAnsi="Arial" w:hint="default"/>
        <w:b w:val="0"/>
        <w:i w:val="0"/>
        <w:color w:val="0072BC"/>
        <w:kern w:val="20"/>
        <w:sz w:val="20"/>
      </w:rPr>
    </w:lvl>
    <w:lvl w:ilvl="1">
      <w:start w:val="1"/>
      <w:numFmt w:val="bullet"/>
      <w:pStyle w:val="NTTFlushBlueBullet2"/>
      <w:lvlText w:val="○"/>
      <w:lvlJc w:val="left"/>
      <w:pPr>
        <w:ind w:left="567" w:hanging="283"/>
      </w:pPr>
      <w:rPr>
        <w:rFonts w:ascii="Times New Roman" w:hAnsi="Times New Roman" w:cs="Times New Roman" w:hint="default"/>
        <w:color w:val="0072BC"/>
      </w:rPr>
    </w:lvl>
    <w:lvl w:ilvl="2">
      <w:start w:val="1"/>
      <w:numFmt w:val="bullet"/>
      <w:pStyle w:val="NTTFlushBlueBullet3"/>
      <w:lvlText w:val="-"/>
      <w:lvlJc w:val="left"/>
      <w:pPr>
        <w:ind w:left="851" w:hanging="284"/>
      </w:pPr>
      <w:rPr>
        <w:rFonts w:ascii="Times New Roman" w:hAnsi="Times New Roman" w:cs="Times New Roman" w:hint="default"/>
        <w:color w:val="0072BC"/>
      </w:rPr>
    </w:lvl>
    <w:lvl w:ilvl="3">
      <w:start w:val="1"/>
      <w:numFmt w:val="decimal"/>
      <w:pStyle w:val="NTTFlushBlueBullet4"/>
      <w:isLgl/>
      <w:lvlText w:val="%4."/>
      <w:lvlJc w:val="left"/>
      <w:pPr>
        <w:ind w:left="567" w:hanging="567"/>
      </w:pPr>
      <w:rPr>
        <w:rFonts w:hint="default"/>
        <w:color w:val="0072BC"/>
      </w:rPr>
    </w:lvl>
    <w:lvl w:ilvl="4">
      <w:start w:val="1"/>
      <w:numFmt w:val="decimal"/>
      <w:pStyle w:val="NTTFlushBlueBullet5"/>
      <w:isLgl/>
      <w:lvlText w:val="%4.%5"/>
      <w:lvlJc w:val="left"/>
      <w:pPr>
        <w:ind w:left="567" w:hanging="567"/>
      </w:pPr>
      <w:rPr>
        <w:rFonts w:hint="default"/>
        <w:color w:val="0072BC"/>
      </w:rPr>
    </w:lvl>
    <w:lvl w:ilvl="5">
      <w:start w:val="1"/>
      <w:numFmt w:val="decimal"/>
      <w:pStyle w:val="NTTFlushBlueBullet6"/>
      <w:isLgl/>
      <w:lvlText w:val="%4.%5.%6"/>
      <w:lvlJc w:val="left"/>
      <w:pPr>
        <w:ind w:left="567" w:hanging="567"/>
      </w:pPr>
      <w:rPr>
        <w:rFonts w:hint="default"/>
        <w:color w:val="0072BC"/>
      </w:rPr>
    </w:lvl>
    <w:lvl w:ilvl="6">
      <w:start w:val="1"/>
      <w:numFmt w:val="decimal"/>
      <w:lvlRestart w:val="0"/>
      <w:pStyle w:val="NTTFlushBlueBullet7"/>
      <w:lvlText w:val="%7."/>
      <w:lvlJc w:val="left"/>
      <w:pPr>
        <w:ind w:left="567" w:hanging="567"/>
      </w:pPr>
      <w:rPr>
        <w:rFonts w:ascii="Arial" w:hAnsi="Arial" w:hint="default"/>
        <w:b w:val="0"/>
        <w:i w:val="0"/>
        <w:color w:val="0072BC"/>
        <w:sz w:val="20"/>
      </w:rPr>
    </w:lvl>
    <w:lvl w:ilvl="7">
      <w:start w:val="1"/>
      <w:numFmt w:val="lowerLetter"/>
      <w:pStyle w:val="NTTFlushBlueBullet8"/>
      <w:lvlText w:val="%8."/>
      <w:lvlJc w:val="left"/>
      <w:pPr>
        <w:ind w:left="1134" w:hanging="567"/>
      </w:pPr>
      <w:rPr>
        <w:rFonts w:ascii="Arial" w:hAnsi="Arial" w:hint="default"/>
        <w:b w:val="0"/>
        <w:i w:val="0"/>
        <w:color w:val="0072BC"/>
        <w:sz w:val="20"/>
      </w:rPr>
    </w:lvl>
    <w:lvl w:ilvl="8">
      <w:start w:val="1"/>
      <w:numFmt w:val="lowerRoman"/>
      <w:pStyle w:val="NTTFlushBlueBullet9"/>
      <w:lvlText w:val="%9."/>
      <w:lvlJc w:val="left"/>
      <w:pPr>
        <w:ind w:left="1701" w:hanging="567"/>
      </w:pPr>
      <w:rPr>
        <w:rFonts w:ascii="Arial" w:hAnsi="Arial" w:hint="default"/>
        <w:b w:val="0"/>
        <w:i w:val="0"/>
        <w:color w:val="0072BC"/>
        <w:sz w:val="20"/>
      </w:rPr>
    </w:lvl>
  </w:abstractNum>
  <w:abstractNum w:abstractNumId="16" w15:restartNumberingAfterBreak="0">
    <w:nsid w:val="5EA35D47"/>
    <w:multiLevelType w:val="multilevel"/>
    <w:tmpl w:val="6D02664C"/>
    <w:styleLink w:val="NTTTableBulletList"/>
    <w:lvl w:ilvl="0">
      <w:start w:val="1"/>
      <w:numFmt w:val="bullet"/>
      <w:lvlText w:val="●"/>
      <w:lvlJc w:val="left"/>
      <w:pPr>
        <w:tabs>
          <w:tab w:val="num" w:pos="284"/>
        </w:tabs>
        <w:ind w:left="284" w:hanging="284"/>
      </w:pPr>
      <w:rPr>
        <w:rFonts w:ascii="Arial" w:hAnsi="Arial" w:hint="default"/>
        <w:color w:val="000000"/>
        <w:spacing w:val="8"/>
        <w:kern w:val="18"/>
        <w:sz w:val="18"/>
        <w:szCs w:val="20"/>
      </w:rPr>
    </w:lvl>
    <w:lvl w:ilvl="1">
      <w:start w:val="1"/>
      <w:numFmt w:val="bullet"/>
      <w:pStyle w:val="NTTTableBullet2"/>
      <w:lvlText w:val="○"/>
      <w:lvlJc w:val="left"/>
      <w:pPr>
        <w:tabs>
          <w:tab w:val="num" w:pos="567"/>
        </w:tabs>
        <w:ind w:left="567" w:hanging="283"/>
      </w:pPr>
      <w:rPr>
        <w:rFonts w:ascii="Arial" w:hAnsi="Arial" w:cs="Times New Roman" w:hint="default"/>
        <w:b w:val="0"/>
        <w:i w:val="0"/>
        <w:color w:val="000000"/>
        <w:sz w:val="18"/>
      </w:rPr>
    </w:lvl>
    <w:lvl w:ilvl="2">
      <w:start w:val="1"/>
      <w:numFmt w:val="bullet"/>
      <w:pStyle w:val="NTTTableBullet3"/>
      <w:lvlText w:val="-"/>
      <w:lvlJc w:val="left"/>
      <w:pPr>
        <w:tabs>
          <w:tab w:val="num" w:pos="851"/>
        </w:tabs>
        <w:ind w:left="851" w:hanging="284"/>
      </w:pPr>
      <w:rPr>
        <w:rFonts w:ascii="Arial" w:hAnsi="Arial" w:cs="Times New Roman" w:hint="default"/>
        <w:b w:val="0"/>
        <w:i w:val="0"/>
        <w:color w:val="000000"/>
        <w:sz w:val="18"/>
      </w:rPr>
    </w:lvl>
    <w:lvl w:ilvl="3">
      <w:start w:val="1"/>
      <w:numFmt w:val="decimal"/>
      <w:lvlText w:val="%4."/>
      <w:lvlJc w:val="left"/>
      <w:pPr>
        <w:tabs>
          <w:tab w:val="num" w:pos="567"/>
        </w:tabs>
        <w:ind w:left="567" w:hanging="567"/>
      </w:pPr>
      <w:rPr>
        <w:rFonts w:ascii="Arial" w:hAnsi="Arial" w:hint="default"/>
        <w:b w:val="0"/>
        <w:i w:val="0"/>
        <w:color w:val="000000"/>
        <w:spacing w:val="-20"/>
        <w:sz w:val="18"/>
        <w:szCs w:val="18"/>
      </w:rPr>
    </w:lvl>
    <w:lvl w:ilvl="4">
      <w:start w:val="1"/>
      <w:numFmt w:val="decimal"/>
      <w:lvlText w:val="%4.%5."/>
      <w:lvlJc w:val="left"/>
      <w:pPr>
        <w:tabs>
          <w:tab w:val="num" w:pos="567"/>
        </w:tabs>
        <w:ind w:left="567" w:hanging="567"/>
      </w:pPr>
      <w:rPr>
        <w:rFonts w:ascii="Arial" w:hAnsi="Arial" w:hint="default"/>
        <w:b w:val="0"/>
        <w:i w:val="0"/>
        <w:color w:val="000000"/>
        <w:spacing w:val="-20"/>
        <w:sz w:val="18"/>
        <w:szCs w:val="18"/>
      </w:rPr>
    </w:lvl>
    <w:lvl w:ilvl="5">
      <w:start w:val="1"/>
      <w:numFmt w:val="decimal"/>
      <w:lvlText w:val="%4.%5.%6."/>
      <w:lvlJc w:val="left"/>
      <w:pPr>
        <w:tabs>
          <w:tab w:val="num" w:pos="567"/>
        </w:tabs>
        <w:ind w:left="567" w:hanging="567"/>
      </w:pPr>
      <w:rPr>
        <w:rFonts w:ascii="Arial" w:hAnsi="Arial" w:hint="default"/>
        <w:b w:val="0"/>
        <w:i w:val="0"/>
        <w:color w:val="000000"/>
        <w:spacing w:val="-20"/>
        <w:sz w:val="18"/>
        <w:szCs w:val="18"/>
      </w:rPr>
    </w:lvl>
    <w:lvl w:ilvl="6">
      <w:start w:val="1"/>
      <w:numFmt w:val="decimal"/>
      <w:lvlText w:val="%7."/>
      <w:lvlJc w:val="left"/>
      <w:pPr>
        <w:tabs>
          <w:tab w:val="num" w:pos="567"/>
        </w:tabs>
        <w:ind w:left="567" w:hanging="567"/>
      </w:pPr>
      <w:rPr>
        <w:rFonts w:ascii="Arial" w:hAnsi="Arial" w:hint="default"/>
        <w:b w:val="0"/>
        <w:i w:val="0"/>
        <w:color w:val="000000"/>
        <w:sz w:val="18"/>
        <w:szCs w:val="18"/>
      </w:rPr>
    </w:lvl>
    <w:lvl w:ilvl="7">
      <w:start w:val="1"/>
      <w:numFmt w:val="lowerLetter"/>
      <w:pStyle w:val="NTTTableBullet8"/>
      <w:lvlText w:val="%8."/>
      <w:lvlJc w:val="left"/>
      <w:pPr>
        <w:tabs>
          <w:tab w:val="num" w:pos="1134"/>
        </w:tabs>
        <w:ind w:left="1134" w:hanging="567"/>
      </w:pPr>
      <w:rPr>
        <w:rFonts w:ascii="Arial" w:hAnsi="Arial" w:hint="default"/>
        <w:b w:val="0"/>
        <w:i w:val="0"/>
        <w:color w:val="000000"/>
        <w:sz w:val="18"/>
        <w:szCs w:val="18"/>
      </w:rPr>
    </w:lvl>
    <w:lvl w:ilvl="8">
      <w:start w:val="1"/>
      <w:numFmt w:val="lowerRoman"/>
      <w:pStyle w:val="NTTTableBullet9"/>
      <w:lvlText w:val="%9."/>
      <w:lvlJc w:val="left"/>
      <w:pPr>
        <w:tabs>
          <w:tab w:val="num" w:pos="1701"/>
        </w:tabs>
        <w:ind w:left="1701" w:hanging="567"/>
      </w:pPr>
      <w:rPr>
        <w:rFonts w:ascii="Arial" w:hAnsi="Arial" w:hint="default"/>
        <w:b w:val="0"/>
        <w:i w:val="0"/>
        <w:color w:val="000000"/>
        <w:sz w:val="18"/>
        <w:szCs w:val="18"/>
      </w:rPr>
    </w:lvl>
  </w:abstractNum>
  <w:abstractNum w:abstractNumId="17" w15:restartNumberingAfterBreak="0">
    <w:nsid w:val="64A85724"/>
    <w:multiLevelType w:val="multilevel"/>
    <w:tmpl w:val="771046AA"/>
    <w:styleLink w:val="NTTBlueTableBulletList"/>
    <w:lvl w:ilvl="0">
      <w:start w:val="1"/>
      <w:numFmt w:val="bullet"/>
      <w:pStyle w:val="NTTBlueTableBullet1"/>
      <w:lvlText w:val="●"/>
      <w:lvlJc w:val="left"/>
      <w:pPr>
        <w:tabs>
          <w:tab w:val="num" w:pos="283"/>
        </w:tabs>
        <w:ind w:left="283" w:hanging="283"/>
      </w:pPr>
      <w:rPr>
        <w:rFonts w:ascii="Arial" w:hAnsi="Arial" w:hint="default"/>
        <w:color w:val="0072BC"/>
        <w:spacing w:val="8"/>
        <w:kern w:val="18"/>
        <w:sz w:val="18"/>
        <w:szCs w:val="20"/>
      </w:rPr>
    </w:lvl>
    <w:lvl w:ilvl="1">
      <w:start w:val="1"/>
      <w:numFmt w:val="bullet"/>
      <w:pStyle w:val="NTTBlueTableBullet2"/>
      <w:lvlText w:val="○"/>
      <w:lvlJc w:val="left"/>
      <w:pPr>
        <w:tabs>
          <w:tab w:val="num" w:pos="1134"/>
        </w:tabs>
        <w:ind w:left="1134" w:hanging="284"/>
      </w:pPr>
      <w:rPr>
        <w:rFonts w:ascii="Arial" w:hAnsi="Arial" w:cs="Times New Roman" w:hint="default"/>
        <w:b w:val="0"/>
        <w:i w:val="0"/>
        <w:color w:val="0072BC"/>
        <w:sz w:val="18"/>
      </w:rPr>
    </w:lvl>
    <w:lvl w:ilvl="2">
      <w:start w:val="1"/>
      <w:numFmt w:val="bullet"/>
      <w:pStyle w:val="NTTBlueTableBullet3"/>
      <w:lvlText w:val="-"/>
      <w:lvlJc w:val="left"/>
      <w:pPr>
        <w:tabs>
          <w:tab w:val="num" w:pos="850"/>
        </w:tabs>
        <w:ind w:left="850" w:hanging="283"/>
      </w:pPr>
      <w:rPr>
        <w:rFonts w:ascii="Arial" w:hAnsi="Arial" w:cs="Times New Roman" w:hint="default"/>
        <w:b w:val="0"/>
        <w:i w:val="0"/>
        <w:color w:val="0072BC"/>
        <w:sz w:val="18"/>
      </w:rPr>
    </w:lvl>
    <w:lvl w:ilvl="3">
      <w:start w:val="1"/>
      <w:numFmt w:val="decimal"/>
      <w:pStyle w:val="NTTBlueTableBullet4"/>
      <w:lvlText w:val="%4."/>
      <w:lvlJc w:val="left"/>
      <w:pPr>
        <w:tabs>
          <w:tab w:val="num" w:pos="567"/>
        </w:tabs>
        <w:ind w:left="567" w:hanging="567"/>
      </w:pPr>
      <w:rPr>
        <w:rFonts w:ascii="Arial" w:hAnsi="Arial" w:hint="default"/>
        <w:b w:val="0"/>
        <w:i w:val="0"/>
        <w:color w:val="0072BC"/>
        <w:spacing w:val="0"/>
        <w:sz w:val="18"/>
        <w:szCs w:val="18"/>
      </w:rPr>
    </w:lvl>
    <w:lvl w:ilvl="4">
      <w:start w:val="1"/>
      <w:numFmt w:val="decimal"/>
      <w:pStyle w:val="NTTBlueTableBullet5"/>
      <w:lvlText w:val="%4.%5."/>
      <w:lvlJc w:val="left"/>
      <w:pPr>
        <w:tabs>
          <w:tab w:val="num" w:pos="567"/>
        </w:tabs>
        <w:ind w:left="567" w:hanging="567"/>
      </w:pPr>
      <w:rPr>
        <w:rFonts w:ascii="Arial" w:hAnsi="Arial" w:hint="default"/>
        <w:b w:val="0"/>
        <w:i w:val="0"/>
        <w:color w:val="0072BC"/>
        <w:spacing w:val="0"/>
        <w:sz w:val="18"/>
        <w:szCs w:val="18"/>
      </w:rPr>
    </w:lvl>
    <w:lvl w:ilvl="5">
      <w:start w:val="1"/>
      <w:numFmt w:val="decimal"/>
      <w:pStyle w:val="NTTBlueTableBullet6"/>
      <w:lvlText w:val="%4.%5.%6."/>
      <w:lvlJc w:val="left"/>
      <w:pPr>
        <w:tabs>
          <w:tab w:val="num" w:pos="567"/>
        </w:tabs>
        <w:ind w:left="567" w:hanging="567"/>
      </w:pPr>
      <w:rPr>
        <w:rFonts w:ascii="Arial" w:hAnsi="Arial" w:hint="default"/>
        <w:b w:val="0"/>
        <w:i w:val="0"/>
        <w:color w:val="0072BC"/>
        <w:spacing w:val="0"/>
        <w:sz w:val="18"/>
        <w:szCs w:val="18"/>
      </w:rPr>
    </w:lvl>
    <w:lvl w:ilvl="6">
      <w:start w:val="1"/>
      <w:numFmt w:val="decimal"/>
      <w:pStyle w:val="NTTBlueTableBullet7"/>
      <w:lvlText w:val="%7."/>
      <w:lvlJc w:val="left"/>
      <w:pPr>
        <w:tabs>
          <w:tab w:val="num" w:pos="567"/>
        </w:tabs>
        <w:ind w:left="567" w:hanging="567"/>
      </w:pPr>
      <w:rPr>
        <w:rFonts w:ascii="Arial" w:hAnsi="Arial" w:hint="default"/>
        <w:b w:val="0"/>
        <w:i w:val="0"/>
        <w:color w:val="0072BC"/>
        <w:sz w:val="18"/>
        <w:szCs w:val="18"/>
      </w:rPr>
    </w:lvl>
    <w:lvl w:ilvl="7">
      <w:start w:val="1"/>
      <w:numFmt w:val="lowerLetter"/>
      <w:pStyle w:val="NTTBlueTableBullet8"/>
      <w:lvlText w:val="%8."/>
      <w:lvlJc w:val="left"/>
      <w:pPr>
        <w:tabs>
          <w:tab w:val="num" w:pos="1134"/>
        </w:tabs>
        <w:ind w:left="1134" w:hanging="567"/>
      </w:pPr>
      <w:rPr>
        <w:rFonts w:ascii="Arial" w:hAnsi="Arial" w:hint="default"/>
        <w:b w:val="0"/>
        <w:i w:val="0"/>
        <w:color w:val="0072BC"/>
        <w:sz w:val="18"/>
        <w:szCs w:val="18"/>
      </w:rPr>
    </w:lvl>
    <w:lvl w:ilvl="8">
      <w:start w:val="1"/>
      <w:numFmt w:val="lowerRoman"/>
      <w:pStyle w:val="NTTBlueTableBullet9"/>
      <w:lvlText w:val="%9."/>
      <w:lvlJc w:val="left"/>
      <w:pPr>
        <w:tabs>
          <w:tab w:val="num" w:pos="1701"/>
        </w:tabs>
        <w:ind w:left="1701" w:hanging="567"/>
      </w:pPr>
      <w:rPr>
        <w:rFonts w:ascii="Arial" w:hAnsi="Arial" w:hint="default"/>
        <w:b w:val="0"/>
        <w:i w:val="0"/>
        <w:color w:val="0072BC"/>
        <w:sz w:val="18"/>
        <w:szCs w:val="18"/>
      </w:rPr>
    </w:lvl>
  </w:abstractNum>
  <w:abstractNum w:abstractNumId="18" w15:restartNumberingAfterBreak="0">
    <w:nsid w:val="6A2026CD"/>
    <w:multiLevelType w:val="multilevel"/>
    <w:tmpl w:val="D2080C92"/>
    <w:styleLink w:val="NTTGuidanceTextBullets"/>
    <w:lvl w:ilvl="0">
      <w:start w:val="1"/>
      <w:numFmt w:val="bullet"/>
      <w:pStyle w:val="GuidanceText3Bullet"/>
      <w:lvlText w:val="●"/>
      <w:lvlJc w:val="left"/>
      <w:pPr>
        <w:tabs>
          <w:tab w:val="num" w:pos="1418"/>
        </w:tabs>
        <w:ind w:left="1134" w:hanging="283"/>
      </w:pPr>
      <w:rPr>
        <w:rFonts w:ascii="Arial" w:hAnsi="Arial" w:hint="default"/>
        <w:color w:val="900000"/>
        <w:kern w:val="20"/>
        <w:sz w:val="20"/>
      </w:rPr>
    </w:lvl>
    <w:lvl w:ilvl="1">
      <w:start w:val="1"/>
      <w:numFmt w:val="decimal"/>
      <w:pStyle w:val="GuidanceText4List"/>
      <w:lvlText w:val="%2. "/>
      <w:lvlJc w:val="left"/>
      <w:pPr>
        <w:tabs>
          <w:tab w:val="num" w:pos="1418"/>
        </w:tabs>
        <w:ind w:left="1134" w:hanging="283"/>
      </w:pPr>
      <w:rPr>
        <w:rFonts w:hint="default"/>
        <w:color w:val="900000"/>
      </w:rPr>
    </w:lvl>
    <w:lvl w:ilvl="2">
      <w:start w:val="1"/>
      <w:numFmt w:val="bullet"/>
      <w:pStyle w:val="NTTBlueNotedText3Bullet"/>
      <w:lvlText w:val="●"/>
      <w:lvlJc w:val="left"/>
      <w:pPr>
        <w:tabs>
          <w:tab w:val="num" w:pos="1418"/>
        </w:tabs>
        <w:ind w:left="1134" w:hanging="283"/>
      </w:pPr>
      <w:rPr>
        <w:rFonts w:ascii="Arial" w:hAnsi="Arial" w:hint="default"/>
        <w:color w:val="0072BC"/>
      </w:rPr>
    </w:lvl>
    <w:lvl w:ilvl="3">
      <w:start w:val="1"/>
      <w:numFmt w:val="decimal"/>
      <w:pStyle w:val="NTTBlueNotedText4List"/>
      <w:lvlText w:val="%4."/>
      <w:lvlJc w:val="left"/>
      <w:pPr>
        <w:tabs>
          <w:tab w:val="num" w:pos="1418"/>
        </w:tabs>
        <w:ind w:left="1134" w:hanging="283"/>
      </w:pPr>
      <w:rPr>
        <w:rFonts w:hint="default"/>
        <w:color w:val="0072BC"/>
      </w:rPr>
    </w:lvl>
    <w:lvl w:ilvl="4">
      <w:start w:val="1"/>
      <w:numFmt w:val="bullet"/>
      <w:lvlText w:val=""/>
      <w:lvlJc w:val="left"/>
      <w:pPr>
        <w:tabs>
          <w:tab w:val="num" w:pos="1418"/>
        </w:tabs>
        <w:ind w:left="1134" w:hanging="283"/>
      </w:pPr>
      <w:rPr>
        <w:rFonts w:ascii="Symbol" w:hAnsi="Symbol" w:hint="default"/>
        <w:color w:val="000000"/>
      </w:rPr>
    </w:lvl>
    <w:lvl w:ilvl="5">
      <w:start w:val="1"/>
      <w:numFmt w:val="decimal"/>
      <w:lvlText w:val="%6."/>
      <w:lvlJc w:val="left"/>
      <w:pPr>
        <w:tabs>
          <w:tab w:val="num" w:pos="1418"/>
        </w:tabs>
        <w:ind w:left="1134" w:hanging="283"/>
      </w:pPr>
      <w:rPr>
        <w:rFonts w:hint="default"/>
        <w:color w:val="000000"/>
      </w:rPr>
    </w:lvl>
    <w:lvl w:ilvl="6">
      <w:start w:val="1"/>
      <w:numFmt w:val="bullet"/>
      <w:pStyle w:val="NTTRedNotedText3Bullet"/>
      <w:lvlText w:val=""/>
      <w:lvlJc w:val="left"/>
      <w:pPr>
        <w:tabs>
          <w:tab w:val="num" w:pos="1418"/>
        </w:tabs>
        <w:ind w:left="1134" w:hanging="283"/>
      </w:pPr>
      <w:rPr>
        <w:rFonts w:ascii="Symbol" w:hAnsi="Symbol" w:hint="default"/>
        <w:color w:val="FF0000"/>
      </w:rPr>
    </w:lvl>
    <w:lvl w:ilvl="7">
      <w:start w:val="1"/>
      <w:numFmt w:val="decimal"/>
      <w:pStyle w:val="NTTRedNotedText4Bullet"/>
      <w:lvlText w:val="%8."/>
      <w:lvlJc w:val="left"/>
      <w:pPr>
        <w:tabs>
          <w:tab w:val="num" w:pos="1418"/>
        </w:tabs>
        <w:ind w:left="1134" w:hanging="283"/>
      </w:pPr>
      <w:rPr>
        <w:rFonts w:hint="default"/>
        <w:color w:val="FF0000"/>
      </w:rPr>
    </w:lvl>
    <w:lvl w:ilvl="8">
      <w:start w:val="1"/>
      <w:numFmt w:val="bullet"/>
      <w:lvlText w:val=""/>
      <w:lvlJc w:val="left"/>
      <w:pPr>
        <w:tabs>
          <w:tab w:val="num" w:pos="1418"/>
        </w:tabs>
        <w:ind w:left="1134" w:hanging="283"/>
      </w:pPr>
      <w:rPr>
        <w:rFonts w:ascii="Wingdings" w:hAnsi="Wingdings" w:hint="default"/>
        <w:color w:val="900000"/>
      </w:rPr>
    </w:lvl>
  </w:abstractNum>
  <w:abstractNum w:abstractNumId="19" w15:restartNumberingAfterBreak="0">
    <w:nsid w:val="6F2F30A7"/>
    <w:multiLevelType w:val="hybridMultilevel"/>
    <w:tmpl w:val="722A2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BC1A2A"/>
    <w:multiLevelType w:val="hybridMultilevel"/>
    <w:tmpl w:val="E2407366"/>
    <w:lvl w:ilvl="0" w:tplc="F3F6B09A">
      <w:start w:val="1"/>
      <w:numFmt w:val="lowerLetter"/>
      <w:pStyle w:val="NTTLegal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7C3026"/>
    <w:multiLevelType w:val="multilevel"/>
    <w:tmpl w:val="E8E4266C"/>
    <w:styleLink w:val="NTTFlushBulletList"/>
    <w:lvl w:ilvl="0">
      <w:start w:val="1"/>
      <w:numFmt w:val="bullet"/>
      <w:pStyle w:val="NTTFlushBullet1"/>
      <w:lvlText w:val="●"/>
      <w:lvlJc w:val="left"/>
      <w:pPr>
        <w:ind w:left="284" w:hanging="284"/>
      </w:pPr>
      <w:rPr>
        <w:rFonts w:ascii="Arial" w:hAnsi="Arial" w:hint="default"/>
        <w:b w:val="0"/>
        <w:i w:val="0"/>
        <w:color w:val="000000"/>
        <w:kern w:val="20"/>
        <w:sz w:val="20"/>
      </w:rPr>
    </w:lvl>
    <w:lvl w:ilvl="1">
      <w:start w:val="1"/>
      <w:numFmt w:val="bullet"/>
      <w:pStyle w:val="NTTFlushBullet2"/>
      <w:lvlText w:val="○"/>
      <w:lvlJc w:val="left"/>
      <w:pPr>
        <w:ind w:left="567" w:hanging="283"/>
      </w:pPr>
      <w:rPr>
        <w:rFonts w:ascii="Arial" w:hAnsi="Arial" w:cs="Times New Roman" w:hint="default"/>
        <w:b w:val="0"/>
        <w:i w:val="0"/>
        <w:color w:val="000000"/>
        <w:sz w:val="20"/>
      </w:rPr>
    </w:lvl>
    <w:lvl w:ilvl="2">
      <w:start w:val="1"/>
      <w:numFmt w:val="bullet"/>
      <w:pStyle w:val="NTTFlushBullet3"/>
      <w:lvlText w:val="-"/>
      <w:lvlJc w:val="left"/>
      <w:pPr>
        <w:ind w:left="851" w:hanging="284"/>
      </w:pPr>
      <w:rPr>
        <w:rFonts w:ascii="Arial" w:hAnsi="Arial" w:cs="Times New Roman" w:hint="default"/>
        <w:b w:val="0"/>
        <w:i w:val="0"/>
        <w:color w:val="000000"/>
        <w:sz w:val="20"/>
      </w:rPr>
    </w:lvl>
    <w:lvl w:ilvl="3">
      <w:start w:val="1"/>
      <w:numFmt w:val="decimal"/>
      <w:pStyle w:val="NTTFlushBullet4"/>
      <w:isLgl/>
      <w:lvlText w:val="%4."/>
      <w:lvlJc w:val="left"/>
      <w:pPr>
        <w:ind w:left="567" w:hanging="567"/>
      </w:pPr>
      <w:rPr>
        <w:rFonts w:hint="default"/>
        <w:color w:val="000000"/>
      </w:rPr>
    </w:lvl>
    <w:lvl w:ilvl="4">
      <w:start w:val="1"/>
      <w:numFmt w:val="decimal"/>
      <w:pStyle w:val="NTTFlushBullet5"/>
      <w:isLgl/>
      <w:lvlText w:val="%4.%5"/>
      <w:lvlJc w:val="left"/>
      <w:pPr>
        <w:ind w:left="567" w:hanging="567"/>
      </w:pPr>
      <w:rPr>
        <w:rFonts w:hint="default"/>
        <w:color w:val="000000"/>
      </w:rPr>
    </w:lvl>
    <w:lvl w:ilvl="5">
      <w:start w:val="1"/>
      <w:numFmt w:val="decimal"/>
      <w:pStyle w:val="NTTFlushBullet6"/>
      <w:isLgl/>
      <w:lvlText w:val="%4.%5.%6"/>
      <w:lvlJc w:val="left"/>
      <w:pPr>
        <w:ind w:left="567" w:hanging="567"/>
      </w:pPr>
      <w:rPr>
        <w:rFonts w:hint="default"/>
        <w:color w:val="000000"/>
      </w:rPr>
    </w:lvl>
    <w:lvl w:ilvl="6">
      <w:start w:val="1"/>
      <w:numFmt w:val="decimal"/>
      <w:pStyle w:val="NTTFlushBullet7"/>
      <w:lvlText w:val="%7."/>
      <w:lvlJc w:val="left"/>
      <w:pPr>
        <w:ind w:left="567" w:hanging="567"/>
      </w:pPr>
      <w:rPr>
        <w:rFonts w:hint="default"/>
        <w:color w:val="000000"/>
      </w:rPr>
    </w:lvl>
    <w:lvl w:ilvl="7">
      <w:start w:val="1"/>
      <w:numFmt w:val="lowerLetter"/>
      <w:pStyle w:val="NTTFlushBullet8"/>
      <w:lvlText w:val="%8."/>
      <w:lvlJc w:val="left"/>
      <w:pPr>
        <w:ind w:left="1134" w:hanging="567"/>
      </w:pPr>
      <w:rPr>
        <w:rFonts w:hint="default"/>
        <w:color w:val="000000"/>
      </w:rPr>
    </w:lvl>
    <w:lvl w:ilvl="8">
      <w:start w:val="1"/>
      <w:numFmt w:val="lowerRoman"/>
      <w:pStyle w:val="NTTFlushBullet9"/>
      <w:lvlText w:val="%9."/>
      <w:lvlJc w:val="left"/>
      <w:pPr>
        <w:ind w:left="1701" w:hanging="567"/>
      </w:pPr>
      <w:rPr>
        <w:rFonts w:hint="default"/>
        <w:color w:val="000000"/>
      </w:rPr>
    </w:lvl>
  </w:abstractNum>
  <w:num w:numId="1" w16cid:durableId="1107852680">
    <w:abstractNumId w:val="8"/>
  </w:num>
  <w:num w:numId="2" w16cid:durableId="1215698329">
    <w:abstractNumId w:val="14"/>
  </w:num>
  <w:num w:numId="3" w16cid:durableId="902790624">
    <w:abstractNumId w:val="9"/>
  </w:num>
  <w:num w:numId="4" w16cid:durableId="1093235555">
    <w:abstractNumId w:val="9"/>
    <w:lvlOverride w:ilvl="0">
      <w:lvl w:ilvl="0">
        <w:start w:val="1"/>
        <w:numFmt w:val="upperLetter"/>
        <w:pStyle w:val="AppendixHeading1"/>
        <w:lvlText w:val="Appendix %1"/>
        <w:lvlJc w:val="left"/>
        <w:pPr>
          <w:ind w:left="360" w:hanging="360"/>
        </w:pPr>
        <w:rPr>
          <w:rFonts w:ascii="Georgia" w:hAnsi="Georgia" w:cs="Arial" w:hint="default"/>
          <w:color w:val="0072BC"/>
          <w:kern w:val="20"/>
          <w:sz w:val="28"/>
          <w:szCs w:val="28"/>
        </w:rPr>
      </w:lvl>
    </w:lvlOverride>
    <w:lvlOverride w:ilvl="1">
      <w:lvl w:ilvl="1">
        <w:start w:val="1"/>
        <w:numFmt w:val="decimal"/>
        <w:pStyle w:val="AppendixHeading2"/>
        <w:lvlText w:val="Appendix %1.%2"/>
        <w:lvlJc w:val="left"/>
        <w:pPr>
          <w:ind w:left="0" w:firstLine="0"/>
        </w:pPr>
        <w:rPr>
          <w:rFonts w:hint="default"/>
          <w:color w:val="2E404D" w:themeColor="text1"/>
          <w:sz w:val="22"/>
          <w:szCs w:val="22"/>
        </w:rPr>
      </w:lvl>
    </w:lvlOverride>
    <w:lvlOverride w:ilvl="2">
      <w:lvl w:ilvl="2">
        <w:start w:val="1"/>
        <w:numFmt w:val="decimal"/>
        <w:pStyle w:val="AppendixHeading3"/>
        <w:lvlText w:val="Appendix %1.%2.%3"/>
        <w:lvlJc w:val="left"/>
        <w:pPr>
          <w:ind w:left="0" w:firstLine="0"/>
        </w:pPr>
        <w:rPr>
          <w:rFonts w:ascii="Arial" w:hAnsi="Arial" w:hint="default"/>
          <w:color w:val="000000"/>
          <w:sz w:val="22"/>
          <w:szCs w:val="22"/>
        </w:rPr>
      </w:lvl>
    </w:lvlOverride>
  </w:num>
  <w:num w:numId="5" w16cid:durableId="1741126396">
    <w:abstractNumId w:val="5"/>
  </w:num>
  <w:num w:numId="6" w16cid:durableId="1196692695">
    <w:abstractNumId w:val="4"/>
    <w:lvlOverride w:ilvl="0">
      <w:lvl w:ilvl="0">
        <w:start w:val="1"/>
        <w:numFmt w:val="bullet"/>
        <w:pStyle w:val="NTTBlueBullet1"/>
        <w:lvlText w:val="●"/>
        <w:lvlJc w:val="left"/>
        <w:pPr>
          <w:tabs>
            <w:tab w:val="num" w:pos="1134"/>
          </w:tabs>
          <w:ind w:left="1134" w:hanging="283"/>
        </w:pPr>
      </w:lvl>
    </w:lvlOverride>
    <w:lvlOverride w:ilvl="1">
      <w:lvl w:ilvl="1">
        <w:start w:val="1"/>
        <w:numFmt w:val="bullet"/>
        <w:pStyle w:val="NTTBlueBullet2"/>
        <w:lvlText w:val="○"/>
        <w:lvlJc w:val="left"/>
        <w:pPr>
          <w:tabs>
            <w:tab w:val="num" w:pos="1418"/>
          </w:tabs>
          <w:ind w:left="1418" w:hanging="284"/>
        </w:pPr>
      </w:lvl>
    </w:lvlOverride>
    <w:lvlOverride w:ilvl="2">
      <w:lvl w:ilvl="2">
        <w:start w:val="1"/>
        <w:numFmt w:val="bullet"/>
        <w:pStyle w:val="NTTBlueBullet3"/>
        <w:lvlText w:val="-"/>
        <w:lvlJc w:val="left"/>
        <w:pPr>
          <w:tabs>
            <w:tab w:val="num" w:pos="1701"/>
          </w:tabs>
          <w:ind w:left="1701" w:hanging="283"/>
        </w:pPr>
      </w:lvl>
    </w:lvlOverride>
    <w:lvlOverride w:ilvl="3">
      <w:lvl w:ilvl="3">
        <w:start w:val="1"/>
        <w:numFmt w:val="decimal"/>
        <w:pStyle w:val="NTTBlueBullet4"/>
        <w:lvlText w:val="%4."/>
        <w:lvlJc w:val="left"/>
        <w:pPr>
          <w:tabs>
            <w:tab w:val="num" w:pos="1418"/>
          </w:tabs>
          <w:ind w:left="1418" w:hanging="567"/>
        </w:pPr>
      </w:lvl>
    </w:lvlOverride>
    <w:lvlOverride w:ilvl="4">
      <w:lvl w:ilvl="4">
        <w:start w:val="1"/>
        <w:numFmt w:val="decimal"/>
        <w:pStyle w:val="NTTBlueBullet5"/>
        <w:lvlText w:val="%4.%5."/>
        <w:lvlJc w:val="left"/>
        <w:pPr>
          <w:tabs>
            <w:tab w:val="num" w:pos="1418"/>
          </w:tabs>
          <w:ind w:left="1418" w:hanging="567"/>
        </w:pPr>
      </w:lvl>
    </w:lvlOverride>
    <w:lvlOverride w:ilvl="5">
      <w:lvl w:ilvl="5">
        <w:start w:val="1"/>
        <w:numFmt w:val="decimal"/>
        <w:pStyle w:val="NTTBlueBullet6"/>
        <w:lvlText w:val="%4.%5.%6."/>
        <w:lvlJc w:val="left"/>
        <w:pPr>
          <w:tabs>
            <w:tab w:val="num" w:pos="1418"/>
          </w:tabs>
          <w:ind w:left="1418" w:hanging="567"/>
        </w:pPr>
      </w:lvl>
    </w:lvlOverride>
    <w:lvlOverride w:ilvl="6">
      <w:lvl w:ilvl="6">
        <w:start w:val="1"/>
        <w:numFmt w:val="decimal"/>
        <w:pStyle w:val="NTTBlueBullet7"/>
        <w:lvlText w:val="%7."/>
        <w:lvlJc w:val="left"/>
        <w:pPr>
          <w:tabs>
            <w:tab w:val="num" w:pos="1418"/>
          </w:tabs>
          <w:ind w:left="1418" w:hanging="567"/>
        </w:pPr>
      </w:lvl>
    </w:lvlOverride>
    <w:lvlOverride w:ilvl="7">
      <w:lvl w:ilvl="7">
        <w:start w:val="1"/>
        <w:numFmt w:val="lowerLetter"/>
        <w:pStyle w:val="NTTBlueBullet8"/>
        <w:lvlText w:val="%8."/>
        <w:lvlJc w:val="left"/>
        <w:pPr>
          <w:tabs>
            <w:tab w:val="num" w:pos="1985"/>
          </w:tabs>
          <w:ind w:left="1985" w:hanging="567"/>
        </w:pPr>
      </w:lvl>
    </w:lvlOverride>
    <w:lvlOverride w:ilvl="8">
      <w:lvl w:ilvl="8">
        <w:start w:val="1"/>
        <w:numFmt w:val="lowerRoman"/>
        <w:pStyle w:val="NTTBlueBullet9"/>
        <w:lvlText w:val="%9."/>
        <w:lvlJc w:val="left"/>
        <w:pPr>
          <w:tabs>
            <w:tab w:val="num" w:pos="2552"/>
          </w:tabs>
          <w:ind w:left="2552" w:hanging="567"/>
        </w:pPr>
      </w:lvl>
    </w:lvlOverride>
  </w:num>
  <w:num w:numId="7" w16cid:durableId="1094739228">
    <w:abstractNumId w:val="17"/>
  </w:num>
  <w:num w:numId="8" w16cid:durableId="775369593">
    <w:abstractNumId w:val="6"/>
    <w:lvlOverride w:ilvl="0">
      <w:lvl w:ilvl="0">
        <w:start w:val="1"/>
        <w:numFmt w:val="bullet"/>
        <w:pStyle w:val="NTTBlueTableBullet1"/>
        <w:lvlText w:val="●"/>
        <w:lvlJc w:val="left"/>
        <w:pPr>
          <w:tabs>
            <w:tab w:val="num" w:pos="283"/>
          </w:tabs>
          <w:ind w:left="283" w:hanging="283"/>
        </w:pPr>
      </w:lvl>
    </w:lvlOverride>
    <w:lvlOverride w:ilvl="1">
      <w:lvl w:ilvl="1">
        <w:start w:val="1"/>
        <w:numFmt w:val="bullet"/>
        <w:pStyle w:val="NTTBlueTableBullet2"/>
        <w:lvlText w:val="○"/>
        <w:lvlJc w:val="left"/>
        <w:pPr>
          <w:tabs>
            <w:tab w:val="num" w:pos="1134"/>
          </w:tabs>
          <w:ind w:left="1134" w:hanging="284"/>
        </w:pPr>
      </w:lvl>
    </w:lvlOverride>
    <w:lvlOverride w:ilvl="2">
      <w:lvl w:ilvl="2">
        <w:start w:val="1"/>
        <w:numFmt w:val="bullet"/>
        <w:pStyle w:val="NTTBlueTableBullet3"/>
        <w:lvlText w:val="-"/>
        <w:lvlJc w:val="left"/>
        <w:pPr>
          <w:tabs>
            <w:tab w:val="num" w:pos="850"/>
          </w:tabs>
          <w:ind w:left="850" w:hanging="283"/>
        </w:pPr>
      </w:lvl>
    </w:lvlOverride>
    <w:lvlOverride w:ilvl="3">
      <w:lvl w:ilvl="3">
        <w:start w:val="1"/>
        <w:numFmt w:val="decimal"/>
        <w:pStyle w:val="NTTBlueTableBullet4"/>
        <w:lvlText w:val="%4."/>
        <w:lvlJc w:val="left"/>
        <w:pPr>
          <w:tabs>
            <w:tab w:val="num" w:pos="567"/>
          </w:tabs>
          <w:ind w:left="567" w:hanging="567"/>
        </w:pPr>
      </w:lvl>
    </w:lvlOverride>
    <w:lvlOverride w:ilvl="4">
      <w:lvl w:ilvl="4">
        <w:start w:val="1"/>
        <w:numFmt w:val="decimal"/>
        <w:pStyle w:val="NTTBlueTableBullet5"/>
        <w:lvlText w:val="%4.%5."/>
        <w:lvlJc w:val="left"/>
        <w:pPr>
          <w:tabs>
            <w:tab w:val="num" w:pos="567"/>
          </w:tabs>
          <w:ind w:left="567" w:hanging="567"/>
        </w:pPr>
      </w:lvl>
    </w:lvlOverride>
    <w:lvlOverride w:ilvl="5">
      <w:lvl w:ilvl="5">
        <w:start w:val="1"/>
        <w:numFmt w:val="decimal"/>
        <w:pStyle w:val="NTTBlueTableBullet6"/>
        <w:lvlText w:val="%4.%5.%6."/>
        <w:lvlJc w:val="left"/>
        <w:pPr>
          <w:tabs>
            <w:tab w:val="num" w:pos="567"/>
          </w:tabs>
          <w:ind w:left="567" w:hanging="567"/>
        </w:pPr>
      </w:lvl>
    </w:lvlOverride>
    <w:lvlOverride w:ilvl="6">
      <w:lvl w:ilvl="6">
        <w:start w:val="1"/>
        <w:numFmt w:val="decimal"/>
        <w:pStyle w:val="NTTBlueTableBullet7"/>
        <w:lvlText w:val="%7."/>
        <w:lvlJc w:val="left"/>
        <w:pPr>
          <w:tabs>
            <w:tab w:val="num" w:pos="567"/>
          </w:tabs>
          <w:ind w:left="567" w:hanging="567"/>
        </w:pPr>
      </w:lvl>
    </w:lvlOverride>
    <w:lvlOverride w:ilvl="7">
      <w:lvl w:ilvl="7">
        <w:start w:val="1"/>
        <w:numFmt w:val="lowerLetter"/>
        <w:pStyle w:val="NTTBlueTableBullet8"/>
        <w:lvlText w:val="%8."/>
        <w:lvlJc w:val="left"/>
        <w:pPr>
          <w:tabs>
            <w:tab w:val="num" w:pos="1134"/>
          </w:tabs>
          <w:ind w:left="1134" w:hanging="567"/>
        </w:pPr>
      </w:lvl>
    </w:lvlOverride>
    <w:lvlOverride w:ilvl="8">
      <w:lvl w:ilvl="8">
        <w:start w:val="1"/>
        <w:numFmt w:val="lowerRoman"/>
        <w:pStyle w:val="NTTBlueTableBullet9"/>
        <w:lvlText w:val="%9."/>
        <w:lvlJc w:val="left"/>
        <w:pPr>
          <w:tabs>
            <w:tab w:val="num" w:pos="1701"/>
          </w:tabs>
          <w:ind w:left="1701" w:hanging="567"/>
        </w:pPr>
      </w:lvl>
    </w:lvlOverride>
  </w:num>
  <w:num w:numId="9" w16cid:durableId="1049841814">
    <w:abstractNumId w:val="11"/>
  </w:num>
  <w:num w:numId="10" w16cid:durableId="1218661965">
    <w:abstractNumId w:val="15"/>
  </w:num>
  <w:num w:numId="11" w16cid:durableId="347412455">
    <w:abstractNumId w:val="21"/>
  </w:num>
  <w:num w:numId="12" w16cid:durableId="1882672173">
    <w:abstractNumId w:val="11"/>
    <w:lvlOverride w:ilvl="0">
      <w:lvl w:ilvl="0">
        <w:start w:val="1"/>
        <w:numFmt w:val="bullet"/>
        <w:pStyle w:val="NTTBullet1"/>
        <w:lvlText w:val="●"/>
        <w:lvlJc w:val="left"/>
        <w:pPr>
          <w:tabs>
            <w:tab w:val="num" w:pos="1134"/>
          </w:tabs>
          <w:ind w:left="1134" w:hanging="283"/>
        </w:pPr>
      </w:lvl>
    </w:lvlOverride>
  </w:num>
  <w:num w:numId="13" w16cid:durableId="1496800376">
    <w:abstractNumId w:val="15"/>
    <w:lvlOverride w:ilvl="0">
      <w:lvl w:ilvl="0">
        <w:start w:val="1"/>
        <w:numFmt w:val="bullet"/>
        <w:pStyle w:val="NTTFlushBlueBullet1"/>
        <w:lvlText w:val="●"/>
        <w:lvlJc w:val="left"/>
        <w:pPr>
          <w:ind w:left="284" w:hanging="284"/>
        </w:pPr>
      </w:lvl>
    </w:lvlOverride>
    <w:lvlOverride w:ilvl="1">
      <w:lvl w:ilvl="1">
        <w:start w:val="1"/>
        <w:numFmt w:val="bullet"/>
        <w:pStyle w:val="NTTFlushBlueBullet2"/>
        <w:lvlText w:val="○"/>
        <w:lvlJc w:val="left"/>
        <w:pPr>
          <w:ind w:left="567" w:hanging="283"/>
        </w:pPr>
      </w:lvl>
    </w:lvlOverride>
    <w:lvlOverride w:ilvl="2">
      <w:lvl w:ilvl="2">
        <w:start w:val="1"/>
        <w:numFmt w:val="bullet"/>
        <w:pStyle w:val="NTTFlushBlueBullet3"/>
        <w:lvlText w:val="-"/>
        <w:lvlJc w:val="left"/>
        <w:pPr>
          <w:ind w:left="851" w:hanging="284"/>
        </w:pPr>
      </w:lvl>
    </w:lvlOverride>
    <w:lvlOverride w:ilvl="3">
      <w:lvl w:ilvl="3">
        <w:start w:val="1"/>
        <w:numFmt w:val="decimal"/>
        <w:pStyle w:val="NTTFlushBlueBullet4"/>
        <w:isLgl/>
        <w:lvlText w:val="%4."/>
        <w:lvlJc w:val="left"/>
        <w:pPr>
          <w:ind w:left="567" w:hanging="567"/>
        </w:pPr>
      </w:lvl>
    </w:lvlOverride>
    <w:lvlOverride w:ilvl="4">
      <w:lvl w:ilvl="4">
        <w:start w:val="1"/>
        <w:numFmt w:val="decimal"/>
        <w:pStyle w:val="NTTFlushBlueBullet5"/>
        <w:isLgl/>
        <w:lvlText w:val="%4.%5"/>
        <w:lvlJc w:val="left"/>
        <w:pPr>
          <w:ind w:left="567" w:hanging="567"/>
        </w:pPr>
      </w:lvl>
    </w:lvlOverride>
    <w:lvlOverride w:ilvl="5">
      <w:lvl w:ilvl="5">
        <w:start w:val="1"/>
        <w:numFmt w:val="decimal"/>
        <w:pStyle w:val="NTTFlushBlueBullet6"/>
        <w:isLgl/>
        <w:lvlText w:val="%4.%5.%6"/>
        <w:lvlJc w:val="left"/>
        <w:pPr>
          <w:ind w:left="567" w:hanging="567"/>
        </w:pPr>
      </w:lvl>
    </w:lvlOverride>
    <w:lvlOverride w:ilvl="6">
      <w:lvl w:ilvl="6">
        <w:start w:val="1"/>
        <w:numFmt w:val="decimal"/>
        <w:lvlRestart w:val="0"/>
        <w:pStyle w:val="NTTFlushBlueBullet7"/>
        <w:lvlText w:val="%7."/>
        <w:lvlJc w:val="left"/>
        <w:pPr>
          <w:ind w:left="567" w:hanging="567"/>
        </w:pPr>
      </w:lvl>
    </w:lvlOverride>
    <w:lvlOverride w:ilvl="7">
      <w:lvl w:ilvl="7">
        <w:start w:val="1"/>
        <w:numFmt w:val="lowerLetter"/>
        <w:pStyle w:val="NTTFlushBlueBullet8"/>
        <w:lvlText w:val="%8."/>
        <w:lvlJc w:val="left"/>
        <w:pPr>
          <w:ind w:left="1134" w:hanging="567"/>
        </w:pPr>
      </w:lvl>
    </w:lvlOverride>
    <w:lvlOverride w:ilvl="8">
      <w:lvl w:ilvl="8">
        <w:start w:val="1"/>
        <w:numFmt w:val="lowerRoman"/>
        <w:pStyle w:val="NTTFlushBlueBullet9"/>
        <w:lvlText w:val="%9."/>
        <w:lvlJc w:val="left"/>
        <w:pPr>
          <w:ind w:left="1701" w:hanging="567"/>
        </w:pPr>
      </w:lvl>
    </w:lvlOverride>
  </w:num>
  <w:num w:numId="14" w16cid:durableId="976255163">
    <w:abstractNumId w:val="21"/>
    <w:lvlOverride w:ilvl="0">
      <w:lvl w:ilvl="0">
        <w:start w:val="1"/>
        <w:numFmt w:val="bullet"/>
        <w:pStyle w:val="NTTFlushBullet1"/>
        <w:lvlText w:val="●"/>
        <w:lvlJc w:val="left"/>
        <w:pPr>
          <w:ind w:left="284" w:hanging="284"/>
        </w:pPr>
        <w:rPr>
          <w:rFonts w:ascii="Arial" w:hAnsi="Arial" w:hint="default"/>
          <w:b w:val="0"/>
          <w:i w:val="0"/>
          <w:color w:val="000000"/>
          <w:kern w:val="20"/>
          <w:sz w:val="20"/>
        </w:rPr>
      </w:lvl>
    </w:lvlOverride>
    <w:lvlOverride w:ilvl="1">
      <w:lvl w:ilvl="1">
        <w:start w:val="1"/>
        <w:numFmt w:val="bullet"/>
        <w:pStyle w:val="NTTFlushBullet2"/>
        <w:lvlText w:val="○"/>
        <w:lvlJc w:val="left"/>
        <w:pPr>
          <w:ind w:left="567" w:hanging="283"/>
        </w:pPr>
        <w:rPr>
          <w:rFonts w:ascii="Arial" w:hAnsi="Arial" w:cs="Times New Roman" w:hint="default"/>
          <w:b w:val="0"/>
          <w:i w:val="0"/>
          <w:color w:val="000000"/>
          <w:sz w:val="20"/>
        </w:rPr>
      </w:lvl>
    </w:lvlOverride>
    <w:lvlOverride w:ilvl="2">
      <w:lvl w:ilvl="2">
        <w:start w:val="1"/>
        <w:numFmt w:val="bullet"/>
        <w:pStyle w:val="NTTFlushBullet3"/>
        <w:lvlText w:val="-"/>
        <w:lvlJc w:val="left"/>
        <w:pPr>
          <w:ind w:left="851" w:hanging="284"/>
        </w:pPr>
        <w:rPr>
          <w:rFonts w:ascii="Arial" w:hAnsi="Arial" w:cs="Times New Roman" w:hint="default"/>
          <w:b w:val="0"/>
          <w:i w:val="0"/>
          <w:color w:val="000000"/>
          <w:sz w:val="20"/>
        </w:rPr>
      </w:lvl>
    </w:lvlOverride>
    <w:lvlOverride w:ilvl="3">
      <w:lvl w:ilvl="3">
        <w:start w:val="1"/>
        <w:numFmt w:val="decimal"/>
        <w:pStyle w:val="NTTFlushBullet4"/>
        <w:isLgl/>
        <w:lvlText w:val="%4."/>
        <w:lvlJc w:val="left"/>
        <w:pPr>
          <w:ind w:left="567" w:hanging="567"/>
        </w:pPr>
      </w:lvl>
    </w:lvlOverride>
    <w:lvlOverride w:ilvl="4">
      <w:lvl w:ilvl="4">
        <w:start w:val="1"/>
        <w:numFmt w:val="decimal"/>
        <w:pStyle w:val="NTTFlushBullet5"/>
        <w:isLgl/>
        <w:lvlText w:val="%4.%5"/>
        <w:lvlJc w:val="left"/>
        <w:pPr>
          <w:ind w:left="567" w:hanging="567"/>
        </w:pPr>
      </w:lvl>
    </w:lvlOverride>
    <w:lvlOverride w:ilvl="5">
      <w:lvl w:ilvl="5">
        <w:start w:val="1"/>
        <w:numFmt w:val="decimal"/>
        <w:pStyle w:val="NTTFlushBullet6"/>
        <w:isLgl/>
        <w:lvlText w:val="%4.%5.%6"/>
        <w:lvlJc w:val="left"/>
        <w:pPr>
          <w:ind w:left="567" w:hanging="567"/>
        </w:pPr>
      </w:lvl>
    </w:lvlOverride>
    <w:lvlOverride w:ilvl="6">
      <w:lvl w:ilvl="6">
        <w:start w:val="1"/>
        <w:numFmt w:val="decimal"/>
        <w:pStyle w:val="NTTFlushBullet7"/>
        <w:lvlText w:val="%7."/>
        <w:lvlJc w:val="left"/>
        <w:pPr>
          <w:ind w:left="567" w:hanging="567"/>
        </w:pPr>
        <w:rPr>
          <w:rFonts w:hint="default"/>
          <w:color w:val="000000"/>
        </w:rPr>
      </w:lvl>
    </w:lvlOverride>
    <w:lvlOverride w:ilvl="7">
      <w:lvl w:ilvl="7">
        <w:start w:val="1"/>
        <w:numFmt w:val="lowerLetter"/>
        <w:pStyle w:val="NTTFlushBullet8"/>
        <w:lvlText w:val="%8."/>
        <w:lvlJc w:val="left"/>
        <w:pPr>
          <w:ind w:left="1134" w:hanging="567"/>
        </w:pPr>
        <w:rPr>
          <w:rFonts w:hint="default"/>
          <w:color w:val="000000"/>
        </w:rPr>
      </w:lvl>
    </w:lvlOverride>
    <w:lvlOverride w:ilvl="8">
      <w:lvl w:ilvl="8">
        <w:start w:val="1"/>
        <w:numFmt w:val="lowerRoman"/>
        <w:pStyle w:val="NTTFlushBullet9"/>
        <w:lvlText w:val="%9."/>
        <w:lvlJc w:val="left"/>
        <w:pPr>
          <w:ind w:left="1701" w:hanging="567"/>
        </w:pPr>
        <w:rPr>
          <w:rFonts w:hint="default"/>
          <w:color w:val="000000"/>
        </w:rPr>
      </w:lvl>
    </w:lvlOverride>
  </w:num>
  <w:num w:numId="15" w16cid:durableId="1685861503">
    <w:abstractNumId w:val="10"/>
  </w:num>
  <w:num w:numId="16" w16cid:durableId="913511098">
    <w:abstractNumId w:val="12"/>
  </w:num>
  <w:num w:numId="17" w16cid:durableId="689137048">
    <w:abstractNumId w:val="16"/>
  </w:num>
  <w:num w:numId="18" w16cid:durableId="89932287">
    <w:abstractNumId w:val="16"/>
    <w:lvlOverride w:ilvl="0">
      <w:lvl w:ilvl="0">
        <w:numFmt w:val="decimal"/>
        <w:lvlText w:val=""/>
        <w:lvlJc w:val="left"/>
      </w:lvl>
    </w:lvlOverride>
    <w:lvlOverride w:ilvl="1">
      <w:lvl w:ilvl="1">
        <w:start w:val="1"/>
        <w:numFmt w:val="bullet"/>
        <w:pStyle w:val="NTTTableBullet2"/>
        <w:lvlText w:val="○"/>
        <w:lvlJc w:val="left"/>
        <w:pPr>
          <w:tabs>
            <w:tab w:val="num" w:pos="567"/>
          </w:tabs>
          <w:ind w:left="567" w:hanging="283"/>
        </w:pPr>
      </w:lvl>
    </w:lvlOverride>
    <w:lvlOverride w:ilvl="2">
      <w:lvl w:ilvl="2">
        <w:start w:val="1"/>
        <w:numFmt w:val="bullet"/>
        <w:pStyle w:val="NTTTableBullet3"/>
        <w:lvlText w:val="-"/>
        <w:lvlJc w:val="left"/>
        <w:pPr>
          <w:tabs>
            <w:tab w:val="num" w:pos="851"/>
          </w:tabs>
          <w:ind w:left="851" w:hanging="284"/>
        </w:pPr>
      </w:lvl>
    </w:lvlOverride>
  </w:num>
  <w:num w:numId="19" w16cid:durableId="864438166">
    <w:abstractNumId w:val="2"/>
  </w:num>
  <w:num w:numId="20" w16cid:durableId="1573076371">
    <w:abstractNumId w:val="20"/>
  </w:num>
  <w:num w:numId="21" w16cid:durableId="527986321">
    <w:abstractNumId w:val="3"/>
  </w:num>
  <w:num w:numId="22" w16cid:durableId="1001859300">
    <w:abstractNumId w:val="0"/>
  </w:num>
  <w:num w:numId="23" w16cid:durableId="1250456801">
    <w:abstractNumId w:val="7"/>
  </w:num>
  <w:num w:numId="24" w16cid:durableId="12449959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22051722">
    <w:abstractNumId w:val="13"/>
  </w:num>
  <w:num w:numId="26" w16cid:durableId="846137730">
    <w:abstractNumId w:val="18"/>
  </w:num>
  <w:num w:numId="27" w16cid:durableId="277639401">
    <w:abstractNumId w:val="13"/>
    <w:lvlOverride w:ilvl="0">
      <w:lvl w:ilvl="0">
        <w:numFmt w:val="decimal"/>
        <w:lvlText w:val=""/>
        <w:lvlJc w:val="left"/>
      </w:lvl>
    </w:lvlOverride>
    <w:lvlOverride w:ilvl="1">
      <w:lvl w:ilvl="1">
        <w:start w:val="1"/>
        <w:numFmt w:val="bullet"/>
        <w:pStyle w:val="NTTBlueBoldBullet"/>
        <w:lvlText w:val="●"/>
        <w:lvlJc w:val="left"/>
        <w:pPr>
          <w:tabs>
            <w:tab w:val="num" w:pos="851"/>
          </w:tabs>
          <w:ind w:left="1134" w:hanging="283"/>
        </w:pPr>
      </w:lvl>
    </w:lvlOverride>
    <w:lvlOverride w:ilvl="2">
      <w:lvl w:ilvl="2">
        <w:start w:val="1"/>
        <w:numFmt w:val="bullet"/>
        <w:pStyle w:val="NTTBoldBullet"/>
        <w:lvlText w:val="●"/>
        <w:lvlJc w:val="left"/>
        <w:pPr>
          <w:tabs>
            <w:tab w:val="num" w:pos="851"/>
          </w:tabs>
          <w:ind w:left="1134" w:hanging="283"/>
        </w:pPr>
        <w:rPr>
          <w:rFonts w:ascii="Arial" w:hAnsi="Arial" w:hint="default"/>
          <w:color w:val="000000"/>
          <w:sz w:val="20"/>
        </w:rPr>
      </w:lvl>
    </w:lvlOverride>
    <w:lvlOverride w:ilvl="3">
      <w:lvl w:ilvl="3">
        <w:start w:val="1"/>
        <w:numFmt w:val="bullet"/>
        <w:pStyle w:val="NTTRedBoldBullet"/>
        <w:lvlText w:val="●"/>
        <w:lvlJc w:val="left"/>
        <w:pPr>
          <w:ind w:left="1134" w:hanging="283"/>
        </w:pPr>
      </w:lvl>
    </w:lvlOverride>
  </w:num>
  <w:num w:numId="28" w16cid:durableId="1579822831">
    <w:abstractNumId w:val="18"/>
    <w:lvlOverride w:ilvl="0">
      <w:lvl w:ilvl="0">
        <w:start w:val="1"/>
        <w:numFmt w:val="bullet"/>
        <w:pStyle w:val="GuidanceText3Bullet"/>
        <w:lvlText w:val="●"/>
        <w:lvlJc w:val="left"/>
        <w:pPr>
          <w:tabs>
            <w:tab w:val="num" w:pos="1418"/>
          </w:tabs>
          <w:ind w:left="1134" w:hanging="283"/>
        </w:pPr>
        <w:rPr>
          <w:rFonts w:ascii="Arial" w:hAnsi="Arial" w:hint="default"/>
          <w:color w:val="2E404D" w:themeColor="text1"/>
          <w:kern w:val="20"/>
          <w:sz w:val="20"/>
        </w:rPr>
      </w:lvl>
    </w:lvlOverride>
    <w:lvlOverride w:ilvl="1">
      <w:lvl w:ilvl="1">
        <w:start w:val="1"/>
        <w:numFmt w:val="decimal"/>
        <w:pStyle w:val="GuidanceText4List"/>
        <w:lvlText w:val="%2. "/>
        <w:lvlJc w:val="left"/>
        <w:pPr>
          <w:tabs>
            <w:tab w:val="num" w:pos="1418"/>
          </w:tabs>
          <w:ind w:left="1134" w:hanging="283"/>
        </w:pPr>
      </w:lvl>
    </w:lvlOverride>
    <w:lvlOverride w:ilvl="2">
      <w:lvl w:ilvl="2">
        <w:start w:val="1"/>
        <w:numFmt w:val="bullet"/>
        <w:pStyle w:val="NTTBlueNotedText3Bullet"/>
        <w:lvlText w:val="●"/>
        <w:lvlJc w:val="left"/>
        <w:pPr>
          <w:tabs>
            <w:tab w:val="num" w:pos="1418"/>
          </w:tabs>
          <w:ind w:left="1134" w:hanging="283"/>
        </w:pPr>
      </w:lvl>
    </w:lvlOverride>
    <w:lvlOverride w:ilvl="3">
      <w:lvl w:ilvl="3">
        <w:start w:val="1"/>
        <w:numFmt w:val="decimal"/>
        <w:pStyle w:val="NTTBlueNotedText4List"/>
        <w:lvlText w:val="%4."/>
        <w:lvlJc w:val="left"/>
        <w:pPr>
          <w:tabs>
            <w:tab w:val="num" w:pos="1418"/>
          </w:tabs>
          <w:ind w:left="1134" w:hanging="283"/>
        </w:pPr>
      </w:lvl>
    </w:lvlOverride>
  </w:num>
  <w:num w:numId="29" w16cid:durableId="1085684408">
    <w:abstractNumId w:val="1"/>
  </w:num>
  <w:num w:numId="30" w16cid:durableId="373694254">
    <w:abstractNumId w:val="1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efaultTabStop w:val="720"/>
  <w:defaultTableStyle w:val="NTTFutureBlue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A2B"/>
    <w:rsid w:val="00003961"/>
    <w:rsid w:val="00005B85"/>
    <w:rsid w:val="00007E75"/>
    <w:rsid w:val="000115AE"/>
    <w:rsid w:val="00015970"/>
    <w:rsid w:val="00017FEE"/>
    <w:rsid w:val="0002263F"/>
    <w:rsid w:val="0002407A"/>
    <w:rsid w:val="00024F12"/>
    <w:rsid w:val="000274F2"/>
    <w:rsid w:val="000323BE"/>
    <w:rsid w:val="00034CD3"/>
    <w:rsid w:val="00035DE0"/>
    <w:rsid w:val="00040430"/>
    <w:rsid w:val="0004099E"/>
    <w:rsid w:val="00041570"/>
    <w:rsid w:val="00041D81"/>
    <w:rsid w:val="0004242C"/>
    <w:rsid w:val="000433E6"/>
    <w:rsid w:val="00045EA2"/>
    <w:rsid w:val="000468DB"/>
    <w:rsid w:val="000517EA"/>
    <w:rsid w:val="000527C0"/>
    <w:rsid w:val="0005313C"/>
    <w:rsid w:val="00055607"/>
    <w:rsid w:val="0006047F"/>
    <w:rsid w:val="000609A4"/>
    <w:rsid w:val="0006107A"/>
    <w:rsid w:val="0006332B"/>
    <w:rsid w:val="00063492"/>
    <w:rsid w:val="00063F40"/>
    <w:rsid w:val="00065506"/>
    <w:rsid w:val="000665F4"/>
    <w:rsid w:val="000700D5"/>
    <w:rsid w:val="000737B3"/>
    <w:rsid w:val="000744E6"/>
    <w:rsid w:val="00074E27"/>
    <w:rsid w:val="00077906"/>
    <w:rsid w:val="00080405"/>
    <w:rsid w:val="0008094F"/>
    <w:rsid w:val="000838A6"/>
    <w:rsid w:val="000844A8"/>
    <w:rsid w:val="00087AB0"/>
    <w:rsid w:val="00087B72"/>
    <w:rsid w:val="00090CD0"/>
    <w:rsid w:val="00092FAB"/>
    <w:rsid w:val="0009728F"/>
    <w:rsid w:val="00097EDC"/>
    <w:rsid w:val="000A40F9"/>
    <w:rsid w:val="000A6681"/>
    <w:rsid w:val="000A6B60"/>
    <w:rsid w:val="000B08B9"/>
    <w:rsid w:val="000B1D87"/>
    <w:rsid w:val="000B2C67"/>
    <w:rsid w:val="000C4CE6"/>
    <w:rsid w:val="000C5455"/>
    <w:rsid w:val="000C717C"/>
    <w:rsid w:val="000D0D7C"/>
    <w:rsid w:val="000D1E19"/>
    <w:rsid w:val="000D1E53"/>
    <w:rsid w:val="000D39CF"/>
    <w:rsid w:val="000D64A5"/>
    <w:rsid w:val="000E5BF0"/>
    <w:rsid w:val="000E79C2"/>
    <w:rsid w:val="000F26E1"/>
    <w:rsid w:val="000F2BF8"/>
    <w:rsid w:val="000F4E55"/>
    <w:rsid w:val="000F61DC"/>
    <w:rsid w:val="001029AB"/>
    <w:rsid w:val="00105F87"/>
    <w:rsid w:val="00110207"/>
    <w:rsid w:val="001120D8"/>
    <w:rsid w:val="001177DE"/>
    <w:rsid w:val="00121AA7"/>
    <w:rsid w:val="0015224D"/>
    <w:rsid w:val="001528EA"/>
    <w:rsid w:val="0015524B"/>
    <w:rsid w:val="00163C9F"/>
    <w:rsid w:val="0016524F"/>
    <w:rsid w:val="00166358"/>
    <w:rsid w:val="00166A8F"/>
    <w:rsid w:val="00171FB4"/>
    <w:rsid w:val="00173802"/>
    <w:rsid w:val="001839DC"/>
    <w:rsid w:val="0019223B"/>
    <w:rsid w:val="0019364C"/>
    <w:rsid w:val="00196899"/>
    <w:rsid w:val="001B2526"/>
    <w:rsid w:val="001B2722"/>
    <w:rsid w:val="001B4701"/>
    <w:rsid w:val="001B6B73"/>
    <w:rsid w:val="001B6FA1"/>
    <w:rsid w:val="001B7269"/>
    <w:rsid w:val="001B78DD"/>
    <w:rsid w:val="001C17FF"/>
    <w:rsid w:val="001C5D50"/>
    <w:rsid w:val="001C7579"/>
    <w:rsid w:val="001C7DE4"/>
    <w:rsid w:val="001D44F0"/>
    <w:rsid w:val="001D5785"/>
    <w:rsid w:val="001D6BFC"/>
    <w:rsid w:val="001E26B9"/>
    <w:rsid w:val="001E6B53"/>
    <w:rsid w:val="001E6B54"/>
    <w:rsid w:val="001F16B4"/>
    <w:rsid w:val="001F3950"/>
    <w:rsid w:val="001F5D40"/>
    <w:rsid w:val="00200761"/>
    <w:rsid w:val="00200851"/>
    <w:rsid w:val="00203E74"/>
    <w:rsid w:val="00206D5F"/>
    <w:rsid w:val="002073A5"/>
    <w:rsid w:val="0021493D"/>
    <w:rsid w:val="00220352"/>
    <w:rsid w:val="002245D3"/>
    <w:rsid w:val="00233C77"/>
    <w:rsid w:val="00234E0F"/>
    <w:rsid w:val="002405C3"/>
    <w:rsid w:val="00241C99"/>
    <w:rsid w:val="00241D70"/>
    <w:rsid w:val="002474C0"/>
    <w:rsid w:val="00251212"/>
    <w:rsid w:val="002516BE"/>
    <w:rsid w:val="00252A11"/>
    <w:rsid w:val="002566F1"/>
    <w:rsid w:val="00257804"/>
    <w:rsid w:val="002601CE"/>
    <w:rsid w:val="00261F41"/>
    <w:rsid w:val="00263F18"/>
    <w:rsid w:val="00264A0B"/>
    <w:rsid w:val="00273C5F"/>
    <w:rsid w:val="00276838"/>
    <w:rsid w:val="00276902"/>
    <w:rsid w:val="002818CC"/>
    <w:rsid w:val="002833B9"/>
    <w:rsid w:val="00286EE7"/>
    <w:rsid w:val="0029164D"/>
    <w:rsid w:val="002921D0"/>
    <w:rsid w:val="002951FF"/>
    <w:rsid w:val="002A1E58"/>
    <w:rsid w:val="002A3108"/>
    <w:rsid w:val="002B2736"/>
    <w:rsid w:val="002B2E8E"/>
    <w:rsid w:val="002B41C2"/>
    <w:rsid w:val="002C14FA"/>
    <w:rsid w:val="002D4950"/>
    <w:rsid w:val="002D5C94"/>
    <w:rsid w:val="002E0609"/>
    <w:rsid w:val="002E0FC8"/>
    <w:rsid w:val="002E5F86"/>
    <w:rsid w:val="002E6DF2"/>
    <w:rsid w:val="002E7929"/>
    <w:rsid w:val="002F04C0"/>
    <w:rsid w:val="002F0C0F"/>
    <w:rsid w:val="002F63B9"/>
    <w:rsid w:val="002F6FAB"/>
    <w:rsid w:val="00300C38"/>
    <w:rsid w:val="00303899"/>
    <w:rsid w:val="00304762"/>
    <w:rsid w:val="0030602F"/>
    <w:rsid w:val="00313222"/>
    <w:rsid w:val="0031324D"/>
    <w:rsid w:val="003144A7"/>
    <w:rsid w:val="00314CC2"/>
    <w:rsid w:val="00317EB1"/>
    <w:rsid w:val="00322BA7"/>
    <w:rsid w:val="003240E1"/>
    <w:rsid w:val="00325166"/>
    <w:rsid w:val="00325782"/>
    <w:rsid w:val="00325B43"/>
    <w:rsid w:val="0032700D"/>
    <w:rsid w:val="00327041"/>
    <w:rsid w:val="0033601E"/>
    <w:rsid w:val="003364A4"/>
    <w:rsid w:val="003402D3"/>
    <w:rsid w:val="0034463E"/>
    <w:rsid w:val="00352134"/>
    <w:rsid w:val="003528AD"/>
    <w:rsid w:val="00353C88"/>
    <w:rsid w:val="0035680A"/>
    <w:rsid w:val="003573A5"/>
    <w:rsid w:val="00357C5C"/>
    <w:rsid w:val="00360B00"/>
    <w:rsid w:val="00362133"/>
    <w:rsid w:val="003768F0"/>
    <w:rsid w:val="00380132"/>
    <w:rsid w:val="00382304"/>
    <w:rsid w:val="00390681"/>
    <w:rsid w:val="00392431"/>
    <w:rsid w:val="00394D3B"/>
    <w:rsid w:val="003A4083"/>
    <w:rsid w:val="003A672B"/>
    <w:rsid w:val="003A6929"/>
    <w:rsid w:val="003B0323"/>
    <w:rsid w:val="003B189A"/>
    <w:rsid w:val="003B60E3"/>
    <w:rsid w:val="003B6C7A"/>
    <w:rsid w:val="003B751A"/>
    <w:rsid w:val="003C2784"/>
    <w:rsid w:val="003C5FC5"/>
    <w:rsid w:val="003C7AD3"/>
    <w:rsid w:val="003D071A"/>
    <w:rsid w:val="003D12EC"/>
    <w:rsid w:val="003D3A54"/>
    <w:rsid w:val="003D4072"/>
    <w:rsid w:val="003D475D"/>
    <w:rsid w:val="003D63E9"/>
    <w:rsid w:val="003E0376"/>
    <w:rsid w:val="003E0A16"/>
    <w:rsid w:val="003E17A8"/>
    <w:rsid w:val="003E307D"/>
    <w:rsid w:val="003E3C2F"/>
    <w:rsid w:val="003E488D"/>
    <w:rsid w:val="003E4F03"/>
    <w:rsid w:val="003F0900"/>
    <w:rsid w:val="004004D9"/>
    <w:rsid w:val="00403817"/>
    <w:rsid w:val="0040405A"/>
    <w:rsid w:val="004053F9"/>
    <w:rsid w:val="00407F62"/>
    <w:rsid w:val="004102DE"/>
    <w:rsid w:val="0041140F"/>
    <w:rsid w:val="004125F9"/>
    <w:rsid w:val="00412CB2"/>
    <w:rsid w:val="00413A77"/>
    <w:rsid w:val="004177A0"/>
    <w:rsid w:val="00420B06"/>
    <w:rsid w:val="004214D7"/>
    <w:rsid w:val="0042322D"/>
    <w:rsid w:val="00424D85"/>
    <w:rsid w:val="00426C37"/>
    <w:rsid w:val="00430BB1"/>
    <w:rsid w:val="004312B5"/>
    <w:rsid w:val="00431624"/>
    <w:rsid w:val="00432C25"/>
    <w:rsid w:val="0043434E"/>
    <w:rsid w:val="00435CAE"/>
    <w:rsid w:val="00437584"/>
    <w:rsid w:val="0044104B"/>
    <w:rsid w:val="00443962"/>
    <w:rsid w:val="004554EA"/>
    <w:rsid w:val="00462F14"/>
    <w:rsid w:val="004703D8"/>
    <w:rsid w:val="00472877"/>
    <w:rsid w:val="00474489"/>
    <w:rsid w:val="004777A3"/>
    <w:rsid w:val="00480584"/>
    <w:rsid w:val="00483398"/>
    <w:rsid w:val="0048541E"/>
    <w:rsid w:val="00486632"/>
    <w:rsid w:val="0049045D"/>
    <w:rsid w:val="004905CA"/>
    <w:rsid w:val="00490E0D"/>
    <w:rsid w:val="00490E94"/>
    <w:rsid w:val="0049383B"/>
    <w:rsid w:val="00493EA0"/>
    <w:rsid w:val="00496202"/>
    <w:rsid w:val="0049741E"/>
    <w:rsid w:val="004A2853"/>
    <w:rsid w:val="004A331C"/>
    <w:rsid w:val="004A3327"/>
    <w:rsid w:val="004A41AB"/>
    <w:rsid w:val="004A5653"/>
    <w:rsid w:val="004B277B"/>
    <w:rsid w:val="004B53D9"/>
    <w:rsid w:val="004B7585"/>
    <w:rsid w:val="004C2406"/>
    <w:rsid w:val="004C51F1"/>
    <w:rsid w:val="004C6CA4"/>
    <w:rsid w:val="004D35A5"/>
    <w:rsid w:val="004D6BFC"/>
    <w:rsid w:val="004D7011"/>
    <w:rsid w:val="004E08F3"/>
    <w:rsid w:val="004E0A87"/>
    <w:rsid w:val="004E11FE"/>
    <w:rsid w:val="004E3244"/>
    <w:rsid w:val="004F499A"/>
    <w:rsid w:val="004F6B57"/>
    <w:rsid w:val="004F71FC"/>
    <w:rsid w:val="00500E20"/>
    <w:rsid w:val="00507AF6"/>
    <w:rsid w:val="005118B0"/>
    <w:rsid w:val="005127EF"/>
    <w:rsid w:val="0051300F"/>
    <w:rsid w:val="00514BCF"/>
    <w:rsid w:val="00520C6D"/>
    <w:rsid w:val="00522EE4"/>
    <w:rsid w:val="00522EF9"/>
    <w:rsid w:val="00523382"/>
    <w:rsid w:val="00524470"/>
    <w:rsid w:val="00524F9E"/>
    <w:rsid w:val="00526F58"/>
    <w:rsid w:val="005315DC"/>
    <w:rsid w:val="005339F1"/>
    <w:rsid w:val="00534DF6"/>
    <w:rsid w:val="00535D4E"/>
    <w:rsid w:val="00543BD3"/>
    <w:rsid w:val="00546641"/>
    <w:rsid w:val="005475C3"/>
    <w:rsid w:val="0055448E"/>
    <w:rsid w:val="00560771"/>
    <w:rsid w:val="00561FB3"/>
    <w:rsid w:val="0056321F"/>
    <w:rsid w:val="00565C58"/>
    <w:rsid w:val="00567026"/>
    <w:rsid w:val="005675A2"/>
    <w:rsid w:val="0057139C"/>
    <w:rsid w:val="00573BFC"/>
    <w:rsid w:val="00583426"/>
    <w:rsid w:val="00587448"/>
    <w:rsid w:val="0059200F"/>
    <w:rsid w:val="00594A58"/>
    <w:rsid w:val="005969B0"/>
    <w:rsid w:val="00597312"/>
    <w:rsid w:val="005A01F7"/>
    <w:rsid w:val="005A39EB"/>
    <w:rsid w:val="005A4D21"/>
    <w:rsid w:val="005A6B61"/>
    <w:rsid w:val="005A7749"/>
    <w:rsid w:val="005A7F6B"/>
    <w:rsid w:val="005B0B72"/>
    <w:rsid w:val="005B131E"/>
    <w:rsid w:val="005B3B1D"/>
    <w:rsid w:val="005B3CAF"/>
    <w:rsid w:val="005B4891"/>
    <w:rsid w:val="005B7EFE"/>
    <w:rsid w:val="005C21AB"/>
    <w:rsid w:val="005C231A"/>
    <w:rsid w:val="005C44CC"/>
    <w:rsid w:val="005C4D0B"/>
    <w:rsid w:val="005C4DCB"/>
    <w:rsid w:val="005D025B"/>
    <w:rsid w:val="005D096C"/>
    <w:rsid w:val="005D315C"/>
    <w:rsid w:val="005D6334"/>
    <w:rsid w:val="005D7DA1"/>
    <w:rsid w:val="005E5458"/>
    <w:rsid w:val="005F1C66"/>
    <w:rsid w:val="005F40FB"/>
    <w:rsid w:val="005F7B55"/>
    <w:rsid w:val="00600C59"/>
    <w:rsid w:val="0060194C"/>
    <w:rsid w:val="00611FF2"/>
    <w:rsid w:val="006126B0"/>
    <w:rsid w:val="00614FC5"/>
    <w:rsid w:val="00616D5D"/>
    <w:rsid w:val="0062106E"/>
    <w:rsid w:val="00622A39"/>
    <w:rsid w:val="00623527"/>
    <w:rsid w:val="00625ABF"/>
    <w:rsid w:val="00627B2B"/>
    <w:rsid w:val="00627CC5"/>
    <w:rsid w:val="00631CB0"/>
    <w:rsid w:val="00632966"/>
    <w:rsid w:val="0063383A"/>
    <w:rsid w:val="00643C09"/>
    <w:rsid w:val="006475BC"/>
    <w:rsid w:val="0065542B"/>
    <w:rsid w:val="006569FC"/>
    <w:rsid w:val="0065762F"/>
    <w:rsid w:val="00663BF4"/>
    <w:rsid w:val="00665D0B"/>
    <w:rsid w:val="00670FAA"/>
    <w:rsid w:val="00673906"/>
    <w:rsid w:val="006743CB"/>
    <w:rsid w:val="00676140"/>
    <w:rsid w:val="006818A3"/>
    <w:rsid w:val="00684474"/>
    <w:rsid w:val="00684BE6"/>
    <w:rsid w:val="00690222"/>
    <w:rsid w:val="00690285"/>
    <w:rsid w:val="0069242B"/>
    <w:rsid w:val="006947F9"/>
    <w:rsid w:val="006A31D2"/>
    <w:rsid w:val="006A44C8"/>
    <w:rsid w:val="006B0F6B"/>
    <w:rsid w:val="006B7921"/>
    <w:rsid w:val="006C0EED"/>
    <w:rsid w:val="006C165B"/>
    <w:rsid w:val="006C232E"/>
    <w:rsid w:val="006C2ECB"/>
    <w:rsid w:val="006C3AA2"/>
    <w:rsid w:val="006C3ED2"/>
    <w:rsid w:val="006C5617"/>
    <w:rsid w:val="006C620E"/>
    <w:rsid w:val="006D04E8"/>
    <w:rsid w:val="006E0B02"/>
    <w:rsid w:val="006E1223"/>
    <w:rsid w:val="006E1606"/>
    <w:rsid w:val="006F3B68"/>
    <w:rsid w:val="006F4F2D"/>
    <w:rsid w:val="006F66C6"/>
    <w:rsid w:val="006F66E8"/>
    <w:rsid w:val="006F7A72"/>
    <w:rsid w:val="0070045C"/>
    <w:rsid w:val="00702A7E"/>
    <w:rsid w:val="00704A52"/>
    <w:rsid w:val="00705AEC"/>
    <w:rsid w:val="00707C1C"/>
    <w:rsid w:val="00707C74"/>
    <w:rsid w:val="00715E84"/>
    <w:rsid w:val="00721DCE"/>
    <w:rsid w:val="00723D3D"/>
    <w:rsid w:val="0072402E"/>
    <w:rsid w:val="00727CF4"/>
    <w:rsid w:val="007318BA"/>
    <w:rsid w:val="007354F3"/>
    <w:rsid w:val="0073692F"/>
    <w:rsid w:val="00742376"/>
    <w:rsid w:val="00744F63"/>
    <w:rsid w:val="00746BE1"/>
    <w:rsid w:val="0074771F"/>
    <w:rsid w:val="007524CE"/>
    <w:rsid w:val="00755038"/>
    <w:rsid w:val="0075623F"/>
    <w:rsid w:val="00761414"/>
    <w:rsid w:val="0076141E"/>
    <w:rsid w:val="00762711"/>
    <w:rsid w:val="00764200"/>
    <w:rsid w:val="007645CA"/>
    <w:rsid w:val="00765C83"/>
    <w:rsid w:val="0076790C"/>
    <w:rsid w:val="00767AAD"/>
    <w:rsid w:val="00767F75"/>
    <w:rsid w:val="0077073C"/>
    <w:rsid w:val="00773B76"/>
    <w:rsid w:val="0078116D"/>
    <w:rsid w:val="00781F5F"/>
    <w:rsid w:val="007836BA"/>
    <w:rsid w:val="007852AB"/>
    <w:rsid w:val="00786EEE"/>
    <w:rsid w:val="00787083"/>
    <w:rsid w:val="007919B8"/>
    <w:rsid w:val="00793C20"/>
    <w:rsid w:val="00795560"/>
    <w:rsid w:val="007A1A1C"/>
    <w:rsid w:val="007A3A85"/>
    <w:rsid w:val="007A5A9D"/>
    <w:rsid w:val="007B0476"/>
    <w:rsid w:val="007B1435"/>
    <w:rsid w:val="007B32F8"/>
    <w:rsid w:val="007B37AB"/>
    <w:rsid w:val="007B69B1"/>
    <w:rsid w:val="007B6B17"/>
    <w:rsid w:val="007B7428"/>
    <w:rsid w:val="007C09A5"/>
    <w:rsid w:val="007C26AD"/>
    <w:rsid w:val="007C39FA"/>
    <w:rsid w:val="007C6EA0"/>
    <w:rsid w:val="007D2D21"/>
    <w:rsid w:val="007D3224"/>
    <w:rsid w:val="007D3CAB"/>
    <w:rsid w:val="007D4B16"/>
    <w:rsid w:val="007D4D3B"/>
    <w:rsid w:val="007D62E6"/>
    <w:rsid w:val="007E2F2C"/>
    <w:rsid w:val="007E519A"/>
    <w:rsid w:val="007E5DDB"/>
    <w:rsid w:val="007E6721"/>
    <w:rsid w:val="007F1DAB"/>
    <w:rsid w:val="007F2A36"/>
    <w:rsid w:val="007F3427"/>
    <w:rsid w:val="007F37BC"/>
    <w:rsid w:val="00803A20"/>
    <w:rsid w:val="00806B27"/>
    <w:rsid w:val="008076C4"/>
    <w:rsid w:val="00812AF6"/>
    <w:rsid w:val="00816432"/>
    <w:rsid w:val="00817385"/>
    <w:rsid w:val="00821393"/>
    <w:rsid w:val="00824EC5"/>
    <w:rsid w:val="0083153F"/>
    <w:rsid w:val="00831DCF"/>
    <w:rsid w:val="00831FD5"/>
    <w:rsid w:val="0083260D"/>
    <w:rsid w:val="00833F02"/>
    <w:rsid w:val="00837BA6"/>
    <w:rsid w:val="00841AFF"/>
    <w:rsid w:val="00850EDB"/>
    <w:rsid w:val="0085122C"/>
    <w:rsid w:val="0086473A"/>
    <w:rsid w:val="008649DB"/>
    <w:rsid w:val="00867274"/>
    <w:rsid w:val="008720A6"/>
    <w:rsid w:val="0087425A"/>
    <w:rsid w:val="0087580E"/>
    <w:rsid w:val="00875973"/>
    <w:rsid w:val="0088012B"/>
    <w:rsid w:val="0088676D"/>
    <w:rsid w:val="008867F4"/>
    <w:rsid w:val="008870B1"/>
    <w:rsid w:val="008903BE"/>
    <w:rsid w:val="008926C3"/>
    <w:rsid w:val="00892C6B"/>
    <w:rsid w:val="00893996"/>
    <w:rsid w:val="008939C6"/>
    <w:rsid w:val="008939F8"/>
    <w:rsid w:val="00894FC9"/>
    <w:rsid w:val="0089768F"/>
    <w:rsid w:val="008A1196"/>
    <w:rsid w:val="008A1C37"/>
    <w:rsid w:val="008A7C7F"/>
    <w:rsid w:val="008B02C6"/>
    <w:rsid w:val="008B09D3"/>
    <w:rsid w:val="008B6C77"/>
    <w:rsid w:val="008B6D34"/>
    <w:rsid w:val="008C0602"/>
    <w:rsid w:val="008C1208"/>
    <w:rsid w:val="008C3F17"/>
    <w:rsid w:val="008D1492"/>
    <w:rsid w:val="008D191F"/>
    <w:rsid w:val="008D2AA9"/>
    <w:rsid w:val="008D311C"/>
    <w:rsid w:val="008D7768"/>
    <w:rsid w:val="008D783B"/>
    <w:rsid w:val="008D7880"/>
    <w:rsid w:val="008E069D"/>
    <w:rsid w:val="008F269D"/>
    <w:rsid w:val="008F4C7B"/>
    <w:rsid w:val="009005C9"/>
    <w:rsid w:val="00905D8A"/>
    <w:rsid w:val="00911702"/>
    <w:rsid w:val="009168DE"/>
    <w:rsid w:val="00924ED3"/>
    <w:rsid w:val="0092589C"/>
    <w:rsid w:val="00926311"/>
    <w:rsid w:val="00931AE0"/>
    <w:rsid w:val="0093724C"/>
    <w:rsid w:val="00937670"/>
    <w:rsid w:val="0094215A"/>
    <w:rsid w:val="0094360D"/>
    <w:rsid w:val="00944D57"/>
    <w:rsid w:val="00952235"/>
    <w:rsid w:val="009546E8"/>
    <w:rsid w:val="009560A1"/>
    <w:rsid w:val="0096516C"/>
    <w:rsid w:val="00972F90"/>
    <w:rsid w:val="00973883"/>
    <w:rsid w:val="00980C67"/>
    <w:rsid w:val="00980DF9"/>
    <w:rsid w:val="00983C7D"/>
    <w:rsid w:val="00984AF2"/>
    <w:rsid w:val="00987A48"/>
    <w:rsid w:val="009917C6"/>
    <w:rsid w:val="00992C24"/>
    <w:rsid w:val="00997F3C"/>
    <w:rsid w:val="009A1D0F"/>
    <w:rsid w:val="009A6A2B"/>
    <w:rsid w:val="009A76B5"/>
    <w:rsid w:val="009B01ED"/>
    <w:rsid w:val="009B5D63"/>
    <w:rsid w:val="009B65FD"/>
    <w:rsid w:val="009B6799"/>
    <w:rsid w:val="009B7770"/>
    <w:rsid w:val="009C31AA"/>
    <w:rsid w:val="009C5837"/>
    <w:rsid w:val="009D180C"/>
    <w:rsid w:val="009D3BEB"/>
    <w:rsid w:val="009D63FA"/>
    <w:rsid w:val="009D6471"/>
    <w:rsid w:val="009D6CFA"/>
    <w:rsid w:val="009D726B"/>
    <w:rsid w:val="009E02A4"/>
    <w:rsid w:val="009E11B7"/>
    <w:rsid w:val="009E644E"/>
    <w:rsid w:val="009E6816"/>
    <w:rsid w:val="009E7140"/>
    <w:rsid w:val="009F1A55"/>
    <w:rsid w:val="009F2C23"/>
    <w:rsid w:val="009F2EBA"/>
    <w:rsid w:val="009F42E7"/>
    <w:rsid w:val="00A01ABF"/>
    <w:rsid w:val="00A03D0B"/>
    <w:rsid w:val="00A05091"/>
    <w:rsid w:val="00A05B16"/>
    <w:rsid w:val="00A074C9"/>
    <w:rsid w:val="00A10493"/>
    <w:rsid w:val="00A1413C"/>
    <w:rsid w:val="00A1508A"/>
    <w:rsid w:val="00A16D71"/>
    <w:rsid w:val="00A24E3D"/>
    <w:rsid w:val="00A353F5"/>
    <w:rsid w:val="00A40FAF"/>
    <w:rsid w:val="00A4325A"/>
    <w:rsid w:val="00A43A63"/>
    <w:rsid w:val="00A43CFD"/>
    <w:rsid w:val="00A515C0"/>
    <w:rsid w:val="00A52D05"/>
    <w:rsid w:val="00A61308"/>
    <w:rsid w:val="00A6142F"/>
    <w:rsid w:val="00A63F82"/>
    <w:rsid w:val="00A6405E"/>
    <w:rsid w:val="00A64A80"/>
    <w:rsid w:val="00A651FB"/>
    <w:rsid w:val="00A701B2"/>
    <w:rsid w:val="00A70B50"/>
    <w:rsid w:val="00A70D9D"/>
    <w:rsid w:val="00A712C9"/>
    <w:rsid w:val="00A71A02"/>
    <w:rsid w:val="00A7631D"/>
    <w:rsid w:val="00A8049D"/>
    <w:rsid w:val="00A829C9"/>
    <w:rsid w:val="00A8512B"/>
    <w:rsid w:val="00A97E47"/>
    <w:rsid w:val="00A97E95"/>
    <w:rsid w:val="00AA1FEA"/>
    <w:rsid w:val="00AA3647"/>
    <w:rsid w:val="00AA550C"/>
    <w:rsid w:val="00AB27FF"/>
    <w:rsid w:val="00AB3080"/>
    <w:rsid w:val="00AB30BF"/>
    <w:rsid w:val="00AB5773"/>
    <w:rsid w:val="00AB7488"/>
    <w:rsid w:val="00AC0AD2"/>
    <w:rsid w:val="00AC0EAA"/>
    <w:rsid w:val="00AC2178"/>
    <w:rsid w:val="00AC3043"/>
    <w:rsid w:val="00AD2E63"/>
    <w:rsid w:val="00AD303E"/>
    <w:rsid w:val="00AE42AC"/>
    <w:rsid w:val="00AE516C"/>
    <w:rsid w:val="00AE5238"/>
    <w:rsid w:val="00AF011C"/>
    <w:rsid w:val="00AF14D5"/>
    <w:rsid w:val="00AF2C9F"/>
    <w:rsid w:val="00AF5443"/>
    <w:rsid w:val="00AF7886"/>
    <w:rsid w:val="00B00A12"/>
    <w:rsid w:val="00B03B5B"/>
    <w:rsid w:val="00B10354"/>
    <w:rsid w:val="00B13BF6"/>
    <w:rsid w:val="00B23563"/>
    <w:rsid w:val="00B24EB4"/>
    <w:rsid w:val="00B25268"/>
    <w:rsid w:val="00B311DE"/>
    <w:rsid w:val="00B3236F"/>
    <w:rsid w:val="00B347D7"/>
    <w:rsid w:val="00B35478"/>
    <w:rsid w:val="00B35A8D"/>
    <w:rsid w:val="00B35E95"/>
    <w:rsid w:val="00B449AE"/>
    <w:rsid w:val="00B50DCB"/>
    <w:rsid w:val="00B52EA2"/>
    <w:rsid w:val="00B5469B"/>
    <w:rsid w:val="00B5609C"/>
    <w:rsid w:val="00B602A4"/>
    <w:rsid w:val="00B70ED1"/>
    <w:rsid w:val="00B72F23"/>
    <w:rsid w:val="00B745F5"/>
    <w:rsid w:val="00B76B09"/>
    <w:rsid w:val="00B84ED5"/>
    <w:rsid w:val="00B86F31"/>
    <w:rsid w:val="00B91768"/>
    <w:rsid w:val="00B92C79"/>
    <w:rsid w:val="00B94AAE"/>
    <w:rsid w:val="00B94F5E"/>
    <w:rsid w:val="00BA0E50"/>
    <w:rsid w:val="00BA3006"/>
    <w:rsid w:val="00BA3208"/>
    <w:rsid w:val="00BA43E5"/>
    <w:rsid w:val="00BA5274"/>
    <w:rsid w:val="00BA6F96"/>
    <w:rsid w:val="00BA7C14"/>
    <w:rsid w:val="00BB5C58"/>
    <w:rsid w:val="00BC0D82"/>
    <w:rsid w:val="00BC4F9D"/>
    <w:rsid w:val="00BD1D2C"/>
    <w:rsid w:val="00BD280A"/>
    <w:rsid w:val="00BE203E"/>
    <w:rsid w:val="00BE551C"/>
    <w:rsid w:val="00BF2B9F"/>
    <w:rsid w:val="00BF7B63"/>
    <w:rsid w:val="00C0053E"/>
    <w:rsid w:val="00C02524"/>
    <w:rsid w:val="00C04D54"/>
    <w:rsid w:val="00C0573C"/>
    <w:rsid w:val="00C05861"/>
    <w:rsid w:val="00C06595"/>
    <w:rsid w:val="00C12906"/>
    <w:rsid w:val="00C13FB1"/>
    <w:rsid w:val="00C14A14"/>
    <w:rsid w:val="00C24255"/>
    <w:rsid w:val="00C24781"/>
    <w:rsid w:val="00C25C27"/>
    <w:rsid w:val="00C31F31"/>
    <w:rsid w:val="00C33FA2"/>
    <w:rsid w:val="00C361DA"/>
    <w:rsid w:val="00C36BC8"/>
    <w:rsid w:val="00C40984"/>
    <w:rsid w:val="00C41441"/>
    <w:rsid w:val="00C41CE0"/>
    <w:rsid w:val="00C429B7"/>
    <w:rsid w:val="00C4365F"/>
    <w:rsid w:val="00C50729"/>
    <w:rsid w:val="00C5101C"/>
    <w:rsid w:val="00C529A7"/>
    <w:rsid w:val="00C5744F"/>
    <w:rsid w:val="00C57CAF"/>
    <w:rsid w:val="00C60EF9"/>
    <w:rsid w:val="00C66E7A"/>
    <w:rsid w:val="00C7363A"/>
    <w:rsid w:val="00C762A2"/>
    <w:rsid w:val="00C77381"/>
    <w:rsid w:val="00C81CD6"/>
    <w:rsid w:val="00C86A87"/>
    <w:rsid w:val="00C86DC8"/>
    <w:rsid w:val="00C86DF6"/>
    <w:rsid w:val="00C8788E"/>
    <w:rsid w:val="00C93F0A"/>
    <w:rsid w:val="00C94697"/>
    <w:rsid w:val="00C9739E"/>
    <w:rsid w:val="00CA4070"/>
    <w:rsid w:val="00CA5EDD"/>
    <w:rsid w:val="00CA6621"/>
    <w:rsid w:val="00CB0E0D"/>
    <w:rsid w:val="00CB284F"/>
    <w:rsid w:val="00CB44E6"/>
    <w:rsid w:val="00CB581E"/>
    <w:rsid w:val="00CB71FE"/>
    <w:rsid w:val="00CB78DF"/>
    <w:rsid w:val="00CC6757"/>
    <w:rsid w:val="00CD049D"/>
    <w:rsid w:val="00CD0525"/>
    <w:rsid w:val="00CD3667"/>
    <w:rsid w:val="00CE58AB"/>
    <w:rsid w:val="00CE5D04"/>
    <w:rsid w:val="00CF4756"/>
    <w:rsid w:val="00CF79A0"/>
    <w:rsid w:val="00D03EB2"/>
    <w:rsid w:val="00D05F77"/>
    <w:rsid w:val="00D0681E"/>
    <w:rsid w:val="00D07882"/>
    <w:rsid w:val="00D13EDA"/>
    <w:rsid w:val="00D24630"/>
    <w:rsid w:val="00D31309"/>
    <w:rsid w:val="00D34194"/>
    <w:rsid w:val="00D36943"/>
    <w:rsid w:val="00D47E8A"/>
    <w:rsid w:val="00D500EA"/>
    <w:rsid w:val="00D5114D"/>
    <w:rsid w:val="00D511DB"/>
    <w:rsid w:val="00D51BD6"/>
    <w:rsid w:val="00D62467"/>
    <w:rsid w:val="00D63759"/>
    <w:rsid w:val="00D64354"/>
    <w:rsid w:val="00D70A42"/>
    <w:rsid w:val="00D75846"/>
    <w:rsid w:val="00D77A0C"/>
    <w:rsid w:val="00D81886"/>
    <w:rsid w:val="00D829BB"/>
    <w:rsid w:val="00D83914"/>
    <w:rsid w:val="00D842CE"/>
    <w:rsid w:val="00D84763"/>
    <w:rsid w:val="00D85283"/>
    <w:rsid w:val="00D865A2"/>
    <w:rsid w:val="00D871E5"/>
    <w:rsid w:val="00D87AB2"/>
    <w:rsid w:val="00D87C58"/>
    <w:rsid w:val="00D939AB"/>
    <w:rsid w:val="00D941E1"/>
    <w:rsid w:val="00DA2BF3"/>
    <w:rsid w:val="00DA42A8"/>
    <w:rsid w:val="00DA60AC"/>
    <w:rsid w:val="00DA64B9"/>
    <w:rsid w:val="00DB0016"/>
    <w:rsid w:val="00DB06BF"/>
    <w:rsid w:val="00DB1861"/>
    <w:rsid w:val="00DB223F"/>
    <w:rsid w:val="00DB25E6"/>
    <w:rsid w:val="00DB2CB9"/>
    <w:rsid w:val="00DB49AB"/>
    <w:rsid w:val="00DC39B8"/>
    <w:rsid w:val="00DC4552"/>
    <w:rsid w:val="00DC601F"/>
    <w:rsid w:val="00DD1DB4"/>
    <w:rsid w:val="00DD4045"/>
    <w:rsid w:val="00DD5864"/>
    <w:rsid w:val="00DD7861"/>
    <w:rsid w:val="00DD7E57"/>
    <w:rsid w:val="00DE066F"/>
    <w:rsid w:val="00DE4D13"/>
    <w:rsid w:val="00DE60DE"/>
    <w:rsid w:val="00DE6A78"/>
    <w:rsid w:val="00DF0DF3"/>
    <w:rsid w:val="00DF1203"/>
    <w:rsid w:val="00DF4625"/>
    <w:rsid w:val="00DF6813"/>
    <w:rsid w:val="00E0287C"/>
    <w:rsid w:val="00E02B8D"/>
    <w:rsid w:val="00E03CAF"/>
    <w:rsid w:val="00E128C8"/>
    <w:rsid w:val="00E14695"/>
    <w:rsid w:val="00E17608"/>
    <w:rsid w:val="00E25B5E"/>
    <w:rsid w:val="00E27127"/>
    <w:rsid w:val="00E27D9B"/>
    <w:rsid w:val="00E30119"/>
    <w:rsid w:val="00E32017"/>
    <w:rsid w:val="00E34C69"/>
    <w:rsid w:val="00E36CB9"/>
    <w:rsid w:val="00E464FB"/>
    <w:rsid w:val="00E465EF"/>
    <w:rsid w:val="00E516CE"/>
    <w:rsid w:val="00E53C73"/>
    <w:rsid w:val="00E53DBC"/>
    <w:rsid w:val="00E5597E"/>
    <w:rsid w:val="00E55EA1"/>
    <w:rsid w:val="00E6199B"/>
    <w:rsid w:val="00E63379"/>
    <w:rsid w:val="00E66CDA"/>
    <w:rsid w:val="00E70875"/>
    <w:rsid w:val="00E711AA"/>
    <w:rsid w:val="00E71885"/>
    <w:rsid w:val="00E728B1"/>
    <w:rsid w:val="00E72982"/>
    <w:rsid w:val="00E73431"/>
    <w:rsid w:val="00E752D6"/>
    <w:rsid w:val="00E76201"/>
    <w:rsid w:val="00E7631B"/>
    <w:rsid w:val="00E80DDA"/>
    <w:rsid w:val="00E82092"/>
    <w:rsid w:val="00E83154"/>
    <w:rsid w:val="00E83C71"/>
    <w:rsid w:val="00E84A59"/>
    <w:rsid w:val="00E9008F"/>
    <w:rsid w:val="00E910F9"/>
    <w:rsid w:val="00E92B5A"/>
    <w:rsid w:val="00E97431"/>
    <w:rsid w:val="00EA0FF4"/>
    <w:rsid w:val="00EA1EBB"/>
    <w:rsid w:val="00EA6007"/>
    <w:rsid w:val="00EB20F4"/>
    <w:rsid w:val="00EB4A97"/>
    <w:rsid w:val="00EB6C7E"/>
    <w:rsid w:val="00EC1D40"/>
    <w:rsid w:val="00EC55C2"/>
    <w:rsid w:val="00EC67E4"/>
    <w:rsid w:val="00EC722E"/>
    <w:rsid w:val="00ED179B"/>
    <w:rsid w:val="00ED31CC"/>
    <w:rsid w:val="00ED3870"/>
    <w:rsid w:val="00EE21E5"/>
    <w:rsid w:val="00EE2BEA"/>
    <w:rsid w:val="00EE3535"/>
    <w:rsid w:val="00EE4E40"/>
    <w:rsid w:val="00EE622B"/>
    <w:rsid w:val="00EF1034"/>
    <w:rsid w:val="00F0046C"/>
    <w:rsid w:val="00F0113B"/>
    <w:rsid w:val="00F0197B"/>
    <w:rsid w:val="00F05320"/>
    <w:rsid w:val="00F069A3"/>
    <w:rsid w:val="00F077FB"/>
    <w:rsid w:val="00F07C14"/>
    <w:rsid w:val="00F12A5C"/>
    <w:rsid w:val="00F14B08"/>
    <w:rsid w:val="00F22CF8"/>
    <w:rsid w:val="00F24B0C"/>
    <w:rsid w:val="00F259D9"/>
    <w:rsid w:val="00F263DA"/>
    <w:rsid w:val="00F30B8A"/>
    <w:rsid w:val="00F31CD6"/>
    <w:rsid w:val="00F320EB"/>
    <w:rsid w:val="00F33334"/>
    <w:rsid w:val="00F33805"/>
    <w:rsid w:val="00F33F32"/>
    <w:rsid w:val="00F36260"/>
    <w:rsid w:val="00F36462"/>
    <w:rsid w:val="00F40BEB"/>
    <w:rsid w:val="00F43ADA"/>
    <w:rsid w:val="00F44701"/>
    <w:rsid w:val="00F4559C"/>
    <w:rsid w:val="00F4573F"/>
    <w:rsid w:val="00F47CF9"/>
    <w:rsid w:val="00F540DE"/>
    <w:rsid w:val="00F573BB"/>
    <w:rsid w:val="00F62388"/>
    <w:rsid w:val="00F62545"/>
    <w:rsid w:val="00F63948"/>
    <w:rsid w:val="00F63DAA"/>
    <w:rsid w:val="00F6462C"/>
    <w:rsid w:val="00F67CAC"/>
    <w:rsid w:val="00F71158"/>
    <w:rsid w:val="00F72BF4"/>
    <w:rsid w:val="00F742B4"/>
    <w:rsid w:val="00F76C24"/>
    <w:rsid w:val="00F86504"/>
    <w:rsid w:val="00F918A3"/>
    <w:rsid w:val="00F93B13"/>
    <w:rsid w:val="00F93DAA"/>
    <w:rsid w:val="00F94F0C"/>
    <w:rsid w:val="00F966FB"/>
    <w:rsid w:val="00F977F6"/>
    <w:rsid w:val="00F97A39"/>
    <w:rsid w:val="00FA7838"/>
    <w:rsid w:val="00FB2FD0"/>
    <w:rsid w:val="00FB328D"/>
    <w:rsid w:val="00FB4F06"/>
    <w:rsid w:val="00FB53AA"/>
    <w:rsid w:val="00FB54D5"/>
    <w:rsid w:val="00FC053D"/>
    <w:rsid w:val="00FC0B23"/>
    <w:rsid w:val="00FC1C5B"/>
    <w:rsid w:val="00FC48E2"/>
    <w:rsid w:val="00FC4AFB"/>
    <w:rsid w:val="00FC5E53"/>
    <w:rsid w:val="00FC6C9B"/>
    <w:rsid w:val="00FD0150"/>
    <w:rsid w:val="00FD2F8C"/>
    <w:rsid w:val="00FD54FD"/>
    <w:rsid w:val="00FD6F74"/>
    <w:rsid w:val="00FE01BC"/>
    <w:rsid w:val="00FE3032"/>
    <w:rsid w:val="00FE3ED1"/>
    <w:rsid w:val="00FE77FD"/>
    <w:rsid w:val="00FF1DCC"/>
    <w:rsid w:val="00FF35F2"/>
    <w:rsid w:val="00FF5874"/>
    <w:rsid w:val="00FF625A"/>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6EBD8"/>
  <w15:chartTrackingRefBased/>
  <w15:docId w15:val="{5ABAFC67-945D-074D-95F3-3A7E1DD21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1E5"/>
    <w:pPr>
      <w:spacing w:line="264" w:lineRule="auto"/>
    </w:pPr>
    <w:rPr>
      <w:rFonts w:ascii="Arial" w:hAnsi="Arial"/>
      <w:sz w:val="20"/>
      <w:lang w:val="en-US"/>
    </w:rPr>
  </w:style>
  <w:style w:type="paragraph" w:styleId="Heading1">
    <w:name w:val="heading 1"/>
    <w:next w:val="NTTBodyText"/>
    <w:link w:val="Heading1Char"/>
    <w:qFormat/>
    <w:rsid w:val="00507AF6"/>
    <w:pPr>
      <w:keepNext/>
      <w:pageBreakBefore/>
      <w:numPr>
        <w:numId w:val="23"/>
      </w:numPr>
      <w:tabs>
        <w:tab w:val="clear" w:pos="850"/>
      </w:tabs>
      <w:spacing w:before="480" w:after="360" w:line="264" w:lineRule="auto"/>
      <w:outlineLvl w:val="0"/>
    </w:pPr>
    <w:rPr>
      <w:rFonts w:ascii="Georgia" w:eastAsia="Times New Roman" w:hAnsi="Georgia" w:cs="Arial"/>
      <w:bCs/>
      <w:color w:val="0072BC"/>
      <w:kern w:val="32"/>
      <w:sz w:val="40"/>
      <w:szCs w:val="40"/>
      <w:lang w:val="en-GB"/>
      <w14:ligatures w14:val="none"/>
    </w:rPr>
  </w:style>
  <w:style w:type="paragraph" w:styleId="Heading2">
    <w:name w:val="heading 2"/>
    <w:basedOn w:val="Heading1"/>
    <w:next w:val="NTTBodyText"/>
    <w:link w:val="Heading2Char"/>
    <w:unhideWhenUsed/>
    <w:qFormat/>
    <w:rsid w:val="00105F87"/>
    <w:pPr>
      <w:pageBreakBefore w:val="0"/>
      <w:numPr>
        <w:ilvl w:val="1"/>
      </w:numPr>
      <w:spacing w:before="360" w:after="120"/>
      <w:ind w:left="851" w:hanging="851"/>
      <w:outlineLvl w:val="1"/>
    </w:pPr>
    <w:rPr>
      <w:rFonts w:asciiTheme="majorHAnsi" w:hAnsiTheme="majorHAnsi"/>
      <w:b/>
      <w:iCs/>
      <w:color w:val="2E404D" w:themeColor="text1"/>
      <w:kern w:val="24"/>
      <w:sz w:val="28"/>
      <w:szCs w:val="22"/>
    </w:rPr>
  </w:style>
  <w:style w:type="paragraph" w:styleId="Heading3">
    <w:name w:val="heading 3"/>
    <w:basedOn w:val="Heading2"/>
    <w:next w:val="NTTBodyText"/>
    <w:link w:val="Heading3Char"/>
    <w:unhideWhenUsed/>
    <w:qFormat/>
    <w:rsid w:val="00C12906"/>
    <w:pPr>
      <w:numPr>
        <w:ilvl w:val="2"/>
      </w:numPr>
      <w:ind w:left="851" w:hanging="851"/>
      <w:outlineLvl w:val="2"/>
    </w:pPr>
    <w:rPr>
      <w:b w:val="0"/>
      <w:bCs w:val="0"/>
      <w:iCs w:val="0"/>
      <w:kern w:val="22"/>
    </w:rPr>
  </w:style>
  <w:style w:type="paragraph" w:styleId="Heading4">
    <w:name w:val="heading 4"/>
    <w:basedOn w:val="Heading3"/>
    <w:next w:val="NTTBodyText"/>
    <w:link w:val="Heading4Char"/>
    <w:unhideWhenUsed/>
    <w:qFormat/>
    <w:rsid w:val="00E03CAF"/>
    <w:pPr>
      <w:numPr>
        <w:ilvl w:val="0"/>
        <w:numId w:val="0"/>
      </w:numPr>
      <w:spacing w:before="240"/>
      <w:outlineLvl w:val="3"/>
    </w:pPr>
    <w:rPr>
      <w:b/>
      <w:iCs/>
      <w:color w:val="0072BC" w:themeColor="accent2"/>
      <w:kern w:val="20"/>
      <w:sz w:val="24"/>
    </w:rPr>
  </w:style>
  <w:style w:type="paragraph" w:styleId="Heading5">
    <w:name w:val="heading 5"/>
    <w:basedOn w:val="Heading4"/>
    <w:next w:val="NTTBodyText"/>
    <w:link w:val="Heading5Char"/>
    <w:unhideWhenUsed/>
    <w:qFormat/>
    <w:rsid w:val="00E03CAF"/>
    <w:pPr>
      <w:numPr>
        <w:ilvl w:val="4"/>
      </w:numPr>
      <w:outlineLvl w:val="4"/>
    </w:pPr>
    <w:rPr>
      <w:b w:val="0"/>
      <w:bCs/>
      <w:iCs w:val="0"/>
    </w:rPr>
  </w:style>
  <w:style w:type="paragraph" w:styleId="Heading6">
    <w:name w:val="heading 6"/>
    <w:basedOn w:val="Heading5"/>
    <w:next w:val="NTTBodyText"/>
    <w:link w:val="Heading6Char"/>
    <w:uiPriority w:val="99"/>
    <w:unhideWhenUsed/>
    <w:qFormat/>
    <w:rsid w:val="00522EF9"/>
    <w:pPr>
      <w:numPr>
        <w:ilvl w:val="5"/>
      </w:numPr>
      <w:outlineLvl w:val="5"/>
    </w:pPr>
    <w:rPr>
      <w:b/>
      <w:bCs w:val="0"/>
      <w:sz w:val="22"/>
    </w:rPr>
  </w:style>
  <w:style w:type="paragraph" w:styleId="Heading7">
    <w:name w:val="heading 7"/>
    <w:basedOn w:val="Heading6"/>
    <w:next w:val="NTTBodyText"/>
    <w:link w:val="Heading7Char"/>
    <w:uiPriority w:val="99"/>
    <w:unhideWhenUsed/>
    <w:rsid w:val="00522EF9"/>
    <w:pPr>
      <w:numPr>
        <w:ilvl w:val="6"/>
      </w:numPr>
      <w:outlineLvl w:val="6"/>
    </w:pPr>
    <w:rPr>
      <w:b w:val="0"/>
    </w:rPr>
  </w:style>
  <w:style w:type="paragraph" w:styleId="Heading8">
    <w:name w:val="heading 8"/>
    <w:basedOn w:val="Heading7"/>
    <w:next w:val="NTTBodyText"/>
    <w:link w:val="Heading8Char"/>
    <w:uiPriority w:val="99"/>
    <w:unhideWhenUsed/>
    <w:rsid w:val="00522EF9"/>
    <w:pPr>
      <w:numPr>
        <w:ilvl w:val="7"/>
      </w:numPr>
      <w:outlineLvl w:val="7"/>
    </w:pPr>
    <w:rPr>
      <w:b/>
      <w:iCs/>
      <w:sz w:val="21"/>
    </w:rPr>
  </w:style>
  <w:style w:type="paragraph" w:styleId="Heading9">
    <w:name w:val="heading 9"/>
    <w:basedOn w:val="Heading8"/>
    <w:next w:val="NTTBodyText"/>
    <w:link w:val="Heading9Char"/>
    <w:uiPriority w:val="99"/>
    <w:unhideWhenUsed/>
    <w:rsid w:val="00522EF9"/>
    <w:pPr>
      <w:numPr>
        <w:ilvl w:val="8"/>
      </w:numPr>
      <w:outlineLvl w:val="8"/>
    </w:pPr>
    <w:rPr>
      <w:b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62A2"/>
    <w:pPr>
      <w:numPr>
        <w:numId w:val="1"/>
      </w:numPr>
      <w:ind w:left="426" w:hanging="426"/>
      <w:contextualSpacing/>
    </w:pPr>
    <w:rPr>
      <w:color w:val="2E404D" w:themeColor="text1"/>
    </w:rPr>
  </w:style>
  <w:style w:type="character" w:customStyle="1" w:styleId="Heading1Char">
    <w:name w:val="Heading 1 Char"/>
    <w:basedOn w:val="DefaultParagraphFont"/>
    <w:link w:val="Heading1"/>
    <w:rsid w:val="00507AF6"/>
    <w:rPr>
      <w:rFonts w:ascii="Georgia" w:eastAsia="Times New Roman" w:hAnsi="Georgia" w:cs="Arial"/>
      <w:bCs/>
      <w:color w:val="0072BC"/>
      <w:kern w:val="32"/>
      <w:sz w:val="40"/>
      <w:szCs w:val="40"/>
      <w:lang w:val="en-GB"/>
      <w14:ligatures w14:val="none"/>
    </w:rPr>
  </w:style>
  <w:style w:type="paragraph" w:styleId="Header">
    <w:name w:val="header"/>
    <w:basedOn w:val="Normal"/>
    <w:link w:val="HeaderChar"/>
    <w:uiPriority w:val="99"/>
    <w:unhideWhenUsed/>
    <w:rsid w:val="00490E94"/>
    <w:pPr>
      <w:tabs>
        <w:tab w:val="center" w:pos="4513"/>
        <w:tab w:val="right" w:pos="9026"/>
      </w:tabs>
      <w:ind w:right="2835"/>
    </w:pPr>
    <w:rPr>
      <w:sz w:val="16"/>
    </w:rPr>
  </w:style>
  <w:style w:type="character" w:customStyle="1" w:styleId="HeaderChar">
    <w:name w:val="Header Char"/>
    <w:basedOn w:val="DefaultParagraphFont"/>
    <w:link w:val="Header"/>
    <w:uiPriority w:val="99"/>
    <w:rsid w:val="00490E94"/>
    <w:rPr>
      <w:rFonts w:ascii="Arial" w:hAnsi="Arial"/>
      <w:sz w:val="16"/>
      <w:lang w:val="en-US"/>
    </w:rPr>
  </w:style>
  <w:style w:type="paragraph" w:styleId="Footer">
    <w:name w:val="footer"/>
    <w:basedOn w:val="Normal"/>
    <w:link w:val="FooterChar"/>
    <w:uiPriority w:val="99"/>
    <w:unhideWhenUsed/>
    <w:rsid w:val="00762711"/>
    <w:pPr>
      <w:tabs>
        <w:tab w:val="center" w:pos="4513"/>
        <w:tab w:val="right" w:pos="9026"/>
      </w:tabs>
    </w:pPr>
    <w:rPr>
      <w:sz w:val="16"/>
    </w:rPr>
  </w:style>
  <w:style w:type="character" w:customStyle="1" w:styleId="FooterChar">
    <w:name w:val="Footer Char"/>
    <w:basedOn w:val="DefaultParagraphFont"/>
    <w:link w:val="Footer"/>
    <w:uiPriority w:val="99"/>
    <w:rsid w:val="00762711"/>
    <w:rPr>
      <w:rFonts w:ascii="Arial" w:hAnsi="Arial"/>
      <w:sz w:val="16"/>
      <w:lang w:val="en-US"/>
    </w:rPr>
  </w:style>
  <w:style w:type="character" w:customStyle="1" w:styleId="Heading2Char">
    <w:name w:val="Heading 2 Char"/>
    <w:basedOn w:val="DefaultParagraphFont"/>
    <w:link w:val="Heading2"/>
    <w:rsid w:val="00105F87"/>
    <w:rPr>
      <w:rFonts w:asciiTheme="majorHAnsi" w:eastAsia="Times New Roman" w:hAnsiTheme="majorHAnsi" w:cs="Arial"/>
      <w:b/>
      <w:bCs/>
      <w:iCs/>
      <w:color w:val="2E404D" w:themeColor="text1"/>
      <w:kern w:val="24"/>
      <w:sz w:val="28"/>
      <w:szCs w:val="22"/>
      <w:lang w:val="en-GB"/>
      <w14:ligatures w14:val="none"/>
    </w:rPr>
  </w:style>
  <w:style w:type="character" w:customStyle="1" w:styleId="Heading3Char">
    <w:name w:val="Heading 3 Char"/>
    <w:basedOn w:val="DefaultParagraphFont"/>
    <w:link w:val="Heading3"/>
    <w:rsid w:val="00C12906"/>
    <w:rPr>
      <w:rFonts w:asciiTheme="majorHAnsi" w:eastAsia="Times New Roman" w:hAnsiTheme="majorHAnsi" w:cs="Arial"/>
      <w:color w:val="2E404D" w:themeColor="text1"/>
      <w:kern w:val="22"/>
      <w:sz w:val="28"/>
      <w:szCs w:val="22"/>
      <w:lang w:val="en-GB"/>
      <w14:ligatures w14:val="none"/>
    </w:rPr>
  </w:style>
  <w:style w:type="paragraph" w:customStyle="1" w:styleId="Bullet">
    <w:name w:val="Bullet"/>
    <w:basedOn w:val="NTTFlushBullet1"/>
    <w:qFormat/>
    <w:rsid w:val="00E728B1"/>
  </w:style>
  <w:style w:type="paragraph" w:styleId="NoSpacing">
    <w:name w:val="No Spacing"/>
    <w:uiPriority w:val="1"/>
    <w:qFormat/>
    <w:rsid w:val="003D3A54"/>
    <w:pPr>
      <w:spacing w:line="264" w:lineRule="auto"/>
    </w:pPr>
    <w:rPr>
      <w:rFonts w:ascii="Arial" w:hAnsi="Arial"/>
      <w:color w:val="2E404D" w:themeColor="text1"/>
      <w:sz w:val="20"/>
      <w:lang w:val="en-US"/>
    </w:rPr>
  </w:style>
  <w:style w:type="character" w:customStyle="1" w:styleId="Heading4Char">
    <w:name w:val="Heading 4 Char"/>
    <w:basedOn w:val="DefaultParagraphFont"/>
    <w:link w:val="Heading4"/>
    <w:rsid w:val="00E03CAF"/>
    <w:rPr>
      <w:rFonts w:asciiTheme="majorHAnsi" w:eastAsia="Times New Roman" w:hAnsiTheme="majorHAnsi" w:cs="Arial"/>
      <w:b/>
      <w:iCs/>
      <w:color w:val="0072BC" w:themeColor="accent2"/>
      <w:kern w:val="20"/>
      <w:szCs w:val="22"/>
      <w:lang w:val="en-GB"/>
      <w14:ligatures w14:val="none"/>
    </w:rPr>
  </w:style>
  <w:style w:type="table" w:styleId="TableGrid">
    <w:name w:val="Table Grid"/>
    <w:basedOn w:val="TableNormal"/>
    <w:uiPriority w:val="39"/>
    <w:rsid w:val="00BE551C"/>
    <w:rPr>
      <w:sz w:val="20"/>
    </w:rPr>
    <w:tblPr>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cPr>
      <w:shd w:val="clear" w:color="auto" w:fill="auto"/>
    </w:tcPr>
    <w:tblStylePr w:type="firstRow">
      <w:rPr>
        <w:b/>
      </w:rPr>
    </w:tblStylePr>
    <w:tblStylePr w:type="firstCol">
      <w:rPr>
        <w:b/>
      </w:rPr>
    </w:tblStylePr>
  </w:style>
  <w:style w:type="character" w:customStyle="1" w:styleId="Heading5Char">
    <w:name w:val="Heading 5 Char"/>
    <w:basedOn w:val="DefaultParagraphFont"/>
    <w:link w:val="Heading5"/>
    <w:rsid w:val="00E03CAF"/>
    <w:rPr>
      <w:rFonts w:asciiTheme="majorHAnsi" w:eastAsia="Times New Roman" w:hAnsiTheme="majorHAnsi" w:cs="Arial"/>
      <w:bCs/>
      <w:color w:val="0072BC" w:themeColor="accent2"/>
      <w:kern w:val="20"/>
      <w:szCs w:val="22"/>
      <w:lang w:val="en-GB"/>
      <w14:ligatures w14:val="none"/>
    </w:rPr>
  </w:style>
  <w:style w:type="paragraph" w:styleId="Subtitle">
    <w:name w:val="Subtitle"/>
    <w:basedOn w:val="Normal"/>
    <w:next w:val="Normal"/>
    <w:link w:val="SubtitleChar"/>
    <w:uiPriority w:val="11"/>
    <w:qFormat/>
    <w:rsid w:val="00C24255"/>
    <w:pPr>
      <w:spacing w:before="240" w:after="120"/>
    </w:pPr>
    <w:rPr>
      <w:sz w:val="28"/>
      <w:szCs w:val="32"/>
    </w:rPr>
  </w:style>
  <w:style w:type="character" w:customStyle="1" w:styleId="SubtitleChar">
    <w:name w:val="Subtitle Char"/>
    <w:basedOn w:val="DefaultParagraphFont"/>
    <w:link w:val="Subtitle"/>
    <w:uiPriority w:val="11"/>
    <w:rsid w:val="00C24255"/>
    <w:rPr>
      <w:rFonts w:ascii="Arial" w:hAnsi="Arial"/>
      <w:color w:val="2E404D" w:themeColor="text1"/>
      <w:sz w:val="28"/>
      <w:szCs w:val="32"/>
      <w:lang w:val="en-US"/>
    </w:rPr>
  </w:style>
  <w:style w:type="paragraph" w:styleId="Title">
    <w:name w:val="Title"/>
    <w:basedOn w:val="Normal"/>
    <w:next w:val="Normal"/>
    <w:link w:val="TitleChar"/>
    <w:uiPriority w:val="10"/>
    <w:qFormat/>
    <w:rsid w:val="00B86F31"/>
    <w:pPr>
      <w:spacing w:before="120" w:after="120"/>
      <w:contextualSpacing/>
      <w:outlineLvl w:val="0"/>
    </w:pPr>
    <w:rPr>
      <w:rFonts w:ascii="Georgia" w:eastAsiaTheme="majorEastAsia" w:hAnsi="Georgia" w:cstheme="majorBidi"/>
      <w:color w:val="0072BC" w:themeColor="accent2"/>
      <w:kern w:val="28"/>
      <w:sz w:val="68"/>
      <w:szCs w:val="64"/>
    </w:rPr>
  </w:style>
  <w:style w:type="paragraph" w:customStyle="1" w:styleId="AppendixHeading1">
    <w:name w:val="Appendix Heading 1"/>
    <w:next w:val="Normal"/>
    <w:uiPriority w:val="5"/>
    <w:qFormat/>
    <w:rsid w:val="007852AB"/>
    <w:pPr>
      <w:keepNext/>
      <w:keepLines/>
      <w:pageBreakBefore/>
      <w:numPr>
        <w:numId w:val="4"/>
      </w:numPr>
      <w:spacing w:after="360" w:line="264" w:lineRule="auto"/>
      <w:ind w:left="1701" w:hanging="1701"/>
      <w:outlineLvl w:val="0"/>
    </w:pPr>
    <w:rPr>
      <w:rFonts w:ascii="Georgia" w:eastAsia="Times New Roman" w:hAnsi="Georgia" w:cs="Arial"/>
      <w:bCs/>
      <w:color w:val="0072BC" w:themeColor="accent2"/>
      <w:kern w:val="28"/>
      <w:sz w:val="40"/>
      <w:szCs w:val="20"/>
      <w:lang w:val="en-GB"/>
      <w14:ligatures w14:val="none"/>
    </w:rPr>
  </w:style>
  <w:style w:type="paragraph" w:styleId="TOC1">
    <w:name w:val="toc 1"/>
    <w:basedOn w:val="Normal"/>
    <w:next w:val="Normal"/>
    <w:autoRedefine/>
    <w:uiPriority w:val="39"/>
    <w:unhideWhenUsed/>
    <w:rsid w:val="004125F9"/>
    <w:pPr>
      <w:tabs>
        <w:tab w:val="left" w:pos="1418"/>
        <w:tab w:val="right" w:leader="dot" w:pos="9628"/>
      </w:tabs>
      <w:spacing w:before="360" w:after="100"/>
      <w:ind w:left="851" w:hanging="851"/>
    </w:pPr>
    <w:rPr>
      <w:rFonts w:asciiTheme="minorHAnsi" w:eastAsiaTheme="minorEastAsia" w:hAnsiTheme="minorHAnsi"/>
      <w:b/>
      <w:noProof/>
      <w:color w:val="2E404D" w:themeColor="text1"/>
      <w:sz w:val="22"/>
      <w:szCs w:val="22"/>
      <w:lang w:val="en-ZA" w:eastAsia="en-ZA"/>
    </w:rPr>
  </w:style>
  <w:style w:type="paragraph" w:styleId="TOC2">
    <w:name w:val="toc 2"/>
    <w:basedOn w:val="Normal"/>
    <w:next w:val="Normal"/>
    <w:autoRedefine/>
    <w:uiPriority w:val="39"/>
    <w:unhideWhenUsed/>
    <w:rsid w:val="00234E0F"/>
    <w:pPr>
      <w:tabs>
        <w:tab w:val="left" w:pos="1418"/>
        <w:tab w:val="right" w:leader="dot" w:pos="9628"/>
      </w:tabs>
      <w:spacing w:before="120" w:after="100"/>
      <w:ind w:left="851" w:hanging="851"/>
    </w:pPr>
    <w:rPr>
      <w:rFonts w:asciiTheme="minorHAnsi" w:eastAsiaTheme="minorEastAsia" w:hAnsiTheme="minorHAnsi"/>
      <w:noProof/>
      <w:sz w:val="22"/>
      <w:szCs w:val="22"/>
      <w:lang w:val="en-ZA" w:eastAsia="en-ZA"/>
    </w:rPr>
  </w:style>
  <w:style w:type="character" w:customStyle="1" w:styleId="Heading6Char">
    <w:name w:val="Heading 6 Char"/>
    <w:basedOn w:val="DefaultParagraphFont"/>
    <w:link w:val="Heading6"/>
    <w:uiPriority w:val="99"/>
    <w:rsid w:val="00522EF9"/>
    <w:rPr>
      <w:rFonts w:asciiTheme="majorHAnsi" w:eastAsia="Times New Roman" w:hAnsiTheme="majorHAnsi" w:cs="Arial"/>
      <w:b/>
      <w:color w:val="0072BC" w:themeColor="accent2"/>
      <w:kern w:val="20"/>
      <w:sz w:val="22"/>
      <w:szCs w:val="22"/>
      <w:lang w:val="en-GB"/>
      <w14:ligatures w14:val="none"/>
    </w:rPr>
  </w:style>
  <w:style w:type="character" w:customStyle="1" w:styleId="Heading7Char">
    <w:name w:val="Heading 7 Char"/>
    <w:basedOn w:val="DefaultParagraphFont"/>
    <w:link w:val="Heading7"/>
    <w:uiPriority w:val="99"/>
    <w:rsid w:val="00522EF9"/>
    <w:rPr>
      <w:rFonts w:asciiTheme="majorHAnsi" w:eastAsia="Times New Roman" w:hAnsiTheme="majorHAnsi" w:cs="Arial"/>
      <w:color w:val="0072BC" w:themeColor="accent2"/>
      <w:kern w:val="20"/>
      <w:sz w:val="22"/>
      <w:szCs w:val="22"/>
      <w:lang w:val="en-GB"/>
      <w14:ligatures w14:val="none"/>
    </w:rPr>
  </w:style>
  <w:style w:type="character" w:customStyle="1" w:styleId="Heading8Char">
    <w:name w:val="Heading 8 Char"/>
    <w:basedOn w:val="DefaultParagraphFont"/>
    <w:link w:val="Heading8"/>
    <w:uiPriority w:val="99"/>
    <w:rsid w:val="00522EF9"/>
    <w:rPr>
      <w:rFonts w:asciiTheme="majorHAnsi" w:eastAsia="Times New Roman" w:hAnsiTheme="majorHAnsi" w:cs="Arial"/>
      <w:b/>
      <w:iCs/>
      <w:color w:val="0072BC" w:themeColor="accent2"/>
      <w:kern w:val="20"/>
      <w:sz w:val="21"/>
      <w:szCs w:val="22"/>
      <w:lang w:val="en-GB"/>
      <w14:ligatures w14:val="none"/>
    </w:rPr>
  </w:style>
  <w:style w:type="character" w:customStyle="1" w:styleId="Heading9Char">
    <w:name w:val="Heading 9 Char"/>
    <w:basedOn w:val="DefaultParagraphFont"/>
    <w:link w:val="Heading9"/>
    <w:uiPriority w:val="99"/>
    <w:rsid w:val="00522EF9"/>
    <w:rPr>
      <w:rFonts w:asciiTheme="majorHAnsi" w:eastAsia="Times New Roman" w:hAnsiTheme="majorHAnsi" w:cs="Arial"/>
      <w:iCs/>
      <w:color w:val="0072BC" w:themeColor="accent2"/>
      <w:kern w:val="20"/>
      <w:sz w:val="21"/>
      <w:szCs w:val="22"/>
      <w:lang w:val="en-GB"/>
      <w14:ligatures w14:val="none"/>
    </w:rPr>
  </w:style>
  <w:style w:type="character" w:customStyle="1" w:styleId="TitleChar">
    <w:name w:val="Title Char"/>
    <w:basedOn w:val="DefaultParagraphFont"/>
    <w:link w:val="Title"/>
    <w:uiPriority w:val="10"/>
    <w:rsid w:val="00B86F31"/>
    <w:rPr>
      <w:rFonts w:ascii="Georgia" w:eastAsiaTheme="majorEastAsia" w:hAnsi="Georgia" w:cstheme="majorBidi"/>
      <w:color w:val="0072BC" w:themeColor="accent2"/>
      <w:kern w:val="28"/>
      <w:sz w:val="68"/>
      <w:szCs w:val="64"/>
      <w:lang w:val="en-US"/>
    </w:rPr>
  </w:style>
  <w:style w:type="character" w:styleId="Hyperlink">
    <w:name w:val="Hyperlink"/>
    <w:basedOn w:val="DefaultParagraphFont"/>
    <w:uiPriority w:val="99"/>
    <w:unhideWhenUsed/>
    <w:rsid w:val="00B347D7"/>
    <w:rPr>
      <w:color w:val="005B96" w:themeColor="hyperlink"/>
      <w:u w:val="single"/>
    </w:rPr>
  </w:style>
  <w:style w:type="character" w:styleId="UnresolvedMention">
    <w:name w:val="Unresolved Mention"/>
    <w:basedOn w:val="DefaultParagraphFont"/>
    <w:uiPriority w:val="99"/>
    <w:semiHidden/>
    <w:unhideWhenUsed/>
    <w:rsid w:val="00B347D7"/>
    <w:rPr>
      <w:color w:val="605E5C"/>
      <w:shd w:val="clear" w:color="auto" w:fill="E1DFDD"/>
    </w:rPr>
  </w:style>
  <w:style w:type="paragraph" w:styleId="TOC3">
    <w:name w:val="toc 3"/>
    <w:basedOn w:val="Normal"/>
    <w:next w:val="Normal"/>
    <w:autoRedefine/>
    <w:uiPriority w:val="39"/>
    <w:unhideWhenUsed/>
    <w:rsid w:val="0002407A"/>
    <w:pPr>
      <w:tabs>
        <w:tab w:val="left" w:pos="1418"/>
        <w:tab w:val="right" w:leader="dot" w:pos="9628"/>
      </w:tabs>
      <w:ind w:left="851" w:hanging="851"/>
    </w:pPr>
    <w:rPr>
      <w:rFonts w:asciiTheme="minorHAnsi" w:eastAsiaTheme="minorEastAsia" w:hAnsiTheme="minorHAnsi"/>
      <w:noProof/>
      <w:szCs w:val="22"/>
      <w:lang w:val="en-ZA" w:eastAsia="en-ZA"/>
    </w:rPr>
  </w:style>
  <w:style w:type="paragraph" w:customStyle="1" w:styleId="Tablebullet2">
    <w:name w:val="Table bullet 2"/>
    <w:basedOn w:val="NTTBlueTableBullet2"/>
    <w:qFormat/>
    <w:rsid w:val="007318BA"/>
    <w:pPr>
      <w:tabs>
        <w:tab w:val="num" w:pos="1134"/>
      </w:tabs>
    </w:pPr>
    <w:rPr>
      <w:color w:val="2E404D" w:themeColor="text1"/>
    </w:rPr>
  </w:style>
  <w:style w:type="table" w:customStyle="1" w:styleId="SmartNavytable">
    <w:name w:val="Smart Navy table"/>
    <w:basedOn w:val="TableGrid"/>
    <w:uiPriority w:val="99"/>
    <w:rsid w:val="002A3108"/>
    <w:tblPr>
      <w:tblStyleRowBandSize w:val="1"/>
      <w:tblStyleColBandSize w:val="1"/>
    </w:tblPr>
    <w:trPr>
      <w:cantSplit/>
    </w:trPr>
    <w:tblStylePr w:type="firstRow">
      <w:rPr>
        <w:b/>
        <w:color w:val="FFFFFF" w:themeColor="background1"/>
      </w:rPr>
      <w:tblPr/>
      <w:trPr>
        <w:cantSplit w:val="0"/>
        <w:tblHeader/>
      </w:trPr>
      <w:tcPr>
        <w:shd w:val="clear" w:color="auto" w:fill="070F26" w:themeFill="accent1"/>
      </w:tcPr>
    </w:tblStylePr>
    <w:tblStylePr w:type="lastRow">
      <w:rPr>
        <w:b/>
        <w:color w:val="2E404D" w:themeColor="text1"/>
      </w:rPr>
      <w:tblPr/>
      <w:tcPr>
        <w:shd w:val="clear" w:color="auto" w:fill="D6DFF7" w:themeFill="accent1" w:themeFillTint="1A"/>
      </w:tcPr>
    </w:tblStylePr>
    <w:tblStylePr w:type="firstCol">
      <w:rPr>
        <w:b/>
        <w:color w:val="FFFFFF" w:themeColor="background1"/>
      </w:rPr>
      <w:tblPr/>
      <w:tcPr>
        <w:shd w:val="clear" w:color="auto" w:fill="070F26" w:themeFill="accent1"/>
      </w:tcPr>
    </w:tblStylePr>
    <w:tblStylePr w:type="lastCol">
      <w:rPr>
        <w:b/>
      </w:rPr>
      <w:tblPr/>
      <w:tcPr>
        <w:shd w:val="clear" w:color="auto" w:fill="D6DFF7" w:themeFill="accent1" w:themeFillTint="1A"/>
      </w:tcPr>
    </w:tblStylePr>
    <w:tblStylePr w:type="band2Vert">
      <w:tblPr/>
      <w:tcPr>
        <w:shd w:val="clear" w:color="auto" w:fill="F1F4FD"/>
      </w:tcPr>
    </w:tblStylePr>
    <w:tblStylePr w:type="band2Horz">
      <w:tblPr/>
      <w:tcPr>
        <w:shd w:val="clear" w:color="auto" w:fill="F1F4FD"/>
      </w:tcPr>
    </w:tblStylePr>
  </w:style>
  <w:style w:type="paragraph" w:customStyle="1" w:styleId="BulletLevel2">
    <w:name w:val="Bullet Level 2"/>
    <w:basedOn w:val="NTTFlushBullet2"/>
    <w:qFormat/>
    <w:rsid w:val="00E728B1"/>
    <w:pPr>
      <w:ind w:left="851" w:hanging="397"/>
    </w:pPr>
  </w:style>
  <w:style w:type="paragraph" w:customStyle="1" w:styleId="BulletLevel3">
    <w:name w:val="Bullet Level 3"/>
    <w:basedOn w:val="NTTFlushBullet3"/>
    <w:qFormat/>
    <w:rsid w:val="00251212"/>
  </w:style>
  <w:style w:type="paragraph" w:customStyle="1" w:styleId="Tablebullet">
    <w:name w:val="Table bullet"/>
    <w:basedOn w:val="NTTBlueTableBullet1"/>
    <w:qFormat/>
    <w:rsid w:val="00486632"/>
    <w:rPr>
      <w:color w:val="2E404D" w:themeColor="text1"/>
    </w:rPr>
  </w:style>
  <w:style w:type="paragraph" w:styleId="Caption">
    <w:name w:val="caption"/>
    <w:next w:val="NTTBodyText"/>
    <w:uiPriority w:val="8"/>
    <w:qFormat/>
    <w:rsid w:val="00121AA7"/>
    <w:pPr>
      <w:spacing w:after="120" w:line="240" w:lineRule="atLeast"/>
      <w:ind w:left="850"/>
    </w:pPr>
    <w:rPr>
      <w:rFonts w:ascii="Arial" w:eastAsia="Times New Roman" w:hAnsi="Arial" w:cs="Arial"/>
      <w:i/>
      <w:color w:val="000000"/>
      <w:spacing w:val="10"/>
      <w:kern w:val="18"/>
      <w:sz w:val="18"/>
      <w:szCs w:val="20"/>
      <w:lang w:val="en-GB" w:eastAsia="en-GB"/>
      <w14:ligatures w14:val="none"/>
    </w:rPr>
  </w:style>
  <w:style w:type="paragraph" w:styleId="TableofFigures">
    <w:name w:val="table of figures"/>
    <w:basedOn w:val="Normal"/>
    <w:next w:val="Normal"/>
    <w:uiPriority w:val="99"/>
    <w:unhideWhenUsed/>
    <w:rsid w:val="003A4083"/>
    <w:pPr>
      <w:spacing w:after="100"/>
    </w:pPr>
  </w:style>
  <w:style w:type="table" w:customStyle="1" w:styleId="NTTFutureBluetable">
    <w:name w:val="NTT Future Blue table"/>
    <w:basedOn w:val="TableGrid"/>
    <w:uiPriority w:val="99"/>
    <w:rsid w:val="002A3108"/>
    <w:pPr>
      <w:spacing w:line="264" w:lineRule="auto"/>
    </w:pPr>
    <w:rPr>
      <w:color w:val="2E404D" w:themeColor="text1"/>
    </w:rPr>
    <w:tblPr>
      <w:tblStyleRowBandSize w:val="1"/>
      <w:tblStyleColBandSize w:val="1"/>
      <w:tblCellMar>
        <w:top w:w="28" w:type="dxa"/>
        <w:bottom w:w="28" w:type="dxa"/>
      </w:tblCellMar>
    </w:tblPr>
    <w:trPr>
      <w:cantSplit/>
    </w:trPr>
    <w:tcPr>
      <w:tcMar>
        <w:top w:w="85" w:type="dxa"/>
        <w:left w:w="85" w:type="dxa"/>
        <w:bottom w:w="85" w:type="dxa"/>
        <w:right w:w="85" w:type="dxa"/>
      </w:tcMar>
    </w:tcPr>
    <w:tblStylePr w:type="firstRow">
      <w:rPr>
        <w:b/>
        <w:color w:val="FFFFFF" w:themeColor="background1"/>
      </w:rPr>
      <w:tblPr/>
      <w:trPr>
        <w:cantSplit w:val="0"/>
        <w:tblHeader/>
      </w:trPr>
      <w:tcPr>
        <w:shd w:val="clear" w:color="auto" w:fill="0072BC" w:themeFill="accent2"/>
      </w:tcPr>
    </w:tblStylePr>
    <w:tblStylePr w:type="lastRow">
      <w:rPr>
        <w:b/>
        <w:color w:val="auto"/>
      </w:rPr>
      <w:tblPr/>
      <w:tcPr>
        <w:shd w:val="clear" w:color="auto" w:fill="BEE5FF" w:themeFill="accent2" w:themeFillTint="33"/>
      </w:tcPr>
    </w:tblStylePr>
    <w:tblStylePr w:type="firstCol">
      <w:rPr>
        <w:b/>
        <w:color w:val="FFFFFF" w:themeColor="background1"/>
      </w:rPr>
      <w:tblPr/>
      <w:tcPr>
        <w:shd w:val="clear" w:color="auto" w:fill="0072BC" w:themeFill="accent2"/>
      </w:tcPr>
    </w:tblStylePr>
    <w:tblStylePr w:type="lastCol">
      <w:rPr>
        <w:b/>
      </w:rPr>
      <w:tblPr/>
      <w:tcPr>
        <w:shd w:val="clear" w:color="auto" w:fill="BEE5FF" w:themeFill="accent2" w:themeFillTint="33"/>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paragraph" w:styleId="BodyText">
    <w:name w:val="Body Text"/>
    <w:basedOn w:val="Normal"/>
    <w:link w:val="BodyTextChar"/>
    <w:uiPriority w:val="99"/>
    <w:unhideWhenUsed/>
    <w:rsid w:val="00B745F5"/>
    <w:pPr>
      <w:spacing w:before="160" w:after="160"/>
    </w:pPr>
    <w:rPr>
      <w:color w:val="2E404D" w:themeColor="text1"/>
    </w:rPr>
  </w:style>
  <w:style w:type="character" w:styleId="PlaceholderText">
    <w:name w:val="Placeholder Text"/>
    <w:basedOn w:val="DefaultParagraphFont"/>
    <w:uiPriority w:val="99"/>
    <w:semiHidden/>
    <w:rsid w:val="00BA0E50"/>
    <w:rPr>
      <w:color w:val="808080"/>
    </w:rPr>
  </w:style>
  <w:style w:type="paragraph" w:customStyle="1" w:styleId="Guidancetext2body">
    <w:name w:val="Guidance text 2 body"/>
    <w:basedOn w:val="Normal"/>
    <w:qFormat/>
    <w:rsid w:val="00AE5238"/>
    <w:pPr>
      <w:pBdr>
        <w:top w:val="single" w:sz="4" w:space="1" w:color="00CB5D" w:themeColor="accent5"/>
        <w:bottom w:val="single" w:sz="4" w:space="1" w:color="00CB5D" w:themeColor="accent5"/>
      </w:pBdr>
      <w:shd w:val="clear" w:color="auto" w:fill="C1FFDD" w:themeFill="accent5" w:themeFillTint="33"/>
      <w:spacing w:before="160" w:after="160"/>
    </w:pPr>
    <w:rPr>
      <w:color w:val="00652E" w:themeColor="accent5" w:themeShade="80"/>
    </w:rPr>
  </w:style>
  <w:style w:type="paragraph" w:customStyle="1" w:styleId="Legalnumbering1">
    <w:name w:val="Legal numbering 1"/>
    <w:basedOn w:val="Bullet"/>
    <w:qFormat/>
    <w:rsid w:val="00ED3870"/>
    <w:pPr>
      <w:numPr>
        <w:numId w:val="2"/>
      </w:numPr>
      <w:ind w:left="567" w:hanging="567"/>
    </w:pPr>
  </w:style>
  <w:style w:type="character" w:styleId="CommentReference">
    <w:name w:val="annotation reference"/>
    <w:basedOn w:val="DefaultParagraphFont"/>
    <w:uiPriority w:val="99"/>
    <w:semiHidden/>
    <w:unhideWhenUsed/>
    <w:rsid w:val="00742376"/>
    <w:rPr>
      <w:sz w:val="16"/>
      <w:szCs w:val="16"/>
    </w:rPr>
  </w:style>
  <w:style w:type="paragraph" w:styleId="CommentText">
    <w:name w:val="annotation text"/>
    <w:basedOn w:val="Normal"/>
    <w:link w:val="CommentTextChar"/>
    <w:uiPriority w:val="99"/>
    <w:unhideWhenUsed/>
    <w:rsid w:val="00742376"/>
    <w:pPr>
      <w:spacing w:line="240" w:lineRule="auto"/>
    </w:pPr>
    <w:rPr>
      <w:szCs w:val="20"/>
    </w:rPr>
  </w:style>
  <w:style w:type="character" w:customStyle="1" w:styleId="CommentTextChar">
    <w:name w:val="Comment Text Char"/>
    <w:basedOn w:val="DefaultParagraphFont"/>
    <w:link w:val="CommentText"/>
    <w:uiPriority w:val="99"/>
    <w:rsid w:val="00742376"/>
    <w:rPr>
      <w:rFonts w:ascii="Arial" w:hAnsi="Arial"/>
      <w:sz w:val="20"/>
      <w:szCs w:val="20"/>
      <w:lang w:val="en-US"/>
    </w:rPr>
  </w:style>
  <w:style w:type="paragraph" w:customStyle="1" w:styleId="Legalnumbering2">
    <w:name w:val="Legal numbering 2"/>
    <w:basedOn w:val="Legalnumbering1"/>
    <w:qFormat/>
    <w:rsid w:val="00ED3870"/>
    <w:pPr>
      <w:numPr>
        <w:ilvl w:val="1"/>
      </w:numPr>
      <w:ind w:left="567" w:hanging="567"/>
    </w:pPr>
  </w:style>
  <w:style w:type="paragraph" w:customStyle="1" w:styleId="Legalnumbering3">
    <w:name w:val="Legal numbering 3"/>
    <w:basedOn w:val="Legalnumbering2"/>
    <w:qFormat/>
    <w:rsid w:val="00ED3870"/>
    <w:pPr>
      <w:numPr>
        <w:ilvl w:val="2"/>
      </w:numPr>
      <w:ind w:left="567" w:hanging="567"/>
    </w:pPr>
  </w:style>
  <w:style w:type="paragraph" w:customStyle="1" w:styleId="Legalnumbering4">
    <w:name w:val="Legal numbering 4"/>
    <w:basedOn w:val="NTTBullet7"/>
    <w:qFormat/>
    <w:rsid w:val="00303899"/>
    <w:pPr>
      <w:tabs>
        <w:tab w:val="num" w:pos="850"/>
        <w:tab w:val="num" w:pos="1418"/>
      </w:tabs>
      <w:ind w:left="284"/>
    </w:pPr>
  </w:style>
  <w:style w:type="paragraph" w:customStyle="1" w:styleId="Legalnumbering5">
    <w:name w:val="Legal numbering 5"/>
    <w:basedOn w:val="NTTBullet8"/>
    <w:qFormat/>
    <w:rsid w:val="00303899"/>
    <w:pPr>
      <w:tabs>
        <w:tab w:val="num" w:pos="1985"/>
      </w:tabs>
      <w:ind w:left="568"/>
    </w:pPr>
  </w:style>
  <w:style w:type="paragraph" w:customStyle="1" w:styleId="Legalnumbering6">
    <w:name w:val="Legal numbering 6"/>
    <w:basedOn w:val="NTTBullet9"/>
    <w:qFormat/>
    <w:rsid w:val="00303899"/>
    <w:pPr>
      <w:tabs>
        <w:tab w:val="num" w:pos="2552"/>
      </w:tabs>
      <w:ind w:left="851"/>
    </w:pPr>
  </w:style>
  <w:style w:type="paragraph" w:customStyle="1" w:styleId="Tablebullet3">
    <w:name w:val="Table bullet 3"/>
    <w:basedOn w:val="NTTBlueTableBullet3"/>
    <w:qFormat/>
    <w:rsid w:val="007318BA"/>
    <w:pPr>
      <w:contextualSpacing/>
    </w:pPr>
    <w:rPr>
      <w:color w:val="2E404D" w:themeColor="text1"/>
    </w:rPr>
  </w:style>
  <w:style w:type="character" w:customStyle="1" w:styleId="BodyTextChar">
    <w:name w:val="Body Text Char"/>
    <w:basedOn w:val="DefaultParagraphFont"/>
    <w:link w:val="BodyText"/>
    <w:uiPriority w:val="99"/>
    <w:rsid w:val="00B745F5"/>
    <w:rPr>
      <w:rFonts w:ascii="Arial" w:hAnsi="Arial"/>
      <w:color w:val="2E404D" w:themeColor="text1"/>
      <w:sz w:val="20"/>
      <w:lang w:val="en-US"/>
    </w:rPr>
  </w:style>
  <w:style w:type="paragraph" w:styleId="BodyText3">
    <w:name w:val="Body Text 3"/>
    <w:basedOn w:val="Normal"/>
    <w:link w:val="BodyText3Char"/>
    <w:uiPriority w:val="99"/>
    <w:unhideWhenUsed/>
    <w:rsid w:val="00392431"/>
    <w:pPr>
      <w:spacing w:before="160" w:after="160"/>
      <w:contextualSpacing/>
    </w:pPr>
    <w:rPr>
      <w:color w:val="2E404D" w:themeColor="text1"/>
      <w:sz w:val="17"/>
    </w:rPr>
  </w:style>
  <w:style w:type="character" w:customStyle="1" w:styleId="BodyText3Char">
    <w:name w:val="Body Text 3 Char"/>
    <w:basedOn w:val="DefaultParagraphFont"/>
    <w:link w:val="BodyText3"/>
    <w:uiPriority w:val="99"/>
    <w:rsid w:val="00392431"/>
    <w:rPr>
      <w:rFonts w:ascii="Arial" w:hAnsi="Arial"/>
      <w:color w:val="2E404D" w:themeColor="text1"/>
      <w:sz w:val="17"/>
      <w:lang w:val="en-US"/>
    </w:rPr>
  </w:style>
  <w:style w:type="paragraph" w:styleId="BodyTextIndent">
    <w:name w:val="Body Text Indent"/>
    <w:basedOn w:val="Normal"/>
    <w:link w:val="BodyTextIndentChar"/>
    <w:uiPriority w:val="99"/>
    <w:semiHidden/>
    <w:unhideWhenUsed/>
    <w:rsid w:val="008939C6"/>
    <w:pPr>
      <w:spacing w:after="120"/>
      <w:ind w:left="283"/>
    </w:pPr>
  </w:style>
  <w:style w:type="character" w:customStyle="1" w:styleId="BodyTextIndentChar">
    <w:name w:val="Body Text Indent Char"/>
    <w:basedOn w:val="DefaultParagraphFont"/>
    <w:link w:val="BodyTextIndent"/>
    <w:uiPriority w:val="99"/>
    <w:semiHidden/>
    <w:rsid w:val="008939C6"/>
    <w:rPr>
      <w:rFonts w:ascii="Arial" w:hAnsi="Arial"/>
      <w:sz w:val="20"/>
      <w:lang w:val="en-US"/>
    </w:rPr>
  </w:style>
  <w:style w:type="paragraph" w:styleId="BodyTextIndent3">
    <w:name w:val="Body Text Indent 3"/>
    <w:basedOn w:val="Normal"/>
    <w:link w:val="BodyTextIndent3Char"/>
    <w:uiPriority w:val="99"/>
    <w:semiHidden/>
    <w:unhideWhenUsed/>
    <w:rsid w:val="00382304"/>
    <w:pPr>
      <w:spacing w:after="120"/>
      <w:ind w:left="284"/>
    </w:pPr>
    <w:rPr>
      <w:sz w:val="17"/>
      <w:szCs w:val="16"/>
    </w:rPr>
  </w:style>
  <w:style w:type="paragraph" w:styleId="BodyTextIndent2">
    <w:name w:val="Body Text Indent 2"/>
    <w:basedOn w:val="Normal"/>
    <w:link w:val="BodyTextIndent2Char"/>
    <w:uiPriority w:val="99"/>
    <w:semiHidden/>
    <w:unhideWhenUsed/>
    <w:rsid w:val="008939C6"/>
    <w:pPr>
      <w:spacing w:after="120"/>
      <w:ind w:left="284"/>
    </w:pPr>
  </w:style>
  <w:style w:type="character" w:customStyle="1" w:styleId="BodyTextIndent2Char">
    <w:name w:val="Body Text Indent 2 Char"/>
    <w:basedOn w:val="DefaultParagraphFont"/>
    <w:link w:val="BodyTextIndent2"/>
    <w:uiPriority w:val="99"/>
    <w:semiHidden/>
    <w:rsid w:val="008939C6"/>
    <w:rPr>
      <w:rFonts w:ascii="Arial" w:hAnsi="Arial"/>
      <w:sz w:val="20"/>
      <w:lang w:val="en-US"/>
    </w:rPr>
  </w:style>
  <w:style w:type="character" w:customStyle="1" w:styleId="BodyTextIndent3Char">
    <w:name w:val="Body Text Indent 3 Char"/>
    <w:basedOn w:val="DefaultParagraphFont"/>
    <w:link w:val="BodyTextIndent3"/>
    <w:uiPriority w:val="99"/>
    <w:semiHidden/>
    <w:rsid w:val="00382304"/>
    <w:rPr>
      <w:rFonts w:ascii="Arial" w:hAnsi="Arial"/>
      <w:sz w:val="17"/>
      <w:szCs w:val="16"/>
      <w:lang w:val="en-US"/>
    </w:rPr>
  </w:style>
  <w:style w:type="paragraph" w:customStyle="1" w:styleId="CaptionWide">
    <w:name w:val="Caption Wide"/>
    <w:basedOn w:val="Caption"/>
    <w:uiPriority w:val="99"/>
    <w:rsid w:val="004B7585"/>
    <w:pPr>
      <w:spacing w:line="264" w:lineRule="auto"/>
      <w:ind w:left="0"/>
    </w:pPr>
    <w:rPr>
      <w:spacing w:val="0"/>
    </w:rPr>
  </w:style>
  <w:style w:type="numbering" w:customStyle="1" w:styleId="NTTAppendixList">
    <w:name w:val="_NTT Appendix List"/>
    <w:uiPriority w:val="89"/>
    <w:rsid w:val="00F93B13"/>
    <w:pPr>
      <w:numPr>
        <w:numId w:val="3"/>
      </w:numPr>
    </w:pPr>
  </w:style>
  <w:style w:type="paragraph" w:customStyle="1" w:styleId="AppendixHeading2">
    <w:name w:val="Appendix Heading 2"/>
    <w:basedOn w:val="Heading2"/>
    <w:next w:val="Normal"/>
    <w:uiPriority w:val="5"/>
    <w:qFormat/>
    <w:rsid w:val="00D24630"/>
    <w:pPr>
      <w:numPr>
        <w:numId w:val="4"/>
      </w:numPr>
      <w:ind w:left="1701" w:hanging="1701"/>
    </w:pPr>
    <w:rPr>
      <w:bCs w:val="0"/>
      <w:szCs w:val="32"/>
    </w:rPr>
  </w:style>
  <w:style w:type="paragraph" w:customStyle="1" w:styleId="AppendixHeading3">
    <w:name w:val="Appendix Heading 3"/>
    <w:basedOn w:val="Heading3"/>
    <w:next w:val="Normal"/>
    <w:uiPriority w:val="5"/>
    <w:qFormat/>
    <w:rsid w:val="00FD54FD"/>
    <w:pPr>
      <w:numPr>
        <w:numId w:val="4"/>
      </w:numPr>
      <w:ind w:left="1701" w:hanging="1701"/>
    </w:pPr>
    <w:rPr>
      <w:rFonts w:asciiTheme="minorHAnsi" w:hAnsiTheme="minorHAnsi"/>
      <w:bCs/>
    </w:rPr>
  </w:style>
  <w:style w:type="numbering" w:customStyle="1" w:styleId="NTTBlueBulletList">
    <w:name w:val="_NTT Blue Bullet List"/>
    <w:uiPriority w:val="89"/>
    <w:rsid w:val="009F1A55"/>
    <w:pPr>
      <w:numPr>
        <w:numId w:val="5"/>
      </w:numPr>
    </w:pPr>
  </w:style>
  <w:style w:type="paragraph" w:customStyle="1" w:styleId="NTTBlueBullet1">
    <w:name w:val="NTT Blue Bullet 1"/>
    <w:basedOn w:val="Normal"/>
    <w:uiPriority w:val="29"/>
    <w:rsid w:val="00A43CFD"/>
    <w:pPr>
      <w:numPr>
        <w:numId w:val="6"/>
      </w:numPr>
      <w:tabs>
        <w:tab w:val="clear" w:pos="1134"/>
      </w:tabs>
      <w:spacing w:before="160" w:after="160"/>
      <w:ind w:left="1191" w:hanging="340"/>
      <w:contextualSpacing/>
    </w:pPr>
    <w:rPr>
      <w:rFonts w:eastAsia="Times New Roman" w:cs="Arial"/>
      <w:color w:val="005B96" w:themeColor="accent3"/>
      <w:kern w:val="20"/>
      <w:szCs w:val="20"/>
      <w:lang w:val="en-GB"/>
      <w14:ligatures w14:val="none"/>
    </w:rPr>
  </w:style>
  <w:style w:type="paragraph" w:customStyle="1" w:styleId="NTTBlueBullet2">
    <w:name w:val="NTT Blue Bullet 2"/>
    <w:basedOn w:val="Normal"/>
    <w:uiPriority w:val="29"/>
    <w:rsid w:val="0030602F"/>
    <w:pPr>
      <w:numPr>
        <w:ilvl w:val="1"/>
        <w:numId w:val="6"/>
      </w:numPr>
      <w:tabs>
        <w:tab w:val="clear" w:pos="1418"/>
      </w:tabs>
      <w:spacing w:before="160" w:after="160"/>
      <w:ind w:left="1531" w:hanging="340"/>
      <w:contextualSpacing/>
    </w:pPr>
    <w:rPr>
      <w:rFonts w:eastAsia="Times New Roman" w:cs="Arial"/>
      <w:color w:val="005B96" w:themeColor="accent3"/>
      <w:kern w:val="20"/>
      <w:szCs w:val="20"/>
      <w:lang w:val="en-GB"/>
      <w14:ligatures w14:val="none"/>
    </w:rPr>
  </w:style>
  <w:style w:type="paragraph" w:customStyle="1" w:styleId="NTTBlueBullet3">
    <w:name w:val="NTT Blue Bullet 3"/>
    <w:basedOn w:val="Normal"/>
    <w:uiPriority w:val="29"/>
    <w:rsid w:val="0030602F"/>
    <w:pPr>
      <w:numPr>
        <w:ilvl w:val="2"/>
        <w:numId w:val="6"/>
      </w:numPr>
      <w:tabs>
        <w:tab w:val="clear" w:pos="1701"/>
      </w:tabs>
      <w:spacing w:before="160" w:after="160"/>
      <w:ind w:left="1815" w:hanging="284"/>
      <w:contextualSpacing/>
    </w:pPr>
    <w:rPr>
      <w:rFonts w:eastAsia="Times New Roman" w:cs="Arial"/>
      <w:color w:val="005B96" w:themeColor="accent3"/>
      <w:kern w:val="20"/>
      <w:szCs w:val="20"/>
      <w:lang w:val="en-GB"/>
      <w14:ligatures w14:val="none"/>
    </w:rPr>
  </w:style>
  <w:style w:type="paragraph" w:customStyle="1" w:styleId="NTTBlueBullet4">
    <w:name w:val="NTT Blue Bullet 4"/>
    <w:basedOn w:val="Normal"/>
    <w:uiPriority w:val="29"/>
    <w:rsid w:val="00B23563"/>
    <w:pPr>
      <w:numPr>
        <w:ilvl w:val="3"/>
        <w:numId w:val="6"/>
      </w:numPr>
      <w:tabs>
        <w:tab w:val="clear" w:pos="1418"/>
      </w:tabs>
      <w:spacing w:before="160" w:after="160"/>
      <w:ind w:left="1531" w:hanging="680"/>
      <w:contextualSpacing/>
    </w:pPr>
    <w:rPr>
      <w:rFonts w:eastAsia="Times New Roman" w:cs="Arial"/>
      <w:color w:val="005B96" w:themeColor="accent3"/>
      <w:kern w:val="20"/>
      <w:szCs w:val="20"/>
      <w:lang w:val="en-GB"/>
      <w14:ligatures w14:val="none"/>
    </w:rPr>
  </w:style>
  <w:style w:type="paragraph" w:customStyle="1" w:styleId="NTTBlueBullet5">
    <w:name w:val="NTT Blue Bullet 5"/>
    <w:basedOn w:val="Normal"/>
    <w:uiPriority w:val="29"/>
    <w:rsid w:val="005A39EB"/>
    <w:pPr>
      <w:numPr>
        <w:ilvl w:val="4"/>
        <w:numId w:val="6"/>
      </w:numPr>
      <w:tabs>
        <w:tab w:val="clear" w:pos="1418"/>
      </w:tabs>
      <w:spacing w:before="160" w:after="160"/>
      <w:ind w:left="1531" w:hanging="680"/>
      <w:contextualSpacing/>
    </w:pPr>
    <w:rPr>
      <w:rFonts w:eastAsia="Times New Roman" w:cs="Arial"/>
      <w:color w:val="005B96" w:themeColor="accent3"/>
      <w:kern w:val="20"/>
      <w:szCs w:val="20"/>
      <w:lang w:val="en-GB"/>
      <w14:ligatures w14:val="none"/>
    </w:rPr>
  </w:style>
  <w:style w:type="paragraph" w:customStyle="1" w:styleId="NTTBlueBullet6">
    <w:name w:val="NTT Blue Bullet 6"/>
    <w:basedOn w:val="Normal"/>
    <w:uiPriority w:val="29"/>
    <w:rsid w:val="005A39EB"/>
    <w:pPr>
      <w:numPr>
        <w:ilvl w:val="5"/>
        <w:numId w:val="6"/>
      </w:numPr>
      <w:tabs>
        <w:tab w:val="clear" w:pos="1418"/>
      </w:tabs>
      <w:spacing w:before="160" w:after="160"/>
      <w:ind w:left="1531" w:hanging="680"/>
      <w:contextualSpacing/>
    </w:pPr>
    <w:rPr>
      <w:rFonts w:eastAsia="Times New Roman" w:cs="Arial"/>
      <w:color w:val="005B96" w:themeColor="accent3"/>
      <w:kern w:val="20"/>
      <w:szCs w:val="20"/>
      <w:lang w:val="en-GB"/>
      <w14:ligatures w14:val="none"/>
    </w:rPr>
  </w:style>
  <w:style w:type="paragraph" w:customStyle="1" w:styleId="NTTBlueBullet7">
    <w:name w:val="NTT Blue Bullet 7"/>
    <w:basedOn w:val="Normal"/>
    <w:uiPriority w:val="29"/>
    <w:rsid w:val="00911702"/>
    <w:pPr>
      <w:numPr>
        <w:ilvl w:val="6"/>
        <w:numId w:val="6"/>
      </w:numPr>
      <w:tabs>
        <w:tab w:val="clear" w:pos="1418"/>
      </w:tabs>
      <w:spacing w:before="160" w:after="160"/>
      <w:ind w:left="1531" w:hanging="340"/>
      <w:contextualSpacing/>
    </w:pPr>
    <w:rPr>
      <w:rFonts w:eastAsia="Times New Roman" w:cs="Arial"/>
      <w:color w:val="005B96" w:themeColor="accent3"/>
      <w:kern w:val="20"/>
      <w:szCs w:val="20"/>
      <w:lang w:val="en-GB"/>
      <w14:ligatures w14:val="none"/>
    </w:rPr>
  </w:style>
  <w:style w:type="paragraph" w:customStyle="1" w:styleId="NTTBlueBullet8">
    <w:name w:val="NTT Blue Bullet 8"/>
    <w:basedOn w:val="Normal"/>
    <w:uiPriority w:val="29"/>
    <w:rsid w:val="004C2406"/>
    <w:pPr>
      <w:numPr>
        <w:ilvl w:val="7"/>
        <w:numId w:val="6"/>
      </w:numPr>
      <w:tabs>
        <w:tab w:val="clear" w:pos="1985"/>
      </w:tabs>
      <w:spacing w:before="160" w:after="160"/>
      <w:ind w:left="1814" w:hanging="340"/>
      <w:contextualSpacing/>
    </w:pPr>
    <w:rPr>
      <w:rFonts w:eastAsia="Times New Roman" w:cs="Arial"/>
      <w:color w:val="005B96" w:themeColor="accent3"/>
      <w:kern w:val="20"/>
      <w:szCs w:val="20"/>
      <w:lang w:val="en-GB"/>
      <w14:ligatures w14:val="none"/>
    </w:rPr>
  </w:style>
  <w:style w:type="paragraph" w:customStyle="1" w:styleId="NTTBlueBullet9">
    <w:name w:val="NTT Blue Bullet 9"/>
    <w:basedOn w:val="Normal"/>
    <w:uiPriority w:val="29"/>
    <w:rsid w:val="004C2406"/>
    <w:pPr>
      <w:numPr>
        <w:ilvl w:val="8"/>
        <w:numId w:val="6"/>
      </w:numPr>
      <w:tabs>
        <w:tab w:val="clear" w:pos="2552"/>
      </w:tabs>
      <w:spacing w:before="160" w:after="160"/>
      <w:ind w:left="1814" w:hanging="340"/>
      <w:contextualSpacing/>
    </w:pPr>
    <w:rPr>
      <w:rFonts w:eastAsia="Times New Roman" w:cs="Arial"/>
      <w:color w:val="005B96" w:themeColor="accent3"/>
      <w:kern w:val="20"/>
      <w:szCs w:val="20"/>
      <w:lang w:val="en-GB"/>
      <w14:ligatures w14:val="none"/>
    </w:rPr>
  </w:style>
  <w:style w:type="numbering" w:customStyle="1" w:styleId="NTTBlueTableBulletList">
    <w:name w:val="_NTT Blue Table Bullet List"/>
    <w:uiPriority w:val="89"/>
    <w:rsid w:val="009F1A55"/>
    <w:pPr>
      <w:numPr>
        <w:numId w:val="7"/>
      </w:numPr>
    </w:pPr>
  </w:style>
  <w:style w:type="paragraph" w:customStyle="1" w:styleId="NTTBlueTableBullet1">
    <w:name w:val="NTT Blue Table Bullet 1"/>
    <w:basedOn w:val="Normal"/>
    <w:uiPriority w:val="34"/>
    <w:rsid w:val="0015224D"/>
    <w:pPr>
      <w:numPr>
        <w:numId w:val="8"/>
      </w:numPr>
      <w:tabs>
        <w:tab w:val="clear" w:pos="283"/>
      </w:tabs>
      <w:ind w:left="340" w:hanging="340"/>
      <w:contextualSpacing/>
    </w:pPr>
    <w:rPr>
      <w:rFonts w:eastAsia="Times New Roman" w:cs="Arial"/>
      <w:color w:val="005B96" w:themeColor="accent3"/>
      <w:kern w:val="18"/>
      <w:szCs w:val="18"/>
      <w:lang w:val="en-GB"/>
      <w14:ligatures w14:val="none"/>
    </w:rPr>
  </w:style>
  <w:style w:type="paragraph" w:customStyle="1" w:styleId="NTTBlueTableBullet2">
    <w:name w:val="NTT Blue Table Bullet 2"/>
    <w:basedOn w:val="Normal"/>
    <w:uiPriority w:val="34"/>
    <w:rsid w:val="00767F75"/>
    <w:pPr>
      <w:numPr>
        <w:ilvl w:val="1"/>
        <w:numId w:val="8"/>
      </w:numPr>
      <w:tabs>
        <w:tab w:val="clear" w:pos="1134"/>
      </w:tabs>
      <w:ind w:left="680" w:hanging="340"/>
    </w:pPr>
    <w:rPr>
      <w:rFonts w:eastAsia="Times New Roman" w:cs="Arial"/>
      <w:color w:val="005B96" w:themeColor="accent3"/>
      <w:kern w:val="18"/>
      <w:szCs w:val="20"/>
      <w:lang w:val="en-GB"/>
      <w14:ligatures w14:val="none"/>
    </w:rPr>
  </w:style>
  <w:style w:type="paragraph" w:customStyle="1" w:styleId="NTTBlueTableBullet3">
    <w:name w:val="NTT Blue Table Bullet 3"/>
    <w:basedOn w:val="Normal"/>
    <w:uiPriority w:val="34"/>
    <w:rsid w:val="00767F75"/>
    <w:pPr>
      <w:numPr>
        <w:ilvl w:val="2"/>
        <w:numId w:val="8"/>
      </w:numPr>
      <w:tabs>
        <w:tab w:val="clear" w:pos="850"/>
      </w:tabs>
      <w:ind w:left="964" w:hanging="284"/>
    </w:pPr>
    <w:rPr>
      <w:rFonts w:eastAsia="Times New Roman" w:cs="Arial"/>
      <w:color w:val="005B96" w:themeColor="accent3"/>
      <w:kern w:val="18"/>
      <w:szCs w:val="20"/>
      <w:lang w:val="en-GB"/>
      <w14:ligatures w14:val="none"/>
    </w:rPr>
  </w:style>
  <w:style w:type="paragraph" w:customStyle="1" w:styleId="NTTBlueTableBullet4">
    <w:name w:val="NTT Blue Table Bullet 4"/>
    <w:basedOn w:val="Normal"/>
    <w:uiPriority w:val="34"/>
    <w:rsid w:val="00ED179B"/>
    <w:pPr>
      <w:numPr>
        <w:ilvl w:val="3"/>
        <w:numId w:val="8"/>
      </w:numPr>
      <w:tabs>
        <w:tab w:val="clear" w:pos="567"/>
        <w:tab w:val="left" w:pos="0"/>
      </w:tabs>
      <w:ind w:left="851" w:hanging="851"/>
    </w:pPr>
    <w:rPr>
      <w:rFonts w:eastAsia="Times New Roman" w:cs="Arial"/>
      <w:color w:val="005B96" w:themeColor="accent3"/>
      <w:kern w:val="18"/>
      <w:szCs w:val="20"/>
      <w:lang w:val="en-GB"/>
      <w14:ligatures w14:val="none"/>
    </w:rPr>
  </w:style>
  <w:style w:type="paragraph" w:customStyle="1" w:styleId="NTTBlueTableBullet5">
    <w:name w:val="NTT Blue Table Bullet 5"/>
    <w:basedOn w:val="Normal"/>
    <w:uiPriority w:val="34"/>
    <w:rsid w:val="0040405A"/>
    <w:pPr>
      <w:numPr>
        <w:ilvl w:val="4"/>
        <w:numId w:val="8"/>
      </w:numPr>
      <w:tabs>
        <w:tab w:val="clear" w:pos="567"/>
      </w:tabs>
      <w:ind w:left="851" w:hanging="851"/>
    </w:pPr>
    <w:rPr>
      <w:rFonts w:eastAsia="Times New Roman" w:cs="Arial"/>
      <w:color w:val="005B96" w:themeColor="accent3"/>
      <w:kern w:val="18"/>
      <w:szCs w:val="20"/>
      <w:lang w:val="en-GB"/>
      <w14:ligatures w14:val="none"/>
    </w:rPr>
  </w:style>
  <w:style w:type="paragraph" w:customStyle="1" w:styleId="NTTBlueTableBullet6">
    <w:name w:val="NTT Blue Table Bullet 6"/>
    <w:basedOn w:val="Normal"/>
    <w:uiPriority w:val="34"/>
    <w:rsid w:val="0062106E"/>
    <w:pPr>
      <w:numPr>
        <w:ilvl w:val="5"/>
        <w:numId w:val="8"/>
      </w:numPr>
      <w:tabs>
        <w:tab w:val="clear" w:pos="567"/>
      </w:tabs>
      <w:ind w:left="851" w:hanging="851"/>
    </w:pPr>
    <w:rPr>
      <w:rFonts w:eastAsia="Times New Roman" w:cs="Arial"/>
      <w:color w:val="005B96" w:themeColor="accent3"/>
      <w:kern w:val="18"/>
      <w:szCs w:val="20"/>
      <w:lang w:val="en-GB"/>
      <w14:ligatures w14:val="none"/>
    </w:rPr>
  </w:style>
  <w:style w:type="paragraph" w:customStyle="1" w:styleId="NTTBlueTableBullet7">
    <w:name w:val="NTT Blue Table Bullet 7"/>
    <w:basedOn w:val="Normal"/>
    <w:uiPriority w:val="34"/>
    <w:rsid w:val="00911702"/>
    <w:pPr>
      <w:numPr>
        <w:ilvl w:val="6"/>
        <w:numId w:val="8"/>
      </w:numPr>
      <w:tabs>
        <w:tab w:val="clear" w:pos="567"/>
      </w:tabs>
      <w:ind w:left="680" w:hanging="340"/>
    </w:pPr>
    <w:rPr>
      <w:rFonts w:eastAsia="Times New Roman" w:cs="Arial"/>
      <w:color w:val="005B96" w:themeColor="accent3"/>
      <w:kern w:val="18"/>
      <w:szCs w:val="20"/>
      <w:lang w:val="en-GB"/>
      <w14:ligatures w14:val="none"/>
    </w:rPr>
  </w:style>
  <w:style w:type="paragraph" w:customStyle="1" w:styleId="NTTBlueTableBullet8">
    <w:name w:val="NTT Blue Table Bullet 8"/>
    <w:basedOn w:val="Normal"/>
    <w:uiPriority w:val="34"/>
    <w:rsid w:val="00D87AB2"/>
    <w:pPr>
      <w:numPr>
        <w:ilvl w:val="7"/>
        <w:numId w:val="8"/>
      </w:numPr>
      <w:ind w:left="964" w:hanging="340"/>
    </w:pPr>
    <w:rPr>
      <w:rFonts w:eastAsia="Times New Roman" w:cs="Arial"/>
      <w:color w:val="005B96" w:themeColor="accent3"/>
      <w:kern w:val="18"/>
      <w:szCs w:val="20"/>
      <w:lang w:val="en-GB"/>
      <w14:ligatures w14:val="none"/>
    </w:rPr>
  </w:style>
  <w:style w:type="paragraph" w:customStyle="1" w:styleId="NTTBlueTableBullet9">
    <w:name w:val="NTT Blue Table Bullet 9"/>
    <w:basedOn w:val="Normal"/>
    <w:uiPriority w:val="34"/>
    <w:rsid w:val="004C2406"/>
    <w:pPr>
      <w:numPr>
        <w:ilvl w:val="8"/>
        <w:numId w:val="8"/>
      </w:numPr>
      <w:ind w:left="964" w:hanging="340"/>
    </w:pPr>
    <w:rPr>
      <w:rFonts w:eastAsia="Times New Roman" w:cs="Arial"/>
      <w:color w:val="005B96" w:themeColor="accent3"/>
      <w:kern w:val="18"/>
      <w:szCs w:val="20"/>
      <w:lang w:val="en-GB"/>
      <w14:ligatures w14:val="none"/>
    </w:rPr>
  </w:style>
  <w:style w:type="numbering" w:customStyle="1" w:styleId="NTTBulletList">
    <w:name w:val="_NTT Bullet List"/>
    <w:uiPriority w:val="89"/>
    <w:rsid w:val="00DD1DB4"/>
    <w:pPr>
      <w:numPr>
        <w:numId w:val="9"/>
      </w:numPr>
    </w:pPr>
  </w:style>
  <w:style w:type="numbering" w:customStyle="1" w:styleId="NTTFlushBlueBulletList">
    <w:name w:val="_NTT Flush Blue Bullet List"/>
    <w:rsid w:val="00DD1DB4"/>
    <w:pPr>
      <w:numPr>
        <w:numId w:val="10"/>
      </w:numPr>
    </w:pPr>
  </w:style>
  <w:style w:type="numbering" w:customStyle="1" w:styleId="NTTFlushBulletList">
    <w:name w:val="_NTT Flush Bullet List"/>
    <w:basedOn w:val="NoList"/>
    <w:rsid w:val="00DD1DB4"/>
    <w:pPr>
      <w:numPr>
        <w:numId w:val="11"/>
      </w:numPr>
    </w:pPr>
  </w:style>
  <w:style w:type="paragraph" w:customStyle="1" w:styleId="NTTBullet1">
    <w:name w:val="NTT Bullet 1"/>
    <w:basedOn w:val="Normal"/>
    <w:link w:val="NTTBullet1Char"/>
    <w:uiPriority w:val="9"/>
    <w:qFormat/>
    <w:rsid w:val="008C0602"/>
    <w:pPr>
      <w:numPr>
        <w:numId w:val="12"/>
      </w:numPr>
      <w:tabs>
        <w:tab w:val="clear" w:pos="1134"/>
      </w:tabs>
      <w:spacing w:before="160" w:after="160"/>
      <w:ind w:left="1191" w:hanging="340"/>
      <w:contextualSpacing/>
    </w:pPr>
    <w:rPr>
      <w:rFonts w:eastAsia="Times New Roman" w:cs="Arial"/>
      <w:color w:val="2E404D" w:themeColor="text1"/>
      <w:kern w:val="20"/>
      <w:szCs w:val="20"/>
      <w:lang w:val="en-GB"/>
      <w14:ligatures w14:val="none"/>
    </w:rPr>
  </w:style>
  <w:style w:type="character" w:customStyle="1" w:styleId="NTTBullet1Char">
    <w:name w:val="NTT Bullet 1 Char"/>
    <w:basedOn w:val="DefaultParagraphFont"/>
    <w:link w:val="NTTBullet1"/>
    <w:uiPriority w:val="9"/>
    <w:rsid w:val="008C0602"/>
    <w:rPr>
      <w:rFonts w:ascii="Arial" w:eastAsia="Times New Roman" w:hAnsi="Arial" w:cs="Arial"/>
      <w:color w:val="2E404D" w:themeColor="text1"/>
      <w:kern w:val="20"/>
      <w:sz w:val="20"/>
      <w:szCs w:val="20"/>
      <w:lang w:val="en-GB"/>
      <w14:ligatures w14:val="none"/>
    </w:rPr>
  </w:style>
  <w:style w:type="paragraph" w:customStyle="1" w:styleId="NTTBullet2">
    <w:name w:val="NTT Bullet 2"/>
    <w:basedOn w:val="NTTBullet1"/>
    <w:uiPriority w:val="9"/>
    <w:qFormat/>
    <w:rsid w:val="00B10354"/>
    <w:pPr>
      <w:numPr>
        <w:ilvl w:val="1"/>
      </w:numPr>
      <w:tabs>
        <w:tab w:val="clear" w:pos="1418"/>
      </w:tabs>
      <w:ind w:left="1531" w:hanging="340"/>
    </w:pPr>
  </w:style>
  <w:style w:type="paragraph" w:customStyle="1" w:styleId="NTTBullet3">
    <w:name w:val="NTT Bullet 3"/>
    <w:basedOn w:val="NTTBullet2"/>
    <w:uiPriority w:val="9"/>
    <w:qFormat/>
    <w:rsid w:val="00252A11"/>
    <w:pPr>
      <w:numPr>
        <w:ilvl w:val="2"/>
      </w:numPr>
      <w:tabs>
        <w:tab w:val="clear" w:pos="1701"/>
      </w:tabs>
      <w:ind w:left="1815" w:hanging="284"/>
    </w:pPr>
  </w:style>
  <w:style w:type="paragraph" w:customStyle="1" w:styleId="NTTBullet4">
    <w:name w:val="NTT Bullet 4"/>
    <w:basedOn w:val="Normal"/>
    <w:uiPriority w:val="9"/>
    <w:rsid w:val="00B23563"/>
    <w:pPr>
      <w:numPr>
        <w:ilvl w:val="3"/>
        <w:numId w:val="12"/>
      </w:numPr>
      <w:tabs>
        <w:tab w:val="clear" w:pos="1418"/>
      </w:tabs>
      <w:spacing w:before="160" w:after="160"/>
      <w:ind w:left="1531" w:hanging="680"/>
      <w:contextualSpacing/>
    </w:pPr>
    <w:rPr>
      <w:rFonts w:eastAsia="Times New Roman" w:cs="Arial"/>
      <w:color w:val="2E404D" w:themeColor="text1"/>
      <w:kern w:val="20"/>
      <w:szCs w:val="20"/>
      <w:lang w:val="en-GB"/>
      <w14:ligatures w14:val="none"/>
    </w:rPr>
  </w:style>
  <w:style w:type="paragraph" w:customStyle="1" w:styleId="NTTBullet5">
    <w:name w:val="NTT Bullet 5"/>
    <w:basedOn w:val="NTTBullet4"/>
    <w:uiPriority w:val="9"/>
    <w:rsid w:val="00B23563"/>
    <w:pPr>
      <w:numPr>
        <w:ilvl w:val="4"/>
      </w:numPr>
      <w:tabs>
        <w:tab w:val="clear" w:pos="1418"/>
      </w:tabs>
      <w:ind w:left="1531" w:hanging="680"/>
    </w:pPr>
  </w:style>
  <w:style w:type="paragraph" w:customStyle="1" w:styleId="NTTBullet6">
    <w:name w:val="NTT Bullet 6"/>
    <w:basedOn w:val="NTTBullet5"/>
    <w:uiPriority w:val="9"/>
    <w:rsid w:val="00B23563"/>
    <w:pPr>
      <w:numPr>
        <w:ilvl w:val="5"/>
      </w:numPr>
      <w:tabs>
        <w:tab w:val="clear" w:pos="1418"/>
      </w:tabs>
      <w:ind w:left="1531" w:hanging="680"/>
    </w:pPr>
  </w:style>
  <w:style w:type="paragraph" w:customStyle="1" w:styleId="NTTBullet7">
    <w:name w:val="NTT Bullet 7"/>
    <w:basedOn w:val="Normal"/>
    <w:uiPriority w:val="9"/>
    <w:qFormat/>
    <w:rsid w:val="00911702"/>
    <w:pPr>
      <w:numPr>
        <w:ilvl w:val="6"/>
        <w:numId w:val="12"/>
      </w:numPr>
      <w:tabs>
        <w:tab w:val="clear" w:pos="1418"/>
      </w:tabs>
      <w:spacing w:before="160" w:after="160"/>
      <w:ind w:left="1531" w:hanging="340"/>
      <w:contextualSpacing/>
    </w:pPr>
    <w:rPr>
      <w:rFonts w:eastAsia="Times New Roman" w:cs="Arial"/>
      <w:color w:val="2E404D" w:themeColor="text1"/>
      <w:kern w:val="20"/>
      <w:szCs w:val="20"/>
      <w:lang w:val="en-GB"/>
      <w14:ligatures w14:val="none"/>
    </w:rPr>
  </w:style>
  <w:style w:type="paragraph" w:customStyle="1" w:styleId="NTTBullet8">
    <w:name w:val="NTT Bullet 8"/>
    <w:basedOn w:val="NTTBullet7"/>
    <w:uiPriority w:val="9"/>
    <w:qFormat/>
    <w:rsid w:val="00D87AB2"/>
    <w:pPr>
      <w:numPr>
        <w:ilvl w:val="7"/>
      </w:numPr>
      <w:tabs>
        <w:tab w:val="clear" w:pos="1985"/>
      </w:tabs>
      <w:ind w:left="1814" w:hanging="340"/>
    </w:pPr>
  </w:style>
  <w:style w:type="paragraph" w:customStyle="1" w:styleId="NTTBullet9">
    <w:name w:val="NTT Bullet 9"/>
    <w:basedOn w:val="NTTBullet8"/>
    <w:uiPriority w:val="9"/>
    <w:qFormat/>
    <w:rsid w:val="004C2406"/>
    <w:pPr>
      <w:numPr>
        <w:ilvl w:val="8"/>
      </w:numPr>
      <w:tabs>
        <w:tab w:val="clear" w:pos="2552"/>
      </w:tabs>
      <w:ind w:left="1814" w:hanging="340"/>
    </w:pPr>
  </w:style>
  <w:style w:type="paragraph" w:customStyle="1" w:styleId="NTTFlushBlueBullet1">
    <w:name w:val="NTT Flush Blue Bullet 1"/>
    <w:basedOn w:val="Normal"/>
    <w:link w:val="NTTFlushBlueBullet1Char"/>
    <w:rsid w:val="00E728B1"/>
    <w:pPr>
      <w:numPr>
        <w:numId w:val="13"/>
      </w:numPr>
      <w:spacing w:before="160" w:after="160"/>
      <w:ind w:left="397" w:hanging="397"/>
      <w:contextualSpacing/>
    </w:pPr>
    <w:rPr>
      <w:rFonts w:eastAsia="Times New Roman" w:cs="Arial"/>
      <w:color w:val="005B96" w:themeColor="accent3"/>
      <w:kern w:val="20"/>
      <w:szCs w:val="20"/>
      <w:lang w:val="en-GB"/>
      <w14:ligatures w14:val="none"/>
    </w:rPr>
  </w:style>
  <w:style w:type="character" w:customStyle="1" w:styleId="NTTFlushBlueBullet1Char">
    <w:name w:val="NTT Flush Blue Bullet 1 Char"/>
    <w:basedOn w:val="DefaultParagraphFont"/>
    <w:link w:val="NTTFlushBlueBullet1"/>
    <w:rsid w:val="00E728B1"/>
    <w:rPr>
      <w:rFonts w:ascii="Arial" w:eastAsia="Times New Roman" w:hAnsi="Arial" w:cs="Arial"/>
      <w:color w:val="005B96" w:themeColor="accent3"/>
      <w:kern w:val="20"/>
      <w:sz w:val="20"/>
      <w:szCs w:val="20"/>
      <w:lang w:val="en-GB"/>
      <w14:ligatures w14:val="none"/>
    </w:rPr>
  </w:style>
  <w:style w:type="paragraph" w:customStyle="1" w:styleId="NTTFlushBlueBullet2">
    <w:name w:val="NTT Flush Blue Bullet 2"/>
    <w:basedOn w:val="Normal"/>
    <w:link w:val="NTTFlushBlueBullet2Char"/>
    <w:rsid w:val="00251212"/>
    <w:pPr>
      <w:numPr>
        <w:ilvl w:val="1"/>
        <w:numId w:val="13"/>
      </w:numPr>
      <w:spacing w:before="160" w:after="160"/>
      <w:ind w:left="851" w:hanging="397"/>
      <w:contextualSpacing/>
    </w:pPr>
    <w:rPr>
      <w:rFonts w:eastAsia="Times New Roman" w:cs="Arial"/>
      <w:color w:val="005B96" w:themeColor="accent3"/>
      <w:kern w:val="20"/>
      <w:szCs w:val="20"/>
      <w:lang w:val="en-GB"/>
      <w14:ligatures w14:val="none"/>
    </w:rPr>
  </w:style>
  <w:style w:type="character" w:customStyle="1" w:styleId="NTTFlushBlueBullet2Char">
    <w:name w:val="NTT Flush Blue Bullet 2 Char"/>
    <w:basedOn w:val="DefaultParagraphFont"/>
    <w:link w:val="NTTFlushBlueBullet2"/>
    <w:rsid w:val="00251212"/>
    <w:rPr>
      <w:rFonts w:ascii="Arial" w:eastAsia="Times New Roman" w:hAnsi="Arial" w:cs="Arial"/>
      <w:color w:val="005B96" w:themeColor="accent3"/>
      <w:kern w:val="20"/>
      <w:sz w:val="20"/>
      <w:szCs w:val="20"/>
      <w:lang w:val="en-GB"/>
      <w14:ligatures w14:val="none"/>
    </w:rPr>
  </w:style>
  <w:style w:type="paragraph" w:customStyle="1" w:styleId="NTTFlushBlueBullet3">
    <w:name w:val="NTT Flush Blue Bullet 3"/>
    <w:basedOn w:val="Normal"/>
    <w:link w:val="NTTFlushBlueBullet3Char"/>
    <w:rsid w:val="00251212"/>
    <w:pPr>
      <w:numPr>
        <w:ilvl w:val="2"/>
        <w:numId w:val="13"/>
      </w:numPr>
      <w:spacing w:before="160" w:after="160"/>
      <w:ind w:left="1078"/>
      <w:contextualSpacing/>
    </w:pPr>
    <w:rPr>
      <w:rFonts w:eastAsia="Times New Roman" w:cs="Arial"/>
      <w:color w:val="005B96" w:themeColor="accent3"/>
      <w:kern w:val="20"/>
      <w:szCs w:val="20"/>
      <w:lang w:val="en-GB"/>
      <w14:ligatures w14:val="none"/>
    </w:rPr>
  </w:style>
  <w:style w:type="character" w:customStyle="1" w:styleId="NTTFlushBlueBullet3Char">
    <w:name w:val="NTT Flush Blue Bullet 3 Char"/>
    <w:basedOn w:val="DefaultParagraphFont"/>
    <w:link w:val="NTTFlushBlueBullet3"/>
    <w:rsid w:val="00251212"/>
    <w:rPr>
      <w:rFonts w:ascii="Arial" w:eastAsia="Times New Roman" w:hAnsi="Arial" w:cs="Arial"/>
      <w:color w:val="005B96" w:themeColor="accent3"/>
      <w:kern w:val="20"/>
      <w:sz w:val="20"/>
      <w:szCs w:val="20"/>
      <w:lang w:val="en-GB"/>
      <w14:ligatures w14:val="none"/>
    </w:rPr>
  </w:style>
  <w:style w:type="paragraph" w:customStyle="1" w:styleId="NTTFlushBlueBullet4">
    <w:name w:val="NTT Flush Blue Bullet 4"/>
    <w:basedOn w:val="Normal"/>
    <w:link w:val="NTTFlushBlueBullet4Char"/>
    <w:rsid w:val="00257804"/>
    <w:pPr>
      <w:numPr>
        <w:ilvl w:val="3"/>
        <w:numId w:val="13"/>
      </w:numPr>
      <w:spacing w:before="160" w:after="160"/>
      <w:ind w:left="851" w:hanging="851"/>
      <w:contextualSpacing/>
    </w:pPr>
    <w:rPr>
      <w:rFonts w:eastAsia="Times New Roman" w:cs="Arial"/>
      <w:color w:val="005B96" w:themeColor="accent3"/>
      <w:kern w:val="20"/>
      <w:szCs w:val="20"/>
      <w:lang w:val="en-GB"/>
      <w14:ligatures w14:val="none"/>
    </w:rPr>
  </w:style>
  <w:style w:type="character" w:customStyle="1" w:styleId="NTTFlushBlueBullet4Char">
    <w:name w:val="NTT Flush Blue Bullet 4 Char"/>
    <w:basedOn w:val="DefaultParagraphFont"/>
    <w:link w:val="NTTFlushBlueBullet4"/>
    <w:rsid w:val="00257804"/>
    <w:rPr>
      <w:rFonts w:ascii="Arial" w:eastAsia="Times New Roman" w:hAnsi="Arial" w:cs="Arial"/>
      <w:color w:val="005B96" w:themeColor="accent3"/>
      <w:kern w:val="20"/>
      <w:sz w:val="20"/>
      <w:szCs w:val="20"/>
      <w:lang w:val="en-GB"/>
      <w14:ligatures w14:val="none"/>
    </w:rPr>
  </w:style>
  <w:style w:type="paragraph" w:customStyle="1" w:styleId="NTTFlushBlueBullet5">
    <w:name w:val="NTT Flush Blue Bullet 5"/>
    <w:basedOn w:val="Normal"/>
    <w:link w:val="NTTFlushBlueBullet5Char"/>
    <w:rsid w:val="00257804"/>
    <w:pPr>
      <w:numPr>
        <w:ilvl w:val="4"/>
        <w:numId w:val="13"/>
      </w:numPr>
      <w:spacing w:before="160" w:after="160"/>
      <w:ind w:left="851" w:hanging="851"/>
      <w:contextualSpacing/>
    </w:pPr>
    <w:rPr>
      <w:rFonts w:eastAsia="Times New Roman" w:cs="Arial"/>
      <w:color w:val="005B96" w:themeColor="accent3"/>
      <w:kern w:val="20"/>
      <w:szCs w:val="20"/>
      <w:lang w:val="en-GB"/>
      <w14:ligatures w14:val="none"/>
    </w:rPr>
  </w:style>
  <w:style w:type="character" w:customStyle="1" w:styleId="NTTFlushBlueBullet5Char">
    <w:name w:val="NTT Flush Blue Bullet 5 Char"/>
    <w:basedOn w:val="DefaultParagraphFont"/>
    <w:link w:val="NTTFlushBlueBullet5"/>
    <w:rsid w:val="00257804"/>
    <w:rPr>
      <w:rFonts w:ascii="Arial" w:eastAsia="Times New Roman" w:hAnsi="Arial" w:cs="Arial"/>
      <w:color w:val="005B96" w:themeColor="accent3"/>
      <w:kern w:val="20"/>
      <w:sz w:val="20"/>
      <w:szCs w:val="20"/>
      <w:lang w:val="en-GB"/>
      <w14:ligatures w14:val="none"/>
    </w:rPr>
  </w:style>
  <w:style w:type="paragraph" w:customStyle="1" w:styleId="NTTFlushBlueBullet6">
    <w:name w:val="NTT Flush Blue Bullet 6"/>
    <w:basedOn w:val="Normal"/>
    <w:link w:val="NTTFlushBlueBullet6Char"/>
    <w:rsid w:val="00257804"/>
    <w:pPr>
      <w:numPr>
        <w:ilvl w:val="5"/>
        <w:numId w:val="13"/>
      </w:numPr>
      <w:spacing w:before="160" w:after="160"/>
      <w:ind w:left="851" w:hanging="851"/>
      <w:contextualSpacing/>
    </w:pPr>
    <w:rPr>
      <w:rFonts w:eastAsia="Times New Roman" w:cs="Arial"/>
      <w:color w:val="005B96" w:themeColor="accent3"/>
      <w:kern w:val="20"/>
      <w:szCs w:val="20"/>
      <w:lang w:val="en-GB"/>
      <w14:ligatures w14:val="none"/>
    </w:rPr>
  </w:style>
  <w:style w:type="character" w:customStyle="1" w:styleId="NTTFlushBlueBullet6Char">
    <w:name w:val="NTT Flush Blue Bullet 6 Char"/>
    <w:basedOn w:val="DefaultParagraphFont"/>
    <w:link w:val="NTTFlushBlueBullet6"/>
    <w:rsid w:val="00257804"/>
    <w:rPr>
      <w:rFonts w:ascii="Arial" w:eastAsia="Times New Roman" w:hAnsi="Arial" w:cs="Arial"/>
      <w:color w:val="005B96" w:themeColor="accent3"/>
      <w:kern w:val="20"/>
      <w:sz w:val="20"/>
      <w:szCs w:val="20"/>
      <w:lang w:val="en-GB"/>
      <w14:ligatures w14:val="none"/>
    </w:rPr>
  </w:style>
  <w:style w:type="paragraph" w:customStyle="1" w:styleId="NTTFlushBlueBullet7">
    <w:name w:val="NTT Flush Blue Bullet 7"/>
    <w:basedOn w:val="Normal"/>
    <w:link w:val="NTTFlushBlueBullet7Char"/>
    <w:rsid w:val="006569FC"/>
    <w:pPr>
      <w:numPr>
        <w:ilvl w:val="6"/>
        <w:numId w:val="13"/>
      </w:numPr>
      <w:spacing w:before="160" w:after="160"/>
      <w:ind w:left="680" w:hanging="340"/>
      <w:contextualSpacing/>
    </w:pPr>
    <w:rPr>
      <w:rFonts w:eastAsia="Times New Roman" w:cs="Arial"/>
      <w:color w:val="005B96" w:themeColor="accent3"/>
      <w:kern w:val="20"/>
      <w:szCs w:val="20"/>
      <w:lang w:val="en-GB"/>
      <w14:ligatures w14:val="none"/>
    </w:rPr>
  </w:style>
  <w:style w:type="character" w:customStyle="1" w:styleId="NTTFlushBlueBullet7Char">
    <w:name w:val="NTT Flush Blue Bullet 7 Char"/>
    <w:basedOn w:val="DefaultParagraphFont"/>
    <w:link w:val="NTTFlushBlueBullet7"/>
    <w:rsid w:val="006569FC"/>
    <w:rPr>
      <w:rFonts w:ascii="Arial" w:eastAsia="Times New Roman" w:hAnsi="Arial" w:cs="Arial"/>
      <w:color w:val="005B96" w:themeColor="accent3"/>
      <w:kern w:val="20"/>
      <w:sz w:val="20"/>
      <w:szCs w:val="20"/>
      <w:lang w:val="en-GB"/>
      <w14:ligatures w14:val="none"/>
    </w:rPr>
  </w:style>
  <w:style w:type="paragraph" w:customStyle="1" w:styleId="NTTFlushBlueBullet8">
    <w:name w:val="NTT Flush Blue Bullet 8"/>
    <w:basedOn w:val="Normal"/>
    <w:link w:val="NTTFlushBlueBullet8Char"/>
    <w:rsid w:val="00D87AB2"/>
    <w:pPr>
      <w:numPr>
        <w:ilvl w:val="7"/>
        <w:numId w:val="13"/>
      </w:numPr>
      <w:spacing w:before="160" w:after="160"/>
      <w:ind w:left="964" w:hanging="340"/>
      <w:contextualSpacing/>
    </w:pPr>
    <w:rPr>
      <w:rFonts w:eastAsia="Times New Roman" w:cs="Arial"/>
      <w:color w:val="005B96" w:themeColor="accent3"/>
      <w:kern w:val="20"/>
      <w:szCs w:val="20"/>
      <w:lang w:val="en-GB"/>
      <w14:ligatures w14:val="none"/>
    </w:rPr>
  </w:style>
  <w:style w:type="character" w:customStyle="1" w:styleId="NTTFlushBlueBullet8Char">
    <w:name w:val="NTT Flush Blue Bullet 8 Char"/>
    <w:basedOn w:val="DefaultParagraphFont"/>
    <w:link w:val="NTTFlushBlueBullet8"/>
    <w:rsid w:val="00D87AB2"/>
    <w:rPr>
      <w:rFonts w:ascii="Arial" w:eastAsia="Times New Roman" w:hAnsi="Arial" w:cs="Arial"/>
      <w:color w:val="005B96" w:themeColor="accent3"/>
      <w:kern w:val="20"/>
      <w:sz w:val="20"/>
      <w:szCs w:val="20"/>
      <w:lang w:val="en-GB"/>
      <w14:ligatures w14:val="none"/>
    </w:rPr>
  </w:style>
  <w:style w:type="paragraph" w:customStyle="1" w:styleId="NTTFlushBlueBullet9">
    <w:name w:val="NTT Flush Blue Bullet 9"/>
    <w:basedOn w:val="Normal"/>
    <w:link w:val="NTTFlushBlueBullet9Char"/>
    <w:rsid w:val="004C2406"/>
    <w:pPr>
      <w:numPr>
        <w:ilvl w:val="8"/>
        <w:numId w:val="13"/>
      </w:numPr>
      <w:spacing w:before="160" w:after="160"/>
      <w:ind w:left="964" w:hanging="340"/>
      <w:contextualSpacing/>
    </w:pPr>
    <w:rPr>
      <w:rFonts w:eastAsia="Times New Roman" w:cs="Arial"/>
      <w:color w:val="005B96" w:themeColor="accent3"/>
      <w:kern w:val="20"/>
      <w:szCs w:val="20"/>
      <w:lang w:val="en-GB"/>
      <w14:ligatures w14:val="none"/>
    </w:rPr>
  </w:style>
  <w:style w:type="character" w:customStyle="1" w:styleId="NTTFlushBlueBullet9Char">
    <w:name w:val="NTT Flush Blue Bullet 9 Char"/>
    <w:basedOn w:val="DefaultParagraphFont"/>
    <w:link w:val="NTTFlushBlueBullet9"/>
    <w:rsid w:val="004C2406"/>
    <w:rPr>
      <w:rFonts w:ascii="Arial" w:eastAsia="Times New Roman" w:hAnsi="Arial" w:cs="Arial"/>
      <w:color w:val="005B96" w:themeColor="accent3"/>
      <w:kern w:val="20"/>
      <w:sz w:val="20"/>
      <w:szCs w:val="20"/>
      <w:lang w:val="en-GB"/>
      <w14:ligatures w14:val="none"/>
    </w:rPr>
  </w:style>
  <w:style w:type="paragraph" w:customStyle="1" w:styleId="NTTFlushBullet1">
    <w:name w:val="NTT Flush Bullet 1"/>
    <w:basedOn w:val="NTTBullet1"/>
    <w:link w:val="NTTFlushBullet1Char"/>
    <w:uiPriority w:val="19"/>
    <w:rsid w:val="00E728B1"/>
    <w:pPr>
      <w:numPr>
        <w:numId w:val="14"/>
      </w:numPr>
      <w:ind w:left="397" w:hanging="397"/>
    </w:pPr>
  </w:style>
  <w:style w:type="character" w:customStyle="1" w:styleId="NTTFlushBullet1Char">
    <w:name w:val="NTT Flush Bullet 1 Char"/>
    <w:basedOn w:val="NTTBullet1Char"/>
    <w:link w:val="NTTFlushBullet1"/>
    <w:uiPriority w:val="19"/>
    <w:rsid w:val="00E728B1"/>
    <w:rPr>
      <w:rFonts w:ascii="Arial" w:eastAsia="Times New Roman" w:hAnsi="Arial" w:cs="Arial"/>
      <w:color w:val="2E404D" w:themeColor="text1"/>
      <w:kern w:val="20"/>
      <w:sz w:val="20"/>
      <w:szCs w:val="20"/>
      <w:lang w:val="en-GB"/>
      <w14:ligatures w14:val="none"/>
    </w:rPr>
  </w:style>
  <w:style w:type="paragraph" w:customStyle="1" w:styleId="NTTFlushBullet2">
    <w:name w:val="NTT Flush Bullet 2"/>
    <w:basedOn w:val="NTTBullet2"/>
    <w:uiPriority w:val="19"/>
    <w:rsid w:val="00E728B1"/>
    <w:pPr>
      <w:numPr>
        <w:numId w:val="14"/>
      </w:numPr>
      <w:ind w:left="794" w:hanging="340"/>
    </w:pPr>
  </w:style>
  <w:style w:type="paragraph" w:customStyle="1" w:styleId="NTTFlushBullet3">
    <w:name w:val="NTT Flush Bullet 3"/>
    <w:basedOn w:val="NTTBullet3"/>
    <w:uiPriority w:val="19"/>
    <w:rsid w:val="00251212"/>
    <w:pPr>
      <w:numPr>
        <w:numId w:val="14"/>
      </w:numPr>
      <w:ind w:left="1078"/>
    </w:pPr>
  </w:style>
  <w:style w:type="paragraph" w:customStyle="1" w:styleId="NTTFlushBullet4">
    <w:name w:val="NTT Flush Bullet 4"/>
    <w:basedOn w:val="NTTBullet4"/>
    <w:uiPriority w:val="19"/>
    <w:rsid w:val="00C12906"/>
    <w:pPr>
      <w:numPr>
        <w:numId w:val="14"/>
      </w:numPr>
      <w:ind w:left="851" w:hanging="851"/>
    </w:pPr>
  </w:style>
  <w:style w:type="paragraph" w:customStyle="1" w:styleId="NTTFlushBullet5">
    <w:name w:val="NTT Flush Bullet 5"/>
    <w:basedOn w:val="NTTBullet5"/>
    <w:uiPriority w:val="19"/>
    <w:rsid w:val="00C12906"/>
    <w:pPr>
      <w:numPr>
        <w:numId w:val="14"/>
      </w:numPr>
      <w:ind w:left="851" w:hanging="851"/>
    </w:pPr>
  </w:style>
  <w:style w:type="paragraph" w:customStyle="1" w:styleId="NTTFlushBullet6">
    <w:name w:val="NTT Flush Bullet 6"/>
    <w:basedOn w:val="NTTBullet6"/>
    <w:uiPriority w:val="19"/>
    <w:rsid w:val="00C12906"/>
    <w:pPr>
      <w:numPr>
        <w:numId w:val="14"/>
      </w:numPr>
      <w:ind w:left="851" w:hanging="851"/>
    </w:pPr>
  </w:style>
  <w:style w:type="paragraph" w:customStyle="1" w:styleId="NTTFlushBullet7">
    <w:name w:val="NTT Flush Bullet 7"/>
    <w:basedOn w:val="NTTBullet7"/>
    <w:uiPriority w:val="19"/>
    <w:rsid w:val="00911702"/>
    <w:pPr>
      <w:numPr>
        <w:numId w:val="14"/>
      </w:numPr>
      <w:ind w:left="680" w:hanging="340"/>
    </w:pPr>
  </w:style>
  <w:style w:type="paragraph" w:customStyle="1" w:styleId="NTTFlushBullet8">
    <w:name w:val="NTT Flush Bullet 8"/>
    <w:basedOn w:val="NTTBullet8"/>
    <w:uiPriority w:val="19"/>
    <w:rsid w:val="00F30B8A"/>
    <w:pPr>
      <w:numPr>
        <w:numId w:val="14"/>
      </w:numPr>
      <w:ind w:left="964" w:hanging="340"/>
    </w:pPr>
  </w:style>
  <w:style w:type="paragraph" w:customStyle="1" w:styleId="NTTFlushBullet9">
    <w:name w:val="NTT Flush Bullet 9"/>
    <w:basedOn w:val="NTTBullet9"/>
    <w:uiPriority w:val="19"/>
    <w:rsid w:val="004C2406"/>
    <w:pPr>
      <w:numPr>
        <w:numId w:val="14"/>
      </w:numPr>
      <w:ind w:left="964" w:hanging="340"/>
    </w:pPr>
  </w:style>
  <w:style w:type="numbering" w:customStyle="1" w:styleId="NTTRedBulletList">
    <w:name w:val="_NTT Red Bullet List"/>
    <w:uiPriority w:val="89"/>
    <w:rsid w:val="00FF625A"/>
    <w:pPr>
      <w:numPr>
        <w:numId w:val="15"/>
      </w:numPr>
    </w:pPr>
  </w:style>
  <w:style w:type="numbering" w:customStyle="1" w:styleId="NTTRedTableBulletList">
    <w:name w:val="_NTT Red Table Bullet List"/>
    <w:uiPriority w:val="89"/>
    <w:rsid w:val="00FF625A"/>
    <w:pPr>
      <w:numPr>
        <w:numId w:val="16"/>
      </w:numPr>
    </w:pPr>
  </w:style>
  <w:style w:type="numbering" w:customStyle="1" w:styleId="NTTTableBulletList">
    <w:name w:val="_NTT Table Bullet List"/>
    <w:uiPriority w:val="89"/>
    <w:rsid w:val="00FF625A"/>
    <w:pPr>
      <w:numPr>
        <w:numId w:val="17"/>
      </w:numPr>
    </w:pPr>
  </w:style>
  <w:style w:type="paragraph" w:customStyle="1" w:styleId="NTTRedBullet1">
    <w:name w:val="NTT Red Bullet 1"/>
    <w:basedOn w:val="NTTBlueBullet1"/>
    <w:uiPriority w:val="39"/>
    <w:unhideWhenUsed/>
    <w:rsid w:val="0002263F"/>
    <w:rPr>
      <w:color w:val="E42600"/>
    </w:rPr>
  </w:style>
  <w:style w:type="paragraph" w:customStyle="1" w:styleId="NTTRedBullet2">
    <w:name w:val="NTT Red Bullet 2"/>
    <w:basedOn w:val="NTTBlueBullet2"/>
    <w:uiPriority w:val="39"/>
    <w:unhideWhenUsed/>
    <w:rsid w:val="0002263F"/>
    <w:rPr>
      <w:color w:val="E42600"/>
    </w:rPr>
  </w:style>
  <w:style w:type="paragraph" w:customStyle="1" w:styleId="NTTRedBullet3">
    <w:name w:val="NTT Red Bullet 3"/>
    <w:basedOn w:val="NTTBlueBullet3"/>
    <w:uiPriority w:val="39"/>
    <w:unhideWhenUsed/>
    <w:rsid w:val="0002263F"/>
    <w:rPr>
      <w:color w:val="E42600"/>
    </w:rPr>
  </w:style>
  <w:style w:type="paragraph" w:customStyle="1" w:styleId="NTTRedBullet4">
    <w:name w:val="NTT Red Bullet 4"/>
    <w:basedOn w:val="NTTBlueBullet4"/>
    <w:uiPriority w:val="39"/>
    <w:unhideWhenUsed/>
    <w:rsid w:val="0002263F"/>
    <w:rPr>
      <w:color w:val="E42600"/>
    </w:rPr>
  </w:style>
  <w:style w:type="paragraph" w:customStyle="1" w:styleId="NTTRedBullet5">
    <w:name w:val="NTT Red Bullet 5"/>
    <w:basedOn w:val="NTTBlueBullet5"/>
    <w:uiPriority w:val="39"/>
    <w:unhideWhenUsed/>
    <w:rsid w:val="0002263F"/>
    <w:rPr>
      <w:color w:val="E42600"/>
    </w:rPr>
  </w:style>
  <w:style w:type="paragraph" w:customStyle="1" w:styleId="NTTRedBullet6">
    <w:name w:val="NTT Red Bullet 6"/>
    <w:basedOn w:val="NTTBlueBullet6"/>
    <w:uiPriority w:val="39"/>
    <w:unhideWhenUsed/>
    <w:rsid w:val="0002263F"/>
    <w:rPr>
      <w:color w:val="E42600"/>
    </w:rPr>
  </w:style>
  <w:style w:type="paragraph" w:customStyle="1" w:styleId="NTTRedBullet7">
    <w:name w:val="NTT Red Bullet 7"/>
    <w:basedOn w:val="NTTBlueBullet7"/>
    <w:uiPriority w:val="39"/>
    <w:unhideWhenUsed/>
    <w:rsid w:val="0002263F"/>
    <w:rPr>
      <w:color w:val="E42600"/>
    </w:rPr>
  </w:style>
  <w:style w:type="paragraph" w:customStyle="1" w:styleId="NTTRedBullet8">
    <w:name w:val="NTT Red Bullet 8"/>
    <w:basedOn w:val="NTTBlueBullet8"/>
    <w:uiPriority w:val="39"/>
    <w:unhideWhenUsed/>
    <w:rsid w:val="0002263F"/>
    <w:rPr>
      <w:color w:val="E42600"/>
    </w:rPr>
  </w:style>
  <w:style w:type="paragraph" w:customStyle="1" w:styleId="NTTRedBullet9">
    <w:name w:val="NTT Red Bullet 9"/>
    <w:basedOn w:val="NTTBlueBullet9"/>
    <w:uiPriority w:val="39"/>
    <w:unhideWhenUsed/>
    <w:rsid w:val="0002263F"/>
    <w:rPr>
      <w:color w:val="E42600"/>
    </w:rPr>
  </w:style>
  <w:style w:type="paragraph" w:customStyle="1" w:styleId="NTTTableBullet1">
    <w:name w:val="NTT Table Bullet 1"/>
    <w:basedOn w:val="NTTBlueTableBullet1"/>
    <w:uiPriority w:val="14"/>
    <w:rsid w:val="004703D8"/>
    <w:rPr>
      <w:color w:val="2E404D" w:themeColor="text1"/>
    </w:rPr>
  </w:style>
  <w:style w:type="paragraph" w:customStyle="1" w:styleId="NTTRedTableBullet1">
    <w:name w:val="NTT Red Table Bullet 1"/>
    <w:basedOn w:val="NTTBlueTableBullet1"/>
    <w:uiPriority w:val="44"/>
    <w:unhideWhenUsed/>
    <w:rsid w:val="0002263F"/>
    <w:rPr>
      <w:color w:val="E42600"/>
    </w:rPr>
  </w:style>
  <w:style w:type="paragraph" w:customStyle="1" w:styleId="NTTTableBullet2">
    <w:name w:val="NTT Table Bullet 2"/>
    <w:basedOn w:val="NTTTableBullet1"/>
    <w:uiPriority w:val="14"/>
    <w:rsid w:val="00E728B1"/>
    <w:pPr>
      <w:numPr>
        <w:ilvl w:val="1"/>
        <w:numId w:val="18"/>
      </w:numPr>
      <w:tabs>
        <w:tab w:val="clear" w:pos="567"/>
      </w:tabs>
      <w:ind w:left="851" w:hanging="454"/>
    </w:pPr>
  </w:style>
  <w:style w:type="paragraph" w:customStyle="1" w:styleId="NTTRedTableBullet2">
    <w:name w:val="NTT Red Table Bullet 2"/>
    <w:basedOn w:val="NTTBlueTableBullet2"/>
    <w:uiPriority w:val="44"/>
    <w:unhideWhenUsed/>
    <w:rsid w:val="0002263F"/>
    <w:pPr>
      <w:contextualSpacing/>
    </w:pPr>
    <w:rPr>
      <w:color w:val="E42600"/>
    </w:rPr>
  </w:style>
  <w:style w:type="paragraph" w:customStyle="1" w:styleId="NTTTableBullet3">
    <w:name w:val="NTT Table Bullet 3"/>
    <w:basedOn w:val="NTTTableBullet2"/>
    <w:uiPriority w:val="14"/>
    <w:rsid w:val="004703D8"/>
    <w:pPr>
      <w:numPr>
        <w:ilvl w:val="2"/>
      </w:numPr>
      <w:tabs>
        <w:tab w:val="clear" w:pos="851"/>
      </w:tabs>
      <w:ind w:left="964"/>
    </w:pPr>
  </w:style>
  <w:style w:type="paragraph" w:customStyle="1" w:styleId="NTTRedTableBullet3">
    <w:name w:val="NTT Red Table Bullet 3"/>
    <w:basedOn w:val="NTTBlueTableBullet3"/>
    <w:uiPriority w:val="44"/>
    <w:unhideWhenUsed/>
    <w:rsid w:val="00F540DE"/>
    <w:rPr>
      <w:color w:val="E42600"/>
    </w:rPr>
  </w:style>
  <w:style w:type="paragraph" w:customStyle="1" w:styleId="NTTTableBullet4">
    <w:name w:val="NTT Table Bullet 4"/>
    <w:basedOn w:val="NTTBlueTableBullet4"/>
    <w:uiPriority w:val="14"/>
    <w:rsid w:val="0074771F"/>
    <w:pPr>
      <w:tabs>
        <w:tab w:val="clear" w:pos="0"/>
      </w:tabs>
      <w:contextualSpacing/>
    </w:pPr>
    <w:rPr>
      <w:color w:val="2E404D" w:themeColor="text1"/>
    </w:rPr>
  </w:style>
  <w:style w:type="paragraph" w:customStyle="1" w:styleId="NTTRedTableBullet4">
    <w:name w:val="NTT Red Table Bullet 4"/>
    <w:basedOn w:val="NTTBlueTableBullet4"/>
    <w:uiPriority w:val="44"/>
    <w:unhideWhenUsed/>
    <w:rsid w:val="0083153F"/>
    <w:pPr>
      <w:tabs>
        <w:tab w:val="clear" w:pos="0"/>
      </w:tabs>
      <w:contextualSpacing/>
    </w:pPr>
    <w:rPr>
      <w:color w:val="E42600"/>
    </w:rPr>
  </w:style>
  <w:style w:type="paragraph" w:customStyle="1" w:styleId="NTTTableBullet5">
    <w:name w:val="NTT Table Bullet 5"/>
    <w:basedOn w:val="NTTBlueTableBullet5"/>
    <w:uiPriority w:val="14"/>
    <w:rsid w:val="004D35A5"/>
    <w:rPr>
      <w:color w:val="2E404D" w:themeColor="text1"/>
    </w:rPr>
  </w:style>
  <w:style w:type="paragraph" w:customStyle="1" w:styleId="NTTRedTableBullet5">
    <w:name w:val="NTT Red Table Bullet 5"/>
    <w:basedOn w:val="NTTBlueTableBullet5"/>
    <w:uiPriority w:val="44"/>
    <w:unhideWhenUsed/>
    <w:rsid w:val="005969B0"/>
    <w:rPr>
      <w:color w:val="E42600"/>
    </w:rPr>
  </w:style>
  <w:style w:type="paragraph" w:customStyle="1" w:styleId="NTTTableBullet6">
    <w:name w:val="NTT Table Bullet 6"/>
    <w:basedOn w:val="NTTRedTableBullet6"/>
    <w:uiPriority w:val="14"/>
    <w:rsid w:val="004D35A5"/>
    <w:rPr>
      <w:color w:val="2E404D" w:themeColor="text1"/>
    </w:rPr>
  </w:style>
  <w:style w:type="paragraph" w:customStyle="1" w:styleId="NTTRedTableBullet6">
    <w:name w:val="NTT Red Table Bullet 6"/>
    <w:basedOn w:val="NTTBlueTableBullet6"/>
    <w:uiPriority w:val="44"/>
    <w:unhideWhenUsed/>
    <w:rsid w:val="0002263F"/>
    <w:pPr>
      <w:contextualSpacing/>
    </w:pPr>
    <w:rPr>
      <w:color w:val="E42600"/>
    </w:rPr>
  </w:style>
  <w:style w:type="paragraph" w:customStyle="1" w:styleId="NTTTableBullet7">
    <w:name w:val="NTT Table Bullet 7"/>
    <w:basedOn w:val="NTTBlueTableBullet7"/>
    <w:uiPriority w:val="14"/>
    <w:rsid w:val="006569FC"/>
    <w:pPr>
      <w:contextualSpacing/>
    </w:pPr>
    <w:rPr>
      <w:color w:val="2E404D" w:themeColor="text1"/>
    </w:rPr>
  </w:style>
  <w:style w:type="paragraph" w:customStyle="1" w:styleId="NTTRedTableBullet7">
    <w:name w:val="NTT Red Table Bullet 7"/>
    <w:basedOn w:val="NTTBlueTableBullet7"/>
    <w:uiPriority w:val="44"/>
    <w:unhideWhenUsed/>
    <w:rsid w:val="0083153F"/>
    <w:pPr>
      <w:contextualSpacing/>
    </w:pPr>
    <w:rPr>
      <w:color w:val="E42600"/>
    </w:rPr>
  </w:style>
  <w:style w:type="paragraph" w:customStyle="1" w:styleId="NTTTableBullet8">
    <w:name w:val="NTT Table Bullet 8"/>
    <w:basedOn w:val="NTTTableBullet7"/>
    <w:uiPriority w:val="14"/>
    <w:rsid w:val="00D87AB2"/>
    <w:pPr>
      <w:numPr>
        <w:ilvl w:val="7"/>
        <w:numId w:val="18"/>
      </w:numPr>
      <w:tabs>
        <w:tab w:val="clear" w:pos="1134"/>
      </w:tabs>
      <w:ind w:left="964" w:hanging="340"/>
    </w:pPr>
  </w:style>
  <w:style w:type="paragraph" w:customStyle="1" w:styleId="NTTRedTableBullet8">
    <w:name w:val="NTT Red Table Bullet 8"/>
    <w:basedOn w:val="NTTBlueTableBullet8"/>
    <w:uiPriority w:val="44"/>
    <w:unhideWhenUsed/>
    <w:rsid w:val="0083153F"/>
    <w:pPr>
      <w:tabs>
        <w:tab w:val="clear" w:pos="1134"/>
      </w:tabs>
      <w:contextualSpacing/>
    </w:pPr>
    <w:rPr>
      <w:color w:val="E42600"/>
    </w:rPr>
  </w:style>
  <w:style w:type="paragraph" w:customStyle="1" w:styleId="NTTTableBullet9">
    <w:name w:val="NTT Table Bullet 9"/>
    <w:basedOn w:val="NTTTableBullet8"/>
    <w:uiPriority w:val="14"/>
    <w:rsid w:val="004C2406"/>
    <w:pPr>
      <w:numPr>
        <w:ilvl w:val="8"/>
      </w:numPr>
      <w:ind w:left="964" w:hanging="340"/>
    </w:pPr>
  </w:style>
  <w:style w:type="paragraph" w:customStyle="1" w:styleId="NTTRedTableBullet9">
    <w:name w:val="NTT Red Table Bullet 9"/>
    <w:basedOn w:val="NTTBlueTableBullet9"/>
    <w:uiPriority w:val="44"/>
    <w:unhideWhenUsed/>
    <w:rsid w:val="0083153F"/>
    <w:pPr>
      <w:tabs>
        <w:tab w:val="clear" w:pos="1701"/>
      </w:tabs>
    </w:pPr>
    <w:rPr>
      <w:color w:val="E42600"/>
    </w:rPr>
  </w:style>
  <w:style w:type="paragraph" w:styleId="BalloonText">
    <w:name w:val="Balloon Text"/>
    <w:basedOn w:val="Normal"/>
    <w:link w:val="BalloonTextChar"/>
    <w:uiPriority w:val="99"/>
    <w:semiHidden/>
    <w:unhideWhenUsed/>
    <w:rsid w:val="000A6681"/>
    <w:pPr>
      <w:spacing w:line="240" w:lineRule="auto"/>
    </w:pPr>
    <w:rPr>
      <w:rFonts w:asciiTheme="minorHAnsi" w:hAnsiTheme="minorHAnsi" w:cs="Segoe UI"/>
      <w:sz w:val="18"/>
      <w:szCs w:val="18"/>
    </w:rPr>
  </w:style>
  <w:style w:type="character" w:customStyle="1" w:styleId="BalloonTextChar">
    <w:name w:val="Balloon Text Char"/>
    <w:basedOn w:val="DefaultParagraphFont"/>
    <w:link w:val="BalloonText"/>
    <w:uiPriority w:val="99"/>
    <w:semiHidden/>
    <w:rsid w:val="000A6681"/>
    <w:rPr>
      <w:rFonts w:cs="Segoe UI"/>
      <w:sz w:val="18"/>
      <w:szCs w:val="18"/>
      <w:lang w:val="en-US"/>
    </w:rPr>
  </w:style>
  <w:style w:type="paragraph" w:styleId="Bibliography">
    <w:name w:val="Bibliography"/>
    <w:basedOn w:val="Normal"/>
    <w:next w:val="Normal"/>
    <w:uiPriority w:val="37"/>
    <w:semiHidden/>
    <w:unhideWhenUsed/>
    <w:rsid w:val="000A6681"/>
  </w:style>
  <w:style w:type="paragraph" w:styleId="NormalIndent">
    <w:name w:val="Normal Indent"/>
    <w:basedOn w:val="Normal"/>
    <w:uiPriority w:val="99"/>
    <w:semiHidden/>
    <w:unhideWhenUsed/>
    <w:rsid w:val="00392431"/>
    <w:pPr>
      <w:ind w:left="851"/>
    </w:pPr>
    <w:rPr>
      <w:color w:val="2E404D" w:themeColor="text1"/>
    </w:rPr>
  </w:style>
  <w:style w:type="character" w:styleId="PageNumber">
    <w:name w:val="page number"/>
    <w:basedOn w:val="DefaultParagraphFont"/>
    <w:uiPriority w:val="99"/>
    <w:semiHidden/>
    <w:unhideWhenUsed/>
    <w:rsid w:val="00392431"/>
    <w:rPr>
      <w:rFonts w:ascii="Arial" w:hAnsi="Arial"/>
      <w:color w:val="2E404D" w:themeColor="text1"/>
    </w:rPr>
  </w:style>
  <w:style w:type="paragraph" w:customStyle="1" w:styleId="NTTAPicture">
    <w:name w:val="NTT A Picture"/>
    <w:basedOn w:val="Normal"/>
    <w:next w:val="Caption"/>
    <w:uiPriority w:val="9"/>
    <w:rsid w:val="007F37BC"/>
    <w:pPr>
      <w:keepNext/>
    </w:pPr>
    <w:rPr>
      <w:rFonts w:eastAsia="Times New Roman" w:cs="Arial"/>
      <w:color w:val="2E404D" w:themeColor="text1"/>
      <w:kern w:val="20"/>
      <w:szCs w:val="20"/>
      <w:lang w:val="en-GB"/>
      <w14:ligatures w14:val="none"/>
    </w:rPr>
  </w:style>
  <w:style w:type="paragraph" w:customStyle="1" w:styleId="NTTActionCaption">
    <w:name w:val="NTT Action Caption"/>
    <w:basedOn w:val="Normal"/>
    <w:next w:val="Normal"/>
    <w:uiPriority w:val="99"/>
    <w:rsid w:val="00A97E47"/>
    <w:pPr>
      <w:spacing w:before="160" w:after="60"/>
    </w:pPr>
    <w:rPr>
      <w:rFonts w:eastAsia="Times New Roman" w:cs="Arial"/>
      <w:i/>
      <w:color w:val="2E404D" w:themeColor="text1"/>
      <w:kern w:val="18"/>
      <w:sz w:val="18"/>
      <w:szCs w:val="20"/>
      <w:lang w:val="en-GB" w:eastAsia="en-GB"/>
      <w14:ligatures w14:val="none"/>
    </w:rPr>
  </w:style>
  <w:style w:type="paragraph" w:customStyle="1" w:styleId="NTTAttachment">
    <w:name w:val="NTT Attachment"/>
    <w:next w:val="Normal"/>
    <w:link w:val="NTTAttachmentChar"/>
    <w:unhideWhenUsed/>
    <w:locked/>
    <w:rsid w:val="00AB5773"/>
    <w:pPr>
      <w:pageBreakBefore/>
      <w:numPr>
        <w:numId w:val="19"/>
      </w:numPr>
      <w:spacing w:before="240" w:after="120" w:line="264" w:lineRule="auto"/>
      <w:ind w:left="1418" w:hanging="1418"/>
      <w:outlineLvl w:val="0"/>
    </w:pPr>
    <w:rPr>
      <w:rFonts w:ascii="Arial Bold" w:hAnsi="Arial Bold" w:cs="Arial"/>
      <w:b/>
      <w:color w:val="2E404D" w:themeColor="text1"/>
      <w:kern w:val="20"/>
      <w:sz w:val="20"/>
      <w:szCs w:val="22"/>
      <w:lang w:val="en-GB"/>
      <w14:ligatures w14:val="none"/>
    </w:rPr>
  </w:style>
  <w:style w:type="character" w:customStyle="1" w:styleId="NTTAttachmentChar">
    <w:name w:val="NTT Attachment Char"/>
    <w:basedOn w:val="DefaultParagraphFont"/>
    <w:link w:val="NTTAttachment"/>
    <w:rsid w:val="00AB5773"/>
    <w:rPr>
      <w:rFonts w:ascii="Arial Bold" w:hAnsi="Arial Bold" w:cs="Arial"/>
      <w:b/>
      <w:color w:val="2E404D" w:themeColor="text1"/>
      <w:kern w:val="20"/>
      <w:sz w:val="20"/>
      <w:szCs w:val="22"/>
      <w:lang w:val="en-GB"/>
      <w14:ligatures w14:val="none"/>
    </w:rPr>
  </w:style>
  <w:style w:type="paragraph" w:customStyle="1" w:styleId="NTTBlueBodyBoldText">
    <w:name w:val="NTT Blue Body Bold Text"/>
    <w:basedOn w:val="Normal"/>
    <w:next w:val="Normal"/>
    <w:uiPriority w:val="29"/>
    <w:rsid w:val="005475C3"/>
    <w:pPr>
      <w:keepNext/>
      <w:keepLines/>
      <w:spacing w:before="160" w:after="160"/>
      <w:ind w:left="851"/>
    </w:pPr>
    <w:rPr>
      <w:rFonts w:ascii="Arial Bold" w:eastAsia="Times New Roman" w:hAnsi="Arial Bold" w:cs="Arial"/>
      <w:b/>
      <w:color w:val="005B96" w:themeColor="accent3"/>
      <w:kern w:val="20"/>
      <w:szCs w:val="20"/>
      <w:lang w:val="en-GB"/>
      <w14:ligatures w14:val="none"/>
    </w:rPr>
  </w:style>
  <w:style w:type="paragraph" w:customStyle="1" w:styleId="NTTBlueBodyText">
    <w:name w:val="NTT Blue Body Text"/>
    <w:basedOn w:val="Normal"/>
    <w:uiPriority w:val="29"/>
    <w:rsid w:val="00045EA2"/>
    <w:pPr>
      <w:spacing w:before="160" w:after="160"/>
      <w:ind w:left="851"/>
    </w:pPr>
    <w:rPr>
      <w:rFonts w:eastAsia="Times New Roman" w:cs="Arial"/>
      <w:color w:val="005B96" w:themeColor="accent3"/>
      <w:kern w:val="20"/>
      <w:szCs w:val="20"/>
      <w:lang w:val="en-GB"/>
      <w14:ligatures w14:val="none"/>
    </w:rPr>
  </w:style>
  <w:style w:type="paragraph" w:customStyle="1" w:styleId="NTTBlueQuestion">
    <w:name w:val="NTT Blue Question"/>
    <w:basedOn w:val="NTTBlueBodyText"/>
    <w:next w:val="Normal"/>
    <w:uiPriority w:val="29"/>
    <w:qFormat/>
    <w:rsid w:val="00690285"/>
    <w:pPr>
      <w:ind w:hanging="851"/>
    </w:pPr>
  </w:style>
  <w:style w:type="paragraph" w:customStyle="1" w:styleId="NTTBlueTableBodyText">
    <w:name w:val="NTT Blue Table Body Text"/>
    <w:basedOn w:val="Normal"/>
    <w:uiPriority w:val="34"/>
    <w:rsid w:val="00690285"/>
    <w:rPr>
      <w:rFonts w:eastAsia="Times New Roman" w:cs="Arial"/>
      <w:color w:val="005B96" w:themeColor="accent3"/>
      <w:kern w:val="18"/>
      <w:szCs w:val="18"/>
      <w:lang w:val="en-GB"/>
      <w14:ligatures w14:val="none"/>
    </w:rPr>
  </w:style>
  <w:style w:type="paragraph" w:customStyle="1" w:styleId="NTTBodyBoldText">
    <w:name w:val="NTT Body Bold Text"/>
    <w:basedOn w:val="Normal"/>
    <w:next w:val="Normal"/>
    <w:uiPriority w:val="9"/>
    <w:qFormat/>
    <w:rsid w:val="00B52EA2"/>
    <w:pPr>
      <w:keepNext/>
      <w:keepLines/>
      <w:spacing w:before="160" w:after="160"/>
      <w:ind w:left="851"/>
    </w:pPr>
    <w:rPr>
      <w:rFonts w:ascii="Arial Bold" w:eastAsia="Times New Roman" w:hAnsi="Arial Bold" w:cs="Arial"/>
      <w:b/>
      <w:color w:val="2E404D" w:themeColor="text1"/>
      <w:kern w:val="20"/>
      <w:szCs w:val="20"/>
      <w:lang w:val="en-GB"/>
      <w14:ligatures w14:val="none"/>
    </w:rPr>
  </w:style>
  <w:style w:type="paragraph" w:customStyle="1" w:styleId="NTTBodyText">
    <w:name w:val="NTT Body Text"/>
    <w:link w:val="NTTBodyTextChar"/>
    <w:uiPriority w:val="1"/>
    <w:qFormat/>
    <w:rsid w:val="00690285"/>
    <w:pPr>
      <w:spacing w:before="160" w:after="160" w:line="264" w:lineRule="auto"/>
      <w:ind w:left="851"/>
    </w:pPr>
    <w:rPr>
      <w:rFonts w:ascii="Arial" w:eastAsia="Times New Roman" w:hAnsi="Arial" w:cs="Arial"/>
      <w:color w:val="2E404D" w:themeColor="text1"/>
      <w:kern w:val="20"/>
      <w:sz w:val="20"/>
      <w:szCs w:val="20"/>
      <w:lang w:val="en-GB"/>
      <w14:ligatures w14:val="none"/>
    </w:rPr>
  </w:style>
  <w:style w:type="character" w:customStyle="1" w:styleId="NTTBodyTextChar">
    <w:name w:val="NTT Body Text Char"/>
    <w:basedOn w:val="DefaultParagraphFont"/>
    <w:link w:val="NTTBodyText"/>
    <w:uiPriority w:val="1"/>
    <w:rsid w:val="00690285"/>
    <w:rPr>
      <w:rFonts w:ascii="Arial" w:eastAsia="Times New Roman" w:hAnsi="Arial" w:cs="Arial"/>
      <w:color w:val="2E404D" w:themeColor="text1"/>
      <w:kern w:val="20"/>
      <w:sz w:val="20"/>
      <w:szCs w:val="20"/>
      <w:lang w:val="en-GB"/>
      <w14:ligatures w14:val="none"/>
    </w:rPr>
  </w:style>
  <w:style w:type="paragraph" w:customStyle="1" w:styleId="NTTFlushBlueBodyBold">
    <w:name w:val="NTT Flush Blue Body Bold"/>
    <w:basedOn w:val="Normal"/>
    <w:link w:val="NTTFlushBlueBodyBoldChar"/>
    <w:rsid w:val="00263F18"/>
    <w:pPr>
      <w:keepNext/>
      <w:keepLines/>
      <w:spacing w:before="160" w:after="160"/>
    </w:pPr>
    <w:rPr>
      <w:rFonts w:ascii="Arial Bold" w:eastAsia="Times New Roman" w:hAnsi="Arial Bold" w:cs="Arial"/>
      <w:b/>
      <w:color w:val="005B96" w:themeColor="accent3"/>
      <w:kern w:val="20"/>
      <w:szCs w:val="20"/>
      <w:lang w:val="en-GB"/>
      <w14:ligatures w14:val="none"/>
    </w:rPr>
  </w:style>
  <w:style w:type="character" w:customStyle="1" w:styleId="NTTFlushBlueBodyBoldChar">
    <w:name w:val="NTT Flush Blue Body Bold Char"/>
    <w:basedOn w:val="DefaultParagraphFont"/>
    <w:link w:val="NTTFlushBlueBodyBold"/>
    <w:rsid w:val="00263F18"/>
    <w:rPr>
      <w:rFonts w:ascii="Arial Bold" w:eastAsia="Times New Roman" w:hAnsi="Arial Bold" w:cs="Arial"/>
      <w:b/>
      <w:color w:val="005B96" w:themeColor="accent3"/>
      <w:kern w:val="20"/>
      <w:sz w:val="20"/>
      <w:szCs w:val="20"/>
      <w:lang w:val="en-GB"/>
      <w14:ligatures w14:val="none"/>
    </w:rPr>
  </w:style>
  <w:style w:type="paragraph" w:customStyle="1" w:styleId="NTTFlushBlueBodyText">
    <w:name w:val="NTT Flush Blue Body Text"/>
    <w:basedOn w:val="Normal"/>
    <w:link w:val="NTTFlushBlueBodyTextChar"/>
    <w:rsid w:val="00E32017"/>
    <w:pPr>
      <w:spacing w:before="160" w:after="160"/>
    </w:pPr>
    <w:rPr>
      <w:rFonts w:eastAsia="Times New Roman" w:cs="Arial"/>
      <w:color w:val="005B96" w:themeColor="accent3"/>
      <w:kern w:val="20"/>
      <w:szCs w:val="20"/>
      <w:lang w:val="en-GB"/>
      <w14:ligatures w14:val="none"/>
    </w:rPr>
  </w:style>
  <w:style w:type="character" w:customStyle="1" w:styleId="NTTFlushBlueBodyTextChar">
    <w:name w:val="NTT Flush Blue Body Text Char"/>
    <w:basedOn w:val="DefaultParagraphFont"/>
    <w:link w:val="NTTFlushBlueBodyText"/>
    <w:rsid w:val="00E32017"/>
    <w:rPr>
      <w:rFonts w:ascii="Arial" w:eastAsia="Times New Roman" w:hAnsi="Arial" w:cs="Arial"/>
      <w:color w:val="005B96" w:themeColor="accent3"/>
      <w:kern w:val="20"/>
      <w:sz w:val="20"/>
      <w:szCs w:val="20"/>
      <w:lang w:val="en-GB"/>
      <w14:ligatures w14:val="none"/>
    </w:rPr>
  </w:style>
  <w:style w:type="paragraph" w:customStyle="1" w:styleId="NTTFlushBodyText">
    <w:name w:val="NTT Flush Body Text"/>
    <w:basedOn w:val="NTTBodyText"/>
    <w:uiPriority w:val="4"/>
    <w:rsid w:val="00E32017"/>
    <w:pPr>
      <w:ind w:left="0"/>
    </w:pPr>
  </w:style>
  <w:style w:type="paragraph" w:customStyle="1" w:styleId="NTTFlushBodyBold">
    <w:name w:val="NTT Flush Body Bold"/>
    <w:basedOn w:val="NTTFlushBodyText"/>
    <w:next w:val="NTTFlushBodyText"/>
    <w:uiPriority w:val="19"/>
    <w:rsid w:val="00C33FA2"/>
    <w:pPr>
      <w:keepNext/>
      <w:keepLines/>
    </w:pPr>
    <w:rPr>
      <w:rFonts w:ascii="Arial Bold" w:hAnsi="Arial Bold"/>
      <w:b/>
    </w:rPr>
  </w:style>
  <w:style w:type="paragraph" w:customStyle="1" w:styleId="NTTFlushPicture">
    <w:name w:val="NTT Flush Picture"/>
    <w:basedOn w:val="NTTFlushBodyText"/>
    <w:next w:val="CaptionWide"/>
    <w:uiPriority w:val="19"/>
    <w:qFormat/>
    <w:rsid w:val="00E32017"/>
  </w:style>
  <w:style w:type="paragraph" w:customStyle="1" w:styleId="NTTLegalBody">
    <w:name w:val="NTT Legal Body"/>
    <w:link w:val="NTTLegalBodyChar"/>
    <w:unhideWhenUsed/>
    <w:locked/>
    <w:rsid w:val="00E32017"/>
    <w:pPr>
      <w:spacing w:before="160" w:after="160" w:line="264" w:lineRule="auto"/>
    </w:pPr>
    <w:rPr>
      <w:rFonts w:ascii="Arial" w:hAnsi="Arial" w:cs="Arial"/>
      <w:color w:val="2E404D" w:themeColor="text1"/>
      <w:kern w:val="20"/>
      <w:sz w:val="20"/>
      <w:szCs w:val="22"/>
      <w:lang w:val="en-GB"/>
      <w14:ligatures w14:val="none"/>
    </w:rPr>
  </w:style>
  <w:style w:type="character" w:customStyle="1" w:styleId="NTTLegalBodyChar">
    <w:name w:val="NTT Legal Body Char"/>
    <w:basedOn w:val="DefaultParagraphFont"/>
    <w:link w:val="NTTLegalBody"/>
    <w:rsid w:val="00E32017"/>
    <w:rPr>
      <w:rFonts w:ascii="Arial" w:hAnsi="Arial" w:cs="Arial"/>
      <w:color w:val="2E404D" w:themeColor="text1"/>
      <w:kern w:val="20"/>
      <w:sz w:val="20"/>
      <w:szCs w:val="22"/>
      <w:lang w:val="en-GB"/>
      <w14:ligatures w14:val="none"/>
    </w:rPr>
  </w:style>
  <w:style w:type="paragraph" w:customStyle="1" w:styleId="NTTLegal1">
    <w:name w:val="NTT Legal_1"/>
    <w:basedOn w:val="Legalnumbering1"/>
    <w:next w:val="Normal"/>
    <w:link w:val="NTTLegal1Char"/>
    <w:unhideWhenUsed/>
    <w:locked/>
    <w:rsid w:val="00241D70"/>
    <w:pPr>
      <w:ind w:left="851" w:hanging="851"/>
    </w:pPr>
  </w:style>
  <w:style w:type="character" w:customStyle="1" w:styleId="NTTLegal1Char">
    <w:name w:val="NTT Legal_1 Char"/>
    <w:basedOn w:val="DefaultParagraphFont"/>
    <w:link w:val="NTTLegal1"/>
    <w:rsid w:val="00241D70"/>
    <w:rPr>
      <w:rFonts w:ascii="Arial" w:eastAsia="Times New Roman" w:hAnsi="Arial" w:cs="Arial"/>
      <w:color w:val="2E404D" w:themeColor="text1"/>
      <w:kern w:val="20"/>
      <w:sz w:val="20"/>
      <w:szCs w:val="20"/>
      <w:lang w:val="en-GB"/>
      <w14:ligatures w14:val="none"/>
    </w:rPr>
  </w:style>
  <w:style w:type="paragraph" w:customStyle="1" w:styleId="NTTLegal2">
    <w:name w:val="NTT Legal_2"/>
    <w:basedOn w:val="Legalnumbering2"/>
    <w:link w:val="NTTLegal2Char"/>
    <w:unhideWhenUsed/>
    <w:rsid w:val="00241D70"/>
    <w:pPr>
      <w:ind w:left="851" w:hanging="851"/>
    </w:pPr>
  </w:style>
  <w:style w:type="character" w:customStyle="1" w:styleId="NTTLegal2Char">
    <w:name w:val="NTT Legal_2 Char"/>
    <w:basedOn w:val="DefaultParagraphFont"/>
    <w:link w:val="NTTLegal2"/>
    <w:rsid w:val="00241D70"/>
    <w:rPr>
      <w:rFonts w:ascii="Arial" w:eastAsia="Times New Roman" w:hAnsi="Arial" w:cs="Arial"/>
      <w:color w:val="2E404D" w:themeColor="text1"/>
      <w:kern w:val="20"/>
      <w:sz w:val="20"/>
      <w:szCs w:val="20"/>
      <w:lang w:val="en-GB"/>
      <w14:ligatures w14:val="none"/>
    </w:rPr>
  </w:style>
  <w:style w:type="paragraph" w:customStyle="1" w:styleId="NTTLegal3">
    <w:name w:val="NTT Legal_3"/>
    <w:basedOn w:val="Legalnumbering3"/>
    <w:link w:val="NTTLegal3Char"/>
    <w:unhideWhenUsed/>
    <w:rsid w:val="00241D70"/>
    <w:pPr>
      <w:ind w:left="851" w:hanging="851"/>
    </w:pPr>
  </w:style>
  <w:style w:type="character" w:customStyle="1" w:styleId="NTTLegal3Char">
    <w:name w:val="NTT Legal_3 Char"/>
    <w:basedOn w:val="DefaultParagraphFont"/>
    <w:link w:val="NTTLegal3"/>
    <w:rsid w:val="00241D70"/>
    <w:rPr>
      <w:rFonts w:ascii="Arial" w:eastAsia="Times New Roman" w:hAnsi="Arial" w:cs="Arial"/>
      <w:color w:val="2E404D" w:themeColor="text1"/>
      <w:kern w:val="20"/>
      <w:sz w:val="20"/>
      <w:szCs w:val="20"/>
      <w:lang w:val="en-GB"/>
      <w14:ligatures w14:val="none"/>
    </w:rPr>
  </w:style>
  <w:style w:type="paragraph" w:customStyle="1" w:styleId="NTTLegal4">
    <w:name w:val="NTT Legal_4"/>
    <w:basedOn w:val="Normal"/>
    <w:link w:val="NTTLegal4Char"/>
    <w:unhideWhenUsed/>
    <w:rsid w:val="00E92B5A"/>
    <w:pPr>
      <w:numPr>
        <w:numId w:val="20"/>
      </w:numPr>
      <w:tabs>
        <w:tab w:val="left" w:pos="1417"/>
      </w:tabs>
      <w:spacing w:before="160" w:after="160"/>
      <w:ind w:left="1191" w:hanging="340"/>
      <w:contextualSpacing/>
      <w:outlineLvl w:val="3"/>
    </w:pPr>
    <w:rPr>
      <w:rFonts w:cs="Arial"/>
      <w:color w:val="2E404D" w:themeColor="text1"/>
      <w:kern w:val="20"/>
      <w:szCs w:val="22"/>
      <w:lang w:val="en-GB"/>
      <w14:ligatures w14:val="none"/>
    </w:rPr>
  </w:style>
  <w:style w:type="character" w:customStyle="1" w:styleId="NTTLegal4Char">
    <w:name w:val="NTT Legal_4 Char"/>
    <w:basedOn w:val="DefaultParagraphFont"/>
    <w:link w:val="NTTLegal4"/>
    <w:rsid w:val="00E92B5A"/>
    <w:rPr>
      <w:rFonts w:ascii="Arial" w:hAnsi="Arial" w:cs="Arial"/>
      <w:color w:val="2E404D" w:themeColor="text1"/>
      <w:kern w:val="20"/>
      <w:sz w:val="20"/>
      <w:szCs w:val="22"/>
      <w:lang w:val="en-GB"/>
      <w14:ligatures w14:val="none"/>
    </w:rPr>
  </w:style>
  <w:style w:type="paragraph" w:customStyle="1" w:styleId="NTTLegal5">
    <w:name w:val="NTT Legal_5"/>
    <w:basedOn w:val="Legalnumbering6"/>
    <w:link w:val="NTTLegal5Char"/>
    <w:unhideWhenUsed/>
    <w:rsid w:val="00E92B5A"/>
    <w:pPr>
      <w:ind w:left="1191"/>
    </w:pPr>
  </w:style>
  <w:style w:type="character" w:customStyle="1" w:styleId="NTTLegal5Char">
    <w:name w:val="NTT Legal_5 Char"/>
    <w:basedOn w:val="DefaultParagraphFont"/>
    <w:link w:val="NTTLegal5"/>
    <w:rsid w:val="00E92B5A"/>
    <w:rPr>
      <w:rFonts w:ascii="Arial" w:eastAsia="Times New Roman" w:hAnsi="Arial" w:cs="Arial"/>
      <w:color w:val="2E404D" w:themeColor="text1"/>
      <w:kern w:val="20"/>
      <w:sz w:val="20"/>
      <w:szCs w:val="20"/>
      <w:lang w:val="en-GB"/>
      <w14:ligatures w14:val="none"/>
    </w:rPr>
  </w:style>
  <w:style w:type="paragraph" w:customStyle="1" w:styleId="NTTLegal6">
    <w:name w:val="NTT Legal_6"/>
    <w:basedOn w:val="NTTLegal5"/>
    <w:link w:val="NTTLegal6Char"/>
    <w:unhideWhenUsed/>
    <w:rsid w:val="00E92B5A"/>
    <w:pPr>
      <w:numPr>
        <w:ilvl w:val="0"/>
        <w:numId w:val="21"/>
      </w:numPr>
      <w:ind w:left="1191" w:hanging="340"/>
    </w:pPr>
  </w:style>
  <w:style w:type="character" w:customStyle="1" w:styleId="NTTLegal6Char">
    <w:name w:val="NTT Legal_6 Char"/>
    <w:basedOn w:val="DefaultParagraphFont"/>
    <w:link w:val="NTTLegal6"/>
    <w:rsid w:val="00E92B5A"/>
    <w:rPr>
      <w:rFonts w:ascii="Arial" w:eastAsia="Times New Roman" w:hAnsi="Arial" w:cs="Arial"/>
      <w:color w:val="2E404D" w:themeColor="text1"/>
      <w:kern w:val="20"/>
      <w:sz w:val="20"/>
      <w:szCs w:val="20"/>
      <w:lang w:val="en-GB"/>
      <w14:ligatures w14:val="none"/>
    </w:rPr>
  </w:style>
  <w:style w:type="paragraph" w:customStyle="1" w:styleId="NTTQuestion">
    <w:name w:val="NTT Question"/>
    <w:basedOn w:val="NTTBlueQuestion"/>
    <w:next w:val="NTTBodyText"/>
    <w:uiPriority w:val="59"/>
    <w:qFormat/>
    <w:rsid w:val="00B3236F"/>
    <w:rPr>
      <w:color w:val="2E404D" w:themeColor="text1"/>
    </w:rPr>
  </w:style>
  <w:style w:type="paragraph" w:customStyle="1" w:styleId="NTTRedBodyText">
    <w:name w:val="NTT Red Body Text"/>
    <w:basedOn w:val="NTTBodyText"/>
    <w:uiPriority w:val="39"/>
    <w:unhideWhenUsed/>
    <w:rsid w:val="00676140"/>
    <w:rPr>
      <w:color w:val="E42600"/>
    </w:rPr>
  </w:style>
  <w:style w:type="paragraph" w:customStyle="1" w:styleId="NTTRedTableBodyText">
    <w:name w:val="NTT Red Table Body Text"/>
    <w:basedOn w:val="Normal"/>
    <w:uiPriority w:val="44"/>
    <w:unhideWhenUsed/>
    <w:rsid w:val="0002263F"/>
    <w:rPr>
      <w:rFonts w:eastAsia="Times New Roman" w:cs="Arial"/>
      <w:color w:val="E42600"/>
      <w:kern w:val="18"/>
      <w:szCs w:val="18"/>
      <w:lang w:val="en-GB"/>
      <w14:ligatures w14:val="none"/>
    </w:rPr>
  </w:style>
  <w:style w:type="paragraph" w:customStyle="1" w:styleId="NTTRqmtHeading">
    <w:name w:val="NTT Rqmt Heading"/>
    <w:next w:val="NTTBodyText"/>
    <w:uiPriority w:val="17"/>
    <w:rsid w:val="00AB7488"/>
    <w:pPr>
      <w:pBdr>
        <w:top w:val="single" w:sz="4" w:space="3" w:color="2E404D" w:themeColor="text1"/>
        <w:bottom w:val="single" w:sz="4" w:space="3" w:color="2E404D" w:themeColor="text1"/>
      </w:pBdr>
      <w:shd w:val="clear" w:color="auto" w:fill="E9E9E9" w:themeFill="accent6" w:themeFillTint="33"/>
      <w:spacing w:before="160" w:after="160" w:line="264" w:lineRule="auto"/>
      <w:ind w:left="851"/>
    </w:pPr>
    <w:rPr>
      <w:rFonts w:ascii="Arial" w:eastAsia="Times New Roman" w:hAnsi="Arial" w:cs="Arial"/>
      <w:color w:val="2E404D" w:themeColor="text1"/>
      <w:kern w:val="20"/>
      <w:sz w:val="20"/>
      <w:szCs w:val="20"/>
      <w:lang w:val="en-GB"/>
      <w14:ligatures w14:val="none"/>
    </w:rPr>
  </w:style>
  <w:style w:type="paragraph" w:customStyle="1" w:styleId="NTTRqmtHeadingWide">
    <w:name w:val="NTT Rqmt Heading Wide"/>
    <w:basedOn w:val="NTTRqmtHeading"/>
    <w:next w:val="NTTFlushBodyText"/>
    <w:uiPriority w:val="17"/>
    <w:rsid w:val="00AB7488"/>
    <w:pPr>
      <w:ind w:left="0"/>
    </w:pPr>
  </w:style>
  <w:style w:type="paragraph" w:customStyle="1" w:styleId="NTTSmallPrint">
    <w:name w:val="NTT Small Print"/>
    <w:basedOn w:val="NTTFlushBodyText"/>
    <w:uiPriority w:val="79"/>
    <w:unhideWhenUsed/>
    <w:rsid w:val="00676140"/>
    <w:rPr>
      <w:kern w:val="17"/>
      <w:sz w:val="17"/>
    </w:rPr>
  </w:style>
  <w:style w:type="paragraph" w:customStyle="1" w:styleId="NTTTableBodyText">
    <w:name w:val="NTT Table Body Text"/>
    <w:uiPriority w:val="14"/>
    <w:rsid w:val="00676140"/>
    <w:pPr>
      <w:spacing w:line="264" w:lineRule="auto"/>
    </w:pPr>
    <w:rPr>
      <w:rFonts w:ascii="Arial" w:eastAsia="Times New Roman" w:hAnsi="Arial" w:cs="Arial"/>
      <w:color w:val="2E404D" w:themeColor="text1"/>
      <w:kern w:val="18"/>
      <w:sz w:val="20"/>
      <w:szCs w:val="18"/>
      <w:lang w:val="en-GB"/>
      <w14:ligatures w14:val="none"/>
    </w:rPr>
  </w:style>
  <w:style w:type="numbering" w:customStyle="1" w:styleId="NTTHeadingsList">
    <w:name w:val="_NTT Headings List"/>
    <w:basedOn w:val="NoList"/>
    <w:uiPriority w:val="89"/>
    <w:rsid w:val="005F1C66"/>
    <w:pPr>
      <w:numPr>
        <w:numId w:val="22"/>
      </w:numPr>
    </w:pPr>
  </w:style>
  <w:style w:type="paragraph" w:customStyle="1" w:styleId="NTTFlushHeading">
    <w:name w:val="NTT Flush Heading"/>
    <w:next w:val="NTTFlushBodyText"/>
    <w:uiPriority w:val="3"/>
    <w:rsid w:val="00B3236F"/>
    <w:pPr>
      <w:keepNext/>
      <w:keepLines/>
      <w:pageBreakBefore/>
      <w:spacing w:after="360" w:line="264" w:lineRule="auto"/>
      <w:outlineLvl w:val="0"/>
    </w:pPr>
    <w:rPr>
      <w:rFonts w:ascii="Georgia" w:eastAsia="MS PGothic" w:hAnsi="Georgia" w:cs="Arial"/>
      <w:bCs/>
      <w:color w:val="0072BC" w:themeColor="accent2"/>
      <w:kern w:val="28"/>
      <w:sz w:val="40"/>
      <w:szCs w:val="28"/>
      <w:lang w:val="en-GB" w:eastAsia="ja-JP"/>
      <w14:ligatures w14:val="none"/>
    </w:rPr>
  </w:style>
  <w:style w:type="paragraph" w:customStyle="1" w:styleId="NTTFlushSubHeading">
    <w:name w:val="NTT Flush Sub Heading"/>
    <w:next w:val="NTTFlushBodyText"/>
    <w:uiPriority w:val="3"/>
    <w:rsid w:val="00AB5773"/>
    <w:pPr>
      <w:keepNext/>
      <w:keepLines/>
      <w:spacing w:before="360" w:after="120" w:line="264" w:lineRule="auto"/>
      <w:outlineLvl w:val="1"/>
    </w:pPr>
    <w:rPr>
      <w:rFonts w:asciiTheme="majorHAnsi" w:eastAsia="MS PGothic" w:hAnsiTheme="majorHAnsi" w:cs="Arial"/>
      <w:b/>
      <w:color w:val="2E404D" w:themeColor="text1"/>
      <w:kern w:val="24"/>
      <w:sz w:val="28"/>
      <w:lang w:val="en-GB" w:eastAsia="ja-JP"/>
      <w14:ligatures w14:val="none"/>
    </w:rPr>
  </w:style>
  <w:style w:type="paragraph" w:customStyle="1" w:styleId="NTTFlushSubSubHeading">
    <w:name w:val="NTT Flush Sub Sub Heading"/>
    <w:basedOn w:val="NTTFlushSubHeading"/>
    <w:next w:val="NTTFlushBodyText"/>
    <w:link w:val="NTTFlushSubSubHeadingChar"/>
    <w:rsid w:val="00627CC5"/>
    <w:pPr>
      <w:outlineLvl w:val="2"/>
    </w:pPr>
    <w:rPr>
      <w:b w:val="0"/>
      <w:szCs w:val="20"/>
    </w:rPr>
  </w:style>
  <w:style w:type="character" w:customStyle="1" w:styleId="NTTFlushSubSubHeadingChar">
    <w:name w:val="NTT Flush Sub Sub Heading Char"/>
    <w:basedOn w:val="NTTBodyTextChar"/>
    <w:link w:val="NTTFlushSubSubHeading"/>
    <w:rsid w:val="00627CC5"/>
    <w:rPr>
      <w:rFonts w:asciiTheme="majorHAnsi" w:eastAsia="MS PGothic" w:hAnsiTheme="majorHAnsi" w:cs="Arial"/>
      <w:color w:val="2E404D" w:themeColor="text1"/>
      <w:kern w:val="24"/>
      <w:sz w:val="28"/>
      <w:szCs w:val="20"/>
      <w:lang w:val="en-GB" w:eastAsia="ja-JP"/>
      <w14:ligatures w14:val="none"/>
    </w:rPr>
  </w:style>
  <w:style w:type="paragraph" w:styleId="TOCHeading">
    <w:name w:val="TOC Heading"/>
    <w:basedOn w:val="Normal"/>
    <w:next w:val="Normal"/>
    <w:uiPriority w:val="39"/>
    <w:unhideWhenUsed/>
    <w:qFormat/>
    <w:rsid w:val="00D24630"/>
    <w:pPr>
      <w:spacing w:after="360"/>
    </w:pPr>
    <w:rPr>
      <w:rFonts w:ascii="Georgia" w:eastAsiaTheme="majorEastAsia" w:hAnsi="Georgia" w:cstheme="majorBidi"/>
      <w:color w:val="0072BC" w:themeColor="accent2"/>
      <w:sz w:val="40"/>
      <w:szCs w:val="32"/>
    </w:rPr>
  </w:style>
  <w:style w:type="numbering" w:customStyle="1" w:styleId="NTTBoldBulletList">
    <w:name w:val="_NTT Bold Bullet List"/>
    <w:uiPriority w:val="89"/>
    <w:rsid w:val="00786EEE"/>
    <w:pPr>
      <w:numPr>
        <w:numId w:val="25"/>
      </w:numPr>
    </w:pPr>
  </w:style>
  <w:style w:type="paragraph" w:customStyle="1" w:styleId="NTTBoldBullet">
    <w:name w:val="NTT Bold Bullet"/>
    <w:basedOn w:val="NTTBullet1"/>
    <w:next w:val="Normal"/>
    <w:uiPriority w:val="9"/>
    <w:rsid w:val="00B52EA2"/>
    <w:pPr>
      <w:keepNext/>
      <w:keepLines/>
      <w:numPr>
        <w:ilvl w:val="2"/>
        <w:numId w:val="27"/>
      </w:numPr>
      <w:ind w:left="1135" w:hanging="284"/>
    </w:pPr>
    <w:rPr>
      <w:rFonts w:ascii="Arial Bold" w:hAnsi="Arial Bold"/>
      <w:b/>
    </w:rPr>
  </w:style>
  <w:style w:type="paragraph" w:customStyle="1" w:styleId="NTTBlueBoldBullet">
    <w:name w:val="NTT Blue Bold Bullet"/>
    <w:basedOn w:val="NTTBoldBullet"/>
    <w:next w:val="Normal"/>
    <w:uiPriority w:val="29"/>
    <w:rsid w:val="005475C3"/>
    <w:pPr>
      <w:numPr>
        <w:ilvl w:val="1"/>
      </w:numPr>
      <w:ind w:left="1135" w:hanging="284"/>
    </w:pPr>
    <w:rPr>
      <w:color w:val="005B96" w:themeColor="accent3"/>
    </w:rPr>
  </w:style>
  <w:style w:type="paragraph" w:customStyle="1" w:styleId="NTTFlushBlueBoldBullet">
    <w:name w:val="NTT Flush Blue Bold Bullet"/>
    <w:basedOn w:val="Normal"/>
    <w:link w:val="NTTFlushBlueBoldBulletChar"/>
    <w:rsid w:val="00263F18"/>
    <w:pPr>
      <w:keepNext/>
      <w:keepLines/>
      <w:numPr>
        <w:ilvl w:val="5"/>
        <w:numId w:val="27"/>
      </w:numPr>
      <w:spacing w:before="160" w:after="160"/>
      <w:contextualSpacing/>
    </w:pPr>
    <w:rPr>
      <w:rFonts w:eastAsia="Times New Roman" w:cs="Arial"/>
      <w:b/>
      <w:color w:val="005B96" w:themeColor="accent3"/>
      <w:kern w:val="20"/>
      <w:szCs w:val="20"/>
      <w:lang w:val="en-GB"/>
      <w14:ligatures w14:val="none"/>
    </w:rPr>
  </w:style>
  <w:style w:type="character" w:customStyle="1" w:styleId="NTTFlushBlueBoldBulletChar">
    <w:name w:val="NTT Flush Blue Bold Bullet Char"/>
    <w:basedOn w:val="DefaultParagraphFont"/>
    <w:link w:val="NTTFlushBlueBoldBullet"/>
    <w:rsid w:val="00263F18"/>
    <w:rPr>
      <w:rFonts w:ascii="Arial" w:eastAsia="Times New Roman" w:hAnsi="Arial" w:cs="Arial"/>
      <w:b/>
      <w:color w:val="005B96" w:themeColor="accent3"/>
      <w:kern w:val="20"/>
      <w:sz w:val="20"/>
      <w:szCs w:val="20"/>
      <w:lang w:val="en-GB"/>
      <w14:ligatures w14:val="none"/>
    </w:rPr>
  </w:style>
  <w:style w:type="paragraph" w:customStyle="1" w:styleId="NTTFlushBoldBullet">
    <w:name w:val="NTT Flush Bold Bullet"/>
    <w:basedOn w:val="NTTBoldBullet"/>
    <w:next w:val="Normal"/>
    <w:uiPriority w:val="19"/>
    <w:rsid w:val="00C33FA2"/>
    <w:pPr>
      <w:numPr>
        <w:ilvl w:val="6"/>
      </w:numPr>
    </w:pPr>
  </w:style>
  <w:style w:type="paragraph" w:customStyle="1" w:styleId="NTTRedBoldBullet">
    <w:name w:val="NTT Red Bold Bullet"/>
    <w:basedOn w:val="NTTBoldBullet"/>
    <w:next w:val="Normal"/>
    <w:uiPriority w:val="39"/>
    <w:unhideWhenUsed/>
    <w:rsid w:val="00F31CD6"/>
    <w:pPr>
      <w:numPr>
        <w:ilvl w:val="3"/>
      </w:numPr>
      <w:ind w:left="1135" w:hanging="284"/>
    </w:pPr>
    <w:rPr>
      <w:b w:val="0"/>
      <w:color w:val="E42600"/>
    </w:rPr>
  </w:style>
  <w:style w:type="numbering" w:customStyle="1" w:styleId="NTTGuidanceTextBullets">
    <w:name w:val="_NTT Guidance Text Bullets"/>
    <w:uiPriority w:val="89"/>
    <w:rsid w:val="00786EEE"/>
    <w:pPr>
      <w:numPr>
        <w:numId w:val="26"/>
      </w:numPr>
    </w:pPr>
  </w:style>
  <w:style w:type="paragraph" w:customStyle="1" w:styleId="GuidanceText3Bullet">
    <w:name w:val="Guidance Text 3 Bullet"/>
    <w:basedOn w:val="Normal"/>
    <w:uiPriority w:val="49"/>
    <w:rsid w:val="0004099E"/>
    <w:pPr>
      <w:numPr>
        <w:numId w:val="28"/>
      </w:numPr>
      <w:pBdr>
        <w:top w:val="single" w:sz="4" w:space="3" w:color="00CB5D" w:themeColor="accent5"/>
        <w:bottom w:val="single" w:sz="4" w:space="3" w:color="00CB5D" w:themeColor="accent5"/>
      </w:pBdr>
      <w:shd w:val="clear" w:color="auto" w:fill="C1FFDD" w:themeFill="accent5" w:themeFillTint="33"/>
      <w:tabs>
        <w:tab w:val="left" w:pos="284"/>
      </w:tabs>
      <w:spacing w:before="160" w:after="160"/>
      <w:ind w:left="284" w:hanging="284"/>
      <w:contextualSpacing/>
    </w:pPr>
    <w:rPr>
      <w:rFonts w:eastAsia="Times New Roman" w:cs="Arial"/>
      <w:color w:val="00652E" w:themeColor="accent5" w:themeShade="80"/>
      <w:kern w:val="20"/>
      <w:szCs w:val="20"/>
      <w:lang w:val="en-GB"/>
      <w14:ligatures w14:val="none"/>
    </w:rPr>
  </w:style>
  <w:style w:type="paragraph" w:customStyle="1" w:styleId="GuidanceText4List">
    <w:name w:val="Guidance Text 4 List"/>
    <w:basedOn w:val="Normal"/>
    <w:uiPriority w:val="49"/>
    <w:rsid w:val="0004099E"/>
    <w:pPr>
      <w:numPr>
        <w:ilvl w:val="1"/>
        <w:numId w:val="28"/>
      </w:numPr>
      <w:pBdr>
        <w:top w:val="single" w:sz="4" w:space="3" w:color="00CB5D" w:themeColor="accent5"/>
        <w:bottom w:val="single" w:sz="4" w:space="3" w:color="00CB5D" w:themeColor="accent5"/>
      </w:pBdr>
      <w:shd w:val="clear" w:color="auto" w:fill="C1FFDD" w:themeFill="accent5" w:themeFillTint="33"/>
      <w:spacing w:before="160" w:after="160"/>
      <w:ind w:left="284" w:hanging="284"/>
      <w:contextualSpacing/>
    </w:pPr>
    <w:rPr>
      <w:rFonts w:eastAsia="Times New Roman" w:cs="Arial"/>
      <w:color w:val="00652E" w:themeColor="accent5" w:themeShade="80"/>
      <w:kern w:val="20"/>
      <w:szCs w:val="20"/>
      <w:lang w:val="en-GB"/>
      <w14:ligatures w14:val="none"/>
    </w:rPr>
  </w:style>
  <w:style w:type="paragraph" w:customStyle="1" w:styleId="NTTBlueNotedText3Bullet">
    <w:name w:val="NTT Blue Noted Text 3 Bullet"/>
    <w:basedOn w:val="NTTBlueNotedText2Body"/>
    <w:uiPriority w:val="36"/>
    <w:rsid w:val="0044104B"/>
    <w:pPr>
      <w:numPr>
        <w:ilvl w:val="2"/>
        <w:numId w:val="28"/>
      </w:numPr>
      <w:ind w:left="284" w:hanging="284"/>
      <w:contextualSpacing/>
    </w:pPr>
  </w:style>
  <w:style w:type="paragraph" w:customStyle="1" w:styleId="NTTBlueNotedText4List">
    <w:name w:val="NTT Blue Noted Text 4 List"/>
    <w:basedOn w:val="NTTBlueNotedText2Body"/>
    <w:uiPriority w:val="36"/>
    <w:rsid w:val="00C40984"/>
    <w:pPr>
      <w:numPr>
        <w:ilvl w:val="3"/>
        <w:numId w:val="28"/>
      </w:numPr>
      <w:tabs>
        <w:tab w:val="left" w:pos="1134"/>
      </w:tabs>
      <w:ind w:left="284" w:hanging="284"/>
      <w:contextualSpacing/>
    </w:pPr>
  </w:style>
  <w:style w:type="paragraph" w:customStyle="1" w:styleId="NTTRedNotedText3Bullet">
    <w:name w:val="NTT Red Noted Text 3 Bullet"/>
    <w:basedOn w:val="NTTRedNotedText2Body"/>
    <w:uiPriority w:val="46"/>
    <w:unhideWhenUsed/>
    <w:rsid w:val="003E307D"/>
    <w:pPr>
      <w:numPr>
        <w:ilvl w:val="6"/>
        <w:numId w:val="28"/>
      </w:numPr>
      <w:ind w:left="284" w:hanging="284"/>
      <w:contextualSpacing/>
    </w:pPr>
  </w:style>
  <w:style w:type="paragraph" w:customStyle="1" w:styleId="NTTRedNotedText4Bullet">
    <w:name w:val="NTT Red Noted Text 4 Bullet"/>
    <w:basedOn w:val="NTTRedNotedText2Body"/>
    <w:uiPriority w:val="46"/>
    <w:unhideWhenUsed/>
    <w:rsid w:val="003E307D"/>
    <w:pPr>
      <w:numPr>
        <w:ilvl w:val="7"/>
        <w:numId w:val="28"/>
      </w:numPr>
      <w:ind w:left="284" w:hanging="284"/>
      <w:contextualSpacing/>
    </w:pPr>
  </w:style>
  <w:style w:type="paragraph" w:customStyle="1" w:styleId="GuidanceText1Bold">
    <w:name w:val="Guidance Text 1 Bold"/>
    <w:basedOn w:val="Guidancetext2body"/>
    <w:next w:val="Normal"/>
    <w:uiPriority w:val="49"/>
    <w:qFormat/>
    <w:rsid w:val="00AE5238"/>
    <w:rPr>
      <w:rFonts w:ascii="Arial Bold" w:hAnsi="Arial Bold"/>
      <w:b/>
    </w:rPr>
  </w:style>
  <w:style w:type="paragraph" w:customStyle="1" w:styleId="NTTBlueBulletText1">
    <w:name w:val="NTT Blue Bullet Text 1"/>
    <w:basedOn w:val="Normal"/>
    <w:uiPriority w:val="29"/>
    <w:rsid w:val="00A43CFD"/>
    <w:pPr>
      <w:spacing w:before="160" w:after="160"/>
      <w:ind w:left="1191"/>
      <w:contextualSpacing/>
    </w:pPr>
    <w:rPr>
      <w:rFonts w:eastAsia="Times New Roman" w:cs="Arial"/>
      <w:color w:val="005B96" w:themeColor="accent3"/>
      <w:kern w:val="20"/>
      <w:szCs w:val="20"/>
      <w:lang w:val="en-GB"/>
      <w14:ligatures w14:val="none"/>
    </w:rPr>
  </w:style>
  <w:style w:type="paragraph" w:customStyle="1" w:styleId="NTTBlueBulletText2">
    <w:name w:val="NTT Blue Bullet Text 2"/>
    <w:basedOn w:val="Normal"/>
    <w:uiPriority w:val="29"/>
    <w:rsid w:val="00B23563"/>
    <w:pPr>
      <w:spacing w:before="160" w:after="160"/>
      <w:ind w:left="1531"/>
      <w:contextualSpacing/>
    </w:pPr>
    <w:rPr>
      <w:rFonts w:eastAsia="Times New Roman" w:cs="Arial"/>
      <w:color w:val="005B96" w:themeColor="accent3"/>
      <w:kern w:val="20"/>
      <w:szCs w:val="20"/>
      <w:lang w:val="en-GB"/>
      <w14:ligatures w14:val="none"/>
    </w:rPr>
  </w:style>
  <w:style w:type="paragraph" w:customStyle="1" w:styleId="NTTBlueBulletText3">
    <w:name w:val="NTT Blue Bullet Text 3"/>
    <w:basedOn w:val="Normal"/>
    <w:uiPriority w:val="29"/>
    <w:rsid w:val="0030602F"/>
    <w:pPr>
      <w:spacing w:before="160" w:after="160"/>
      <w:ind w:left="1814"/>
      <w:contextualSpacing/>
    </w:pPr>
    <w:rPr>
      <w:rFonts w:eastAsia="Times New Roman" w:cs="Arial"/>
      <w:color w:val="005B96" w:themeColor="accent3"/>
      <w:kern w:val="20"/>
      <w:szCs w:val="20"/>
      <w:lang w:val="en-GB"/>
      <w14:ligatures w14:val="none"/>
    </w:rPr>
  </w:style>
  <w:style w:type="paragraph" w:customStyle="1" w:styleId="NTTBlueBulletText4">
    <w:name w:val="NTT Blue Bullet Text 4"/>
    <w:basedOn w:val="Normal"/>
    <w:uiPriority w:val="29"/>
    <w:rsid w:val="004C2406"/>
    <w:pPr>
      <w:spacing w:before="160" w:after="160"/>
      <w:ind w:left="1814"/>
      <w:contextualSpacing/>
    </w:pPr>
    <w:rPr>
      <w:rFonts w:eastAsia="Times New Roman" w:cs="Arial"/>
      <w:color w:val="005B96" w:themeColor="accent3"/>
      <w:kern w:val="20"/>
      <w:szCs w:val="20"/>
      <w:lang w:val="en-GB"/>
      <w14:ligatures w14:val="none"/>
    </w:rPr>
  </w:style>
  <w:style w:type="paragraph" w:customStyle="1" w:styleId="NTTBlueBulletText5">
    <w:name w:val="NTT Blue Bullet Text 5"/>
    <w:basedOn w:val="NTTBlueBulletText4"/>
    <w:uiPriority w:val="29"/>
    <w:rsid w:val="009D3BEB"/>
  </w:style>
  <w:style w:type="paragraph" w:customStyle="1" w:styleId="NTTBlueNotedText2Body">
    <w:name w:val="NTT Blue Noted Text 2 Body"/>
    <w:uiPriority w:val="36"/>
    <w:rsid w:val="00C40984"/>
    <w:pPr>
      <w:pBdr>
        <w:top w:val="single" w:sz="8" w:space="3" w:color="005B96" w:themeColor="accent3"/>
        <w:bottom w:val="single" w:sz="8" w:space="3" w:color="005B96" w:themeColor="accent3"/>
      </w:pBdr>
      <w:shd w:val="clear" w:color="auto" w:fill="D0ECFE" w:themeFill="accent4" w:themeFillTint="33"/>
      <w:spacing w:before="160" w:after="160" w:line="264" w:lineRule="auto"/>
    </w:pPr>
    <w:rPr>
      <w:rFonts w:ascii="Arial" w:eastAsia="Times New Roman" w:hAnsi="Arial" w:cs="Times New Roman"/>
      <w:color w:val="005B96" w:themeColor="accent3"/>
      <w:kern w:val="20"/>
      <w:sz w:val="20"/>
      <w:szCs w:val="20"/>
      <w:lang w:val="en-GB"/>
      <w14:ligatures w14:val="none"/>
    </w:rPr>
  </w:style>
  <w:style w:type="paragraph" w:customStyle="1" w:styleId="NTTBlueNotedText1Bold">
    <w:name w:val="NTT Blue Noted Text 1 Bold"/>
    <w:basedOn w:val="NTTBlueNotedText2Body"/>
    <w:next w:val="NTTBlueNotedText2Body"/>
    <w:uiPriority w:val="36"/>
    <w:rsid w:val="00C40984"/>
    <w:pPr>
      <w:keepNext/>
      <w:keepLines/>
    </w:pPr>
    <w:rPr>
      <w:rFonts w:ascii="Arial Bold" w:hAnsi="Arial Bold"/>
      <w:b/>
    </w:rPr>
  </w:style>
  <w:style w:type="paragraph" w:customStyle="1" w:styleId="NTTBlueTableBoldBullet">
    <w:name w:val="NTT Blue Table Bold Bullet"/>
    <w:basedOn w:val="Normal"/>
    <w:next w:val="Normal"/>
    <w:uiPriority w:val="34"/>
    <w:rsid w:val="00B52EA2"/>
    <w:pPr>
      <w:keepNext/>
      <w:keepLines/>
      <w:numPr>
        <w:numId w:val="29"/>
      </w:numPr>
      <w:contextualSpacing/>
    </w:pPr>
    <w:rPr>
      <w:rFonts w:eastAsia="Times New Roman" w:cs="Arial"/>
      <w:b/>
      <w:color w:val="005B96" w:themeColor="accent3"/>
      <w:kern w:val="18"/>
      <w:szCs w:val="20"/>
      <w:lang w:val="en-GB"/>
      <w14:ligatures w14:val="none"/>
    </w:rPr>
  </w:style>
  <w:style w:type="paragraph" w:customStyle="1" w:styleId="NTTBlueTableBulletText1">
    <w:name w:val="NTT Blue Table Bullet Text 1"/>
    <w:basedOn w:val="Normal"/>
    <w:uiPriority w:val="34"/>
    <w:rsid w:val="0015224D"/>
    <w:pPr>
      <w:ind w:left="340"/>
    </w:pPr>
    <w:rPr>
      <w:rFonts w:eastAsia="Times New Roman" w:cs="Arial"/>
      <w:color w:val="005B96" w:themeColor="accent3"/>
      <w:kern w:val="18"/>
      <w:szCs w:val="20"/>
      <w:lang w:val="en-GB"/>
      <w14:ligatures w14:val="none"/>
    </w:rPr>
  </w:style>
  <w:style w:type="paragraph" w:customStyle="1" w:styleId="NTTBlueTableBulletText2">
    <w:name w:val="NTT Blue Table Bullet Text 2"/>
    <w:basedOn w:val="Normal"/>
    <w:uiPriority w:val="34"/>
    <w:rsid w:val="0040405A"/>
    <w:pPr>
      <w:ind w:left="851"/>
    </w:pPr>
    <w:rPr>
      <w:rFonts w:eastAsia="Times New Roman" w:cs="Arial"/>
      <w:color w:val="005B96" w:themeColor="accent3"/>
      <w:kern w:val="18"/>
      <w:szCs w:val="20"/>
      <w:lang w:val="en-GB"/>
      <w14:ligatures w14:val="none"/>
    </w:rPr>
  </w:style>
  <w:style w:type="paragraph" w:customStyle="1" w:styleId="NTTBlueTableBulletText3">
    <w:name w:val="NTT Blue Table Bullet Text 3"/>
    <w:basedOn w:val="Normal"/>
    <w:uiPriority w:val="34"/>
    <w:rsid w:val="00767F75"/>
    <w:pPr>
      <w:ind w:left="964"/>
    </w:pPr>
    <w:rPr>
      <w:rFonts w:eastAsia="Times New Roman" w:cs="Arial"/>
      <w:color w:val="005B96" w:themeColor="accent3"/>
      <w:kern w:val="18"/>
      <w:szCs w:val="20"/>
      <w:lang w:val="en-GB"/>
      <w14:ligatures w14:val="none"/>
    </w:rPr>
  </w:style>
  <w:style w:type="paragraph" w:customStyle="1" w:styleId="NTTBlueTableBulletText4">
    <w:name w:val="NTT Blue Table Bullet Text 4"/>
    <w:basedOn w:val="NTTBlueTableBulletText3"/>
    <w:uiPriority w:val="34"/>
    <w:rsid w:val="00AD2E63"/>
  </w:style>
  <w:style w:type="paragraph" w:customStyle="1" w:styleId="NTTBlueTableBulletText5">
    <w:name w:val="NTT Blue Table Bullet Text 5"/>
    <w:basedOn w:val="NTTBlueTableBulletText1"/>
    <w:uiPriority w:val="34"/>
    <w:rsid w:val="004C2406"/>
    <w:pPr>
      <w:ind w:left="964"/>
    </w:pPr>
  </w:style>
  <w:style w:type="paragraph" w:customStyle="1" w:styleId="NTTBulletText1">
    <w:name w:val="NTT Bullet Text 1"/>
    <w:basedOn w:val="NTTBodyText"/>
    <w:uiPriority w:val="9"/>
    <w:rsid w:val="008C0602"/>
    <w:pPr>
      <w:ind w:left="1191"/>
      <w:contextualSpacing/>
    </w:pPr>
  </w:style>
  <w:style w:type="paragraph" w:customStyle="1" w:styleId="NTTBulletText2">
    <w:name w:val="NTT Bullet Text 2"/>
    <w:basedOn w:val="NTTBulletText1"/>
    <w:uiPriority w:val="9"/>
    <w:rsid w:val="00B23563"/>
    <w:pPr>
      <w:ind w:left="1531"/>
    </w:pPr>
  </w:style>
  <w:style w:type="paragraph" w:customStyle="1" w:styleId="NTTBulletText3">
    <w:name w:val="NTT Bullet Text 3"/>
    <w:basedOn w:val="NTTBulletText2"/>
    <w:uiPriority w:val="9"/>
    <w:rsid w:val="00252A11"/>
    <w:pPr>
      <w:ind w:left="1814"/>
    </w:pPr>
  </w:style>
  <w:style w:type="paragraph" w:customStyle="1" w:styleId="NTTBulletText4">
    <w:name w:val="NTT Bullet Text 4"/>
    <w:basedOn w:val="NTTBulletText3"/>
    <w:uiPriority w:val="9"/>
    <w:rsid w:val="003E307D"/>
  </w:style>
  <w:style w:type="paragraph" w:customStyle="1" w:styleId="NTTBulletText5">
    <w:name w:val="NTT Bullet Text 5"/>
    <w:basedOn w:val="NTTBulletText4"/>
    <w:uiPriority w:val="9"/>
    <w:rsid w:val="00FC5E53"/>
  </w:style>
  <w:style w:type="character" w:customStyle="1" w:styleId="NTTEmphasis">
    <w:name w:val="NTT Emphasis"/>
    <w:uiPriority w:val="29"/>
    <w:rsid w:val="003768F0"/>
    <w:rPr>
      <w:rFonts w:ascii="Arial" w:hAnsi="Arial"/>
      <w:b w:val="0"/>
      <w:color w:val="0072BC" w:themeColor="accent2"/>
      <w:spacing w:val="0"/>
      <w:kern w:val="20"/>
      <w:sz w:val="24"/>
    </w:rPr>
  </w:style>
  <w:style w:type="paragraph" w:customStyle="1" w:styleId="NTTFlushBlueBulletText1">
    <w:name w:val="NTT Flush Blue Bullet Text 1"/>
    <w:basedOn w:val="Normal"/>
    <w:link w:val="NTTFlushBlueBulletText1Char"/>
    <w:rsid w:val="00E728B1"/>
    <w:pPr>
      <w:spacing w:before="160" w:after="160"/>
      <w:ind w:left="397"/>
      <w:contextualSpacing/>
    </w:pPr>
    <w:rPr>
      <w:rFonts w:eastAsia="Times New Roman" w:cs="Arial"/>
      <w:color w:val="005B96" w:themeColor="accent3"/>
      <w:kern w:val="20"/>
      <w:szCs w:val="20"/>
      <w:lang w:val="en-GB" w:eastAsia="ja-JP"/>
      <w14:ligatures w14:val="none"/>
    </w:rPr>
  </w:style>
  <w:style w:type="character" w:customStyle="1" w:styleId="NTTFlushBlueBulletText1Char">
    <w:name w:val="NTT Flush Blue Bullet Text 1 Char"/>
    <w:basedOn w:val="DefaultParagraphFont"/>
    <w:link w:val="NTTFlushBlueBulletText1"/>
    <w:rsid w:val="00E728B1"/>
    <w:rPr>
      <w:rFonts w:ascii="Arial" w:eastAsia="Times New Roman" w:hAnsi="Arial" w:cs="Arial"/>
      <w:color w:val="005B96" w:themeColor="accent3"/>
      <w:kern w:val="20"/>
      <w:sz w:val="20"/>
      <w:szCs w:val="20"/>
      <w:lang w:val="en-GB" w:eastAsia="ja-JP"/>
      <w14:ligatures w14:val="none"/>
    </w:rPr>
  </w:style>
  <w:style w:type="paragraph" w:customStyle="1" w:styleId="NTTFlushBlueBulletText2">
    <w:name w:val="NTT Flush Blue Bullet Text 2"/>
    <w:basedOn w:val="Normal"/>
    <w:link w:val="NTTFlushBlueBulletText2Char"/>
    <w:rsid w:val="00257804"/>
    <w:pPr>
      <w:spacing w:before="160" w:after="160"/>
      <w:ind w:left="851"/>
    </w:pPr>
    <w:rPr>
      <w:rFonts w:eastAsia="Times New Roman" w:cs="Arial"/>
      <w:color w:val="005B96" w:themeColor="accent3"/>
      <w:kern w:val="20"/>
      <w:szCs w:val="20"/>
      <w:lang w:val="en-GB"/>
      <w14:ligatures w14:val="none"/>
    </w:rPr>
  </w:style>
  <w:style w:type="character" w:customStyle="1" w:styleId="NTTFlushBlueBulletText2Char">
    <w:name w:val="NTT Flush Blue Bullet Text 2 Char"/>
    <w:basedOn w:val="DefaultParagraphFont"/>
    <w:link w:val="NTTFlushBlueBulletText2"/>
    <w:rsid w:val="00257804"/>
    <w:rPr>
      <w:rFonts w:ascii="Arial" w:eastAsia="Times New Roman" w:hAnsi="Arial" w:cs="Arial"/>
      <w:color w:val="005B96" w:themeColor="accent3"/>
      <w:kern w:val="20"/>
      <w:sz w:val="20"/>
      <w:szCs w:val="20"/>
      <w:lang w:val="en-GB"/>
      <w14:ligatures w14:val="none"/>
    </w:rPr>
  </w:style>
  <w:style w:type="paragraph" w:customStyle="1" w:styleId="NTTFlushBlueBulletText3">
    <w:name w:val="NTT Flush Blue Bullet Text 3"/>
    <w:basedOn w:val="Normal"/>
    <w:link w:val="NTTFlushBlueBulletText3Char"/>
    <w:rsid w:val="00251212"/>
    <w:pPr>
      <w:spacing w:before="160" w:after="160"/>
      <w:ind w:left="1077"/>
      <w:contextualSpacing/>
    </w:pPr>
    <w:rPr>
      <w:rFonts w:eastAsia="Times New Roman" w:cs="Arial"/>
      <w:color w:val="005B96" w:themeColor="accent3"/>
      <w:kern w:val="20"/>
      <w:szCs w:val="20"/>
      <w:lang w:val="en-GB"/>
      <w14:ligatures w14:val="none"/>
    </w:rPr>
  </w:style>
  <w:style w:type="character" w:customStyle="1" w:styleId="NTTFlushBlueBulletText3Char">
    <w:name w:val="NTT Flush Blue Bullet Text 3 Char"/>
    <w:basedOn w:val="DefaultParagraphFont"/>
    <w:link w:val="NTTFlushBlueBulletText3"/>
    <w:rsid w:val="00251212"/>
    <w:rPr>
      <w:rFonts w:ascii="Arial" w:eastAsia="Times New Roman" w:hAnsi="Arial" w:cs="Arial"/>
      <w:color w:val="005B96" w:themeColor="accent3"/>
      <w:kern w:val="20"/>
      <w:sz w:val="20"/>
      <w:szCs w:val="20"/>
      <w:lang w:val="en-GB"/>
      <w14:ligatures w14:val="none"/>
    </w:rPr>
  </w:style>
  <w:style w:type="paragraph" w:customStyle="1" w:styleId="NTTFlushBlueBulletText4">
    <w:name w:val="NTT Flush Blue Bullet Text 4"/>
    <w:basedOn w:val="NTTFlushBlueBulletText3"/>
    <w:link w:val="NTTFlushBlueBulletText4Char"/>
    <w:rsid w:val="00C33FA2"/>
  </w:style>
  <w:style w:type="character" w:customStyle="1" w:styleId="NTTFlushBlueBulletText4Char">
    <w:name w:val="NTT Flush Blue Bullet Text 4 Char"/>
    <w:basedOn w:val="DefaultParagraphFont"/>
    <w:link w:val="NTTFlushBlueBulletText4"/>
    <w:rsid w:val="00C33FA2"/>
    <w:rPr>
      <w:rFonts w:ascii="Arial" w:eastAsia="Times New Roman" w:hAnsi="Arial" w:cs="Arial"/>
      <w:color w:val="005B96" w:themeColor="accent3"/>
      <w:kern w:val="20"/>
      <w:sz w:val="20"/>
      <w:szCs w:val="20"/>
      <w:lang w:val="en-GB"/>
      <w14:ligatures w14:val="none"/>
    </w:rPr>
  </w:style>
  <w:style w:type="paragraph" w:customStyle="1" w:styleId="NTTFlushBlueBulletText5">
    <w:name w:val="NTT Flush Blue Bullet Text 5"/>
    <w:basedOn w:val="NTTFlushBlueBulletText1"/>
    <w:link w:val="NTTFlushBlueBulletText5Char"/>
    <w:rsid w:val="004C2406"/>
    <w:pPr>
      <w:ind w:left="964"/>
    </w:pPr>
  </w:style>
  <w:style w:type="character" w:customStyle="1" w:styleId="NTTFlushBlueBulletText5Char">
    <w:name w:val="NTT Flush Blue Bullet Text 5 Char"/>
    <w:basedOn w:val="DefaultParagraphFont"/>
    <w:link w:val="NTTFlushBlueBulletText5"/>
    <w:rsid w:val="004C2406"/>
    <w:rPr>
      <w:rFonts w:ascii="Arial" w:eastAsia="Times New Roman" w:hAnsi="Arial" w:cs="Arial"/>
      <w:color w:val="005B96" w:themeColor="accent3"/>
      <w:kern w:val="20"/>
      <w:sz w:val="20"/>
      <w:szCs w:val="20"/>
      <w:lang w:val="en-GB" w:eastAsia="ja-JP"/>
      <w14:ligatures w14:val="none"/>
    </w:rPr>
  </w:style>
  <w:style w:type="paragraph" w:customStyle="1" w:styleId="NTTFlushBulletText1">
    <w:name w:val="NTT Flush Bullet Text 1"/>
    <w:basedOn w:val="NTTBulletText1"/>
    <w:uiPriority w:val="19"/>
    <w:rsid w:val="00E728B1"/>
    <w:pPr>
      <w:ind w:left="397"/>
    </w:pPr>
    <w:rPr>
      <w:rFonts w:eastAsia="MS PGothic"/>
      <w:bCs/>
      <w:lang w:eastAsia="ja-JP"/>
    </w:rPr>
  </w:style>
  <w:style w:type="paragraph" w:customStyle="1" w:styleId="NTTFlushBulletText2">
    <w:name w:val="NTT Flush Bullet Text 2"/>
    <w:basedOn w:val="NTTFlushBulletText1"/>
    <w:uiPriority w:val="19"/>
    <w:rsid w:val="00257804"/>
    <w:pPr>
      <w:ind w:left="851"/>
    </w:pPr>
    <w:rPr>
      <w:lang w:eastAsia="en-US"/>
    </w:rPr>
  </w:style>
  <w:style w:type="paragraph" w:customStyle="1" w:styleId="NTTFlushBulletText3">
    <w:name w:val="NTT Flush Bullet Text 3"/>
    <w:basedOn w:val="NTTFlushBulletText2"/>
    <w:uiPriority w:val="19"/>
    <w:rsid w:val="00594A58"/>
    <w:pPr>
      <w:ind w:left="964"/>
    </w:pPr>
  </w:style>
  <w:style w:type="paragraph" w:customStyle="1" w:styleId="NTTFlushBulletText4">
    <w:name w:val="NTT Flush Bullet Text 4"/>
    <w:basedOn w:val="NTTFlushBulletText3"/>
    <w:uiPriority w:val="19"/>
    <w:rsid w:val="00B3236F"/>
  </w:style>
  <w:style w:type="paragraph" w:customStyle="1" w:styleId="NTTFlushBulletText5">
    <w:name w:val="NTT Flush Bullet Text 5"/>
    <w:basedOn w:val="NTTFlushBulletText1"/>
    <w:uiPriority w:val="19"/>
    <w:rsid w:val="004C2406"/>
    <w:pPr>
      <w:ind w:left="964"/>
    </w:pPr>
  </w:style>
  <w:style w:type="paragraph" w:customStyle="1" w:styleId="NTTRedBodyBoldText">
    <w:name w:val="NTT Red Body Bold Text"/>
    <w:basedOn w:val="NTTBodyBoldText"/>
    <w:next w:val="NTTRedBodyText"/>
    <w:uiPriority w:val="39"/>
    <w:unhideWhenUsed/>
    <w:rsid w:val="00F31CD6"/>
    <w:rPr>
      <w:color w:val="E42600"/>
    </w:rPr>
  </w:style>
  <w:style w:type="paragraph" w:customStyle="1" w:styleId="NTTRedBulletText1">
    <w:name w:val="NTT Red Bullet Text 1"/>
    <w:basedOn w:val="NTTBulletText1"/>
    <w:uiPriority w:val="39"/>
    <w:unhideWhenUsed/>
    <w:rsid w:val="00353C88"/>
    <w:rPr>
      <w:bCs/>
      <w:color w:val="E42600"/>
    </w:rPr>
  </w:style>
  <w:style w:type="paragraph" w:customStyle="1" w:styleId="NTTRedBulletText2">
    <w:name w:val="NTT Red Bullet Text 2"/>
    <w:basedOn w:val="NTTBulletText2"/>
    <w:uiPriority w:val="39"/>
    <w:unhideWhenUsed/>
    <w:rsid w:val="003E307D"/>
    <w:rPr>
      <w:color w:val="E42600"/>
    </w:rPr>
  </w:style>
  <w:style w:type="paragraph" w:customStyle="1" w:styleId="NTTRedBulletText3">
    <w:name w:val="NTT Red Bullet Text 3"/>
    <w:basedOn w:val="NTTBulletText3"/>
    <w:uiPriority w:val="39"/>
    <w:unhideWhenUsed/>
    <w:rsid w:val="003E307D"/>
    <w:rPr>
      <w:color w:val="E42600"/>
    </w:rPr>
  </w:style>
  <w:style w:type="paragraph" w:customStyle="1" w:styleId="NTTRedBulletText4">
    <w:name w:val="NTT Red Bullet Text 4"/>
    <w:basedOn w:val="NTTRedBulletText3"/>
    <w:uiPriority w:val="39"/>
    <w:unhideWhenUsed/>
    <w:rsid w:val="003E307D"/>
  </w:style>
  <w:style w:type="paragraph" w:customStyle="1" w:styleId="NTTRedBulletText5">
    <w:name w:val="NTT Red Bullet Text 5"/>
    <w:basedOn w:val="NTTRedBulletText4"/>
    <w:uiPriority w:val="39"/>
    <w:unhideWhenUsed/>
    <w:rsid w:val="009D3BEB"/>
  </w:style>
  <w:style w:type="paragraph" w:customStyle="1" w:styleId="NTTRedNotedText1Bold">
    <w:name w:val="NTT Red Noted Text 1 Bold"/>
    <w:basedOn w:val="NTTBlueNotedText1Bold"/>
    <w:next w:val="Normal"/>
    <w:uiPriority w:val="46"/>
    <w:unhideWhenUsed/>
    <w:rsid w:val="003E307D"/>
    <w:pPr>
      <w:pBdr>
        <w:top w:val="single" w:sz="8" w:space="3" w:color="E42600"/>
        <w:bottom w:val="single" w:sz="8" w:space="3" w:color="E42600"/>
      </w:pBdr>
      <w:shd w:val="clear" w:color="auto" w:fill="E9E9E9" w:themeFill="accent6" w:themeFillTint="33"/>
    </w:pPr>
    <w:rPr>
      <w:color w:val="E42600"/>
    </w:rPr>
  </w:style>
  <w:style w:type="paragraph" w:customStyle="1" w:styleId="NTTRedNotedText2Body">
    <w:name w:val="NTT Red Noted Text 2 Body"/>
    <w:basedOn w:val="NTTRedNotedText1Bold"/>
    <w:uiPriority w:val="46"/>
    <w:unhideWhenUsed/>
    <w:rsid w:val="003E307D"/>
    <w:rPr>
      <w:rFonts w:asciiTheme="minorHAnsi" w:hAnsiTheme="minorHAnsi"/>
      <w:b w:val="0"/>
    </w:rPr>
  </w:style>
  <w:style w:type="paragraph" w:customStyle="1" w:styleId="NTTRedTableBodyBoldText">
    <w:name w:val="NTT Red Table Body Bold Text"/>
    <w:basedOn w:val="Normal"/>
    <w:next w:val="NTTRedTableBodyText"/>
    <w:uiPriority w:val="44"/>
    <w:unhideWhenUsed/>
    <w:rsid w:val="003E307D"/>
    <w:pPr>
      <w:keepNext/>
      <w:keepLines/>
    </w:pPr>
    <w:rPr>
      <w:rFonts w:ascii="Arial Bold" w:eastAsia="Times New Roman" w:hAnsi="Arial Bold" w:cs="Arial"/>
      <w:color w:val="E42600"/>
      <w:kern w:val="18"/>
      <w:szCs w:val="18"/>
      <w:lang w:val="en-GB"/>
      <w14:ligatures w14:val="none"/>
    </w:rPr>
  </w:style>
  <w:style w:type="paragraph" w:customStyle="1" w:styleId="NTTRedTableBoldBullet">
    <w:name w:val="NTT Red Table Bold Bullet"/>
    <w:basedOn w:val="Normal"/>
    <w:next w:val="Normal"/>
    <w:uiPriority w:val="44"/>
    <w:unhideWhenUsed/>
    <w:qFormat/>
    <w:rsid w:val="003E307D"/>
    <w:pPr>
      <w:keepNext/>
      <w:keepLines/>
      <w:numPr>
        <w:ilvl w:val="2"/>
        <w:numId w:val="29"/>
      </w:numPr>
      <w:contextualSpacing/>
    </w:pPr>
    <w:rPr>
      <w:rFonts w:ascii="Arial Bold" w:eastAsia="Times New Roman" w:hAnsi="Arial Bold" w:cs="Arial"/>
      <w:b/>
      <w:color w:val="E42600"/>
      <w:kern w:val="18"/>
      <w:szCs w:val="20"/>
      <w:lang w:val="en-GB"/>
      <w14:ligatures w14:val="none"/>
    </w:rPr>
  </w:style>
  <w:style w:type="paragraph" w:customStyle="1" w:styleId="NTTRedTableBulletText1">
    <w:name w:val="NTT Red Table Bullet Text 1"/>
    <w:basedOn w:val="Normal"/>
    <w:uiPriority w:val="44"/>
    <w:unhideWhenUsed/>
    <w:rsid w:val="008C0602"/>
    <w:pPr>
      <w:ind w:left="340"/>
    </w:pPr>
    <w:rPr>
      <w:rFonts w:eastAsia="Times New Roman" w:cs="Arial"/>
      <w:bCs/>
      <w:color w:val="E42600"/>
      <w:kern w:val="18"/>
      <w:szCs w:val="20"/>
      <w:lang w:val="en-GB"/>
      <w14:ligatures w14:val="none"/>
    </w:rPr>
  </w:style>
  <w:style w:type="paragraph" w:customStyle="1" w:styleId="NTTRedTableBulletText2">
    <w:name w:val="NTT Red Table Bullet Text 2"/>
    <w:basedOn w:val="Normal"/>
    <w:uiPriority w:val="44"/>
    <w:unhideWhenUsed/>
    <w:rsid w:val="0040405A"/>
    <w:pPr>
      <w:ind w:left="851"/>
      <w:contextualSpacing/>
    </w:pPr>
    <w:rPr>
      <w:rFonts w:eastAsia="Times New Roman" w:cs="Arial"/>
      <w:bCs/>
      <w:color w:val="E42600"/>
      <w:kern w:val="18"/>
      <w:szCs w:val="20"/>
      <w:lang w:val="en-GB"/>
      <w14:ligatures w14:val="none"/>
    </w:rPr>
  </w:style>
  <w:style w:type="paragraph" w:customStyle="1" w:styleId="NTTRedTableBulletText3">
    <w:name w:val="NTT Red Table Bullet Text 3"/>
    <w:basedOn w:val="Normal"/>
    <w:uiPriority w:val="44"/>
    <w:unhideWhenUsed/>
    <w:rsid w:val="008C0602"/>
    <w:pPr>
      <w:ind w:left="964"/>
    </w:pPr>
    <w:rPr>
      <w:rFonts w:eastAsia="Times New Roman" w:cs="Arial"/>
      <w:bCs/>
      <w:color w:val="E42600"/>
      <w:kern w:val="18"/>
      <w:szCs w:val="20"/>
      <w:lang w:val="en-GB"/>
      <w14:ligatures w14:val="none"/>
    </w:rPr>
  </w:style>
  <w:style w:type="paragraph" w:customStyle="1" w:styleId="NTTRedTableBulletText4">
    <w:name w:val="NTT Red Table Bullet Text 4"/>
    <w:basedOn w:val="NTTRedTableBulletText3"/>
    <w:uiPriority w:val="44"/>
    <w:unhideWhenUsed/>
    <w:rsid w:val="0083153F"/>
  </w:style>
  <w:style w:type="paragraph" w:customStyle="1" w:styleId="NTTRedTableBulletText5">
    <w:name w:val="NTT Red Table Bullet Text 5"/>
    <w:basedOn w:val="NTTRedTableBulletText1"/>
    <w:uiPriority w:val="44"/>
    <w:unhideWhenUsed/>
    <w:rsid w:val="004C2406"/>
    <w:pPr>
      <w:ind w:left="964"/>
    </w:pPr>
  </w:style>
  <w:style w:type="paragraph" w:customStyle="1" w:styleId="NTTTableBoldBullet">
    <w:name w:val="NTT Table Bold Bullet"/>
    <w:basedOn w:val="NTTTableBullet1"/>
    <w:next w:val="Normal"/>
    <w:uiPriority w:val="14"/>
    <w:rsid w:val="001D44F0"/>
    <w:pPr>
      <w:keepNext/>
      <w:keepLines/>
      <w:numPr>
        <w:ilvl w:val="3"/>
        <w:numId w:val="29"/>
      </w:numPr>
    </w:pPr>
    <w:rPr>
      <w:rFonts w:ascii="Arial Bold" w:hAnsi="Arial Bold" w:cs="Tahoma"/>
      <w:b/>
      <w:szCs w:val="20"/>
    </w:rPr>
  </w:style>
  <w:style w:type="paragraph" w:customStyle="1" w:styleId="NTTTableBulletText1">
    <w:name w:val="NTT Table Bullet Text 1"/>
    <w:uiPriority w:val="14"/>
    <w:rsid w:val="004703D8"/>
    <w:pPr>
      <w:spacing w:line="264" w:lineRule="auto"/>
      <w:ind w:left="340"/>
    </w:pPr>
    <w:rPr>
      <w:rFonts w:ascii="Arial" w:eastAsia="Times New Roman" w:hAnsi="Arial" w:cs="Arial"/>
      <w:color w:val="2E404D" w:themeColor="text1"/>
      <w:kern w:val="18"/>
      <w:sz w:val="20"/>
      <w:szCs w:val="20"/>
      <w:lang w:val="en-GB"/>
      <w14:ligatures w14:val="none"/>
    </w:rPr>
  </w:style>
  <w:style w:type="paragraph" w:customStyle="1" w:styleId="NTTTableBulletText2">
    <w:name w:val="NTT Table Bullet Text 2"/>
    <w:basedOn w:val="NTTTableBulletText1"/>
    <w:uiPriority w:val="14"/>
    <w:rsid w:val="004D35A5"/>
    <w:pPr>
      <w:ind w:left="851"/>
    </w:pPr>
  </w:style>
  <w:style w:type="paragraph" w:customStyle="1" w:styleId="NTTTableBulletText3">
    <w:name w:val="NTT Table Bullet Text 3"/>
    <w:basedOn w:val="NTTTableBulletText1"/>
    <w:uiPriority w:val="14"/>
    <w:rsid w:val="00251212"/>
    <w:pPr>
      <w:ind w:left="1077"/>
    </w:pPr>
  </w:style>
  <w:style w:type="paragraph" w:customStyle="1" w:styleId="NTTTableBulletText4">
    <w:name w:val="NTT Table Bullet Text 4"/>
    <w:basedOn w:val="NTTTableBulletText3"/>
    <w:uiPriority w:val="14"/>
    <w:rsid w:val="00FD2F8C"/>
  </w:style>
  <w:style w:type="paragraph" w:customStyle="1" w:styleId="NTTTableBulletText5">
    <w:name w:val="NTT Table Bullet Text 5"/>
    <w:basedOn w:val="NTTTableBulletText1"/>
    <w:uiPriority w:val="14"/>
    <w:rsid w:val="004C2406"/>
    <w:pPr>
      <w:ind w:left="964"/>
    </w:pPr>
  </w:style>
  <w:style w:type="paragraph" w:customStyle="1" w:styleId="NTTTableWhiteHeader">
    <w:name w:val="NTT Table White Header"/>
    <w:uiPriority w:val="15"/>
    <w:rsid w:val="00FD2F8C"/>
    <w:pPr>
      <w:spacing w:line="264" w:lineRule="auto"/>
    </w:pPr>
    <w:rPr>
      <w:rFonts w:ascii="Arial Bold" w:eastAsia="Times New Roman" w:hAnsi="Arial Bold" w:cs="Arial"/>
      <w:b/>
      <w:color w:val="FFFFFF"/>
      <w:kern w:val="18"/>
      <w:sz w:val="20"/>
      <w:szCs w:val="18"/>
      <w:lang w:val="en-GB"/>
      <w14:ligatures w14:val="none"/>
    </w:rPr>
  </w:style>
  <w:style w:type="paragraph" w:customStyle="1" w:styleId="NTTtablepicture">
    <w:name w:val="NTT table picture"/>
    <w:basedOn w:val="NTTAPicture"/>
    <w:qFormat/>
    <w:rsid w:val="003D12EC"/>
  </w:style>
  <w:style w:type="paragraph" w:customStyle="1" w:styleId="NTTtablebodyboldtext">
    <w:name w:val="NTT table body bold text"/>
    <w:basedOn w:val="NTTTableBodyText"/>
    <w:qFormat/>
    <w:rsid w:val="00D31309"/>
    <w:rPr>
      <w:rFonts w:ascii="Arial Bold" w:hAnsi="Arial Bold"/>
      <w:b/>
    </w:rPr>
  </w:style>
  <w:style w:type="paragraph" w:customStyle="1" w:styleId="NTTBluetablebodyboldtext">
    <w:name w:val="NTT Blue table body bold text"/>
    <w:basedOn w:val="NTTBlueTableBodyText"/>
    <w:qFormat/>
    <w:rsid w:val="00D31309"/>
    <w:rPr>
      <w:b/>
    </w:rPr>
  </w:style>
  <w:style w:type="paragraph" w:customStyle="1" w:styleId="LOFHeading">
    <w:name w:val="LOF Heading"/>
    <w:next w:val="TOC2"/>
    <w:link w:val="LOFHeadingChar"/>
    <w:rsid w:val="00C57CAF"/>
    <w:pPr>
      <w:keepNext/>
      <w:keepLines/>
      <w:spacing w:before="240" w:after="120" w:line="264" w:lineRule="auto"/>
    </w:pPr>
    <w:rPr>
      <w:rFonts w:asciiTheme="majorHAnsi" w:hAnsiTheme="majorHAnsi"/>
      <w:b/>
      <w:color w:val="0072BC" w:themeColor="accent2"/>
      <w:kern w:val="36"/>
      <w:sz w:val="28"/>
      <w:lang w:val="en-US"/>
    </w:rPr>
  </w:style>
  <w:style w:type="table" w:styleId="PlainTable1">
    <w:name w:val="Plain Table 1"/>
    <w:basedOn w:val="TableNormal"/>
    <w:uiPriority w:val="41"/>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LOFHeadingChar">
    <w:name w:val="LOF Heading Char"/>
    <w:basedOn w:val="DefaultParagraphFont"/>
    <w:link w:val="LOFHeading"/>
    <w:rsid w:val="00C57CAF"/>
    <w:rPr>
      <w:rFonts w:asciiTheme="majorHAnsi" w:hAnsiTheme="majorHAnsi"/>
      <w:b/>
      <w:color w:val="0072BC" w:themeColor="accent2"/>
      <w:kern w:val="36"/>
      <w:sz w:val="28"/>
      <w:lang w:val="en-US"/>
    </w:rPr>
  </w:style>
  <w:style w:type="paragraph" w:customStyle="1" w:styleId="NTTHistoryHeading">
    <w:name w:val="NTT History Heading"/>
    <w:link w:val="NTTHistoryHeadingChar"/>
    <w:rsid w:val="004102DE"/>
    <w:pPr>
      <w:keepNext/>
      <w:keepLines/>
      <w:spacing w:before="240" w:after="120" w:line="264" w:lineRule="auto"/>
    </w:pPr>
    <w:rPr>
      <w:rFonts w:asciiTheme="majorHAnsi" w:hAnsiTheme="majorHAnsi"/>
      <w:b/>
      <w:color w:val="0072BC" w:themeColor="accent2"/>
      <w:kern w:val="18"/>
      <w:lang w:val="en-US"/>
    </w:rPr>
  </w:style>
  <w:style w:type="character" w:customStyle="1" w:styleId="NTTHistoryHeadingChar">
    <w:name w:val="NTT History Heading Char"/>
    <w:basedOn w:val="DefaultParagraphFont"/>
    <w:link w:val="NTTHistoryHeading"/>
    <w:rsid w:val="004102DE"/>
    <w:rPr>
      <w:rFonts w:asciiTheme="majorHAnsi" w:hAnsiTheme="majorHAnsi"/>
      <w:b/>
      <w:color w:val="0072BC" w:themeColor="accent2"/>
      <w:kern w:val="18"/>
      <w:lang w:val="en-US"/>
    </w:rPr>
  </w:style>
  <w:style w:type="table" w:styleId="GridTable1Light">
    <w:name w:val="Grid Table 1 Light"/>
    <w:basedOn w:val="TableNormal"/>
    <w:uiPriority w:val="46"/>
    <w:rsid w:val="002921D0"/>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Arial" w:hAnsi="Arial"/>
        <w:b/>
        <w:bCs/>
        <w:color w:val="FFFFFF" w:themeColor="background1"/>
        <w:sz w:val="20"/>
      </w:rPr>
      <w:tblPr/>
      <w:tcPr>
        <w:tcBorders>
          <w:top w:val="single" w:sz="4" w:space="0" w:color="949494" w:themeColor="accent6"/>
          <w:bottom w:val="nil"/>
        </w:tcBorders>
        <w:shd w:val="clear" w:color="auto" w:fill="0072BC" w:themeFill="accent2"/>
      </w:tcPr>
    </w:tblStylePr>
    <w:tblStylePr w:type="lastRow">
      <w:rPr>
        <w:b/>
        <w:bCs/>
      </w:rPr>
      <w:tblPr/>
      <w:tcPr>
        <w:tcBorders>
          <w:top w:val="nil"/>
        </w:tcBorders>
      </w:tcPr>
    </w:tblStylePr>
    <w:tblStylePr w:type="firstCol">
      <w:rPr>
        <w:b/>
        <w:bCs/>
      </w:rPr>
    </w:tblStylePr>
    <w:tblStylePr w:type="lastCol">
      <w:rPr>
        <w:b/>
        <w:bCs/>
      </w:rPr>
    </w:tblStylePr>
  </w:style>
  <w:style w:type="table" w:styleId="GridTable1Light-Accent1">
    <w:name w:val="Grid Table 1 Light Accent 1"/>
    <w:basedOn w:val="GridTable1Light"/>
    <w:uiPriority w:val="46"/>
    <w:rsid w:val="002921D0"/>
    <w:tblPr>
      <w:tblBorders>
        <w:top w:val="none" w:sz="0" w:space="0" w:color="auto"/>
        <w:bottom w:val="none" w:sz="0" w:space="0" w:color="auto"/>
        <w:insideH w:val="none" w:sz="0" w:space="0" w:color="auto"/>
        <w:insideV w:val="none" w:sz="0" w:space="0" w:color="auto"/>
      </w:tblBorders>
    </w:tblPr>
    <w:tblStylePr w:type="firstRow">
      <w:rPr>
        <w:rFonts w:ascii="Arial" w:hAnsi="Arial"/>
        <w:b/>
        <w:bCs/>
        <w:color w:val="FFFFFF" w:themeColor="background1"/>
        <w:sz w:val="20"/>
      </w:rPr>
      <w:tblPr/>
      <w:tcPr>
        <w:tcBorders>
          <w:top w:val="single" w:sz="4" w:space="0" w:color="949494" w:themeColor="accent6"/>
          <w:bottom w:val="nil"/>
        </w:tcBorders>
        <w:shd w:val="clear" w:color="auto" w:fill="0072BC" w:themeFill="accent2"/>
      </w:tcPr>
    </w:tblStylePr>
    <w:tblStylePr w:type="lastRow">
      <w:rPr>
        <w:b/>
        <w:bCs/>
      </w:rPr>
      <w:tblPr/>
      <w:tcPr>
        <w:tcBorders>
          <w:top w:val="nil"/>
        </w:tcBorders>
      </w:tcPr>
    </w:tblStylePr>
    <w:tblStylePr w:type="firstCol">
      <w:rPr>
        <w:b/>
        <w:bCs/>
      </w:rPr>
    </w:tblStylePr>
    <w:tblStylePr w:type="lastCol">
      <w:rPr>
        <w:b/>
        <w:bCs/>
      </w:rPr>
    </w:tblStylePr>
  </w:style>
  <w:style w:type="table" w:styleId="GridTable1Light-Accent2">
    <w:name w:val="Grid Table 1 Light Accent 2"/>
    <w:basedOn w:val="TableGrid1"/>
    <w:uiPriority w:val="46"/>
    <w:rsid w:val="00BE551C"/>
    <w:rPr>
      <w:kern w:val="0"/>
      <w:sz w:val="20"/>
      <w:szCs w:val="20"/>
      <w:lang w:val="en-US" w:eastAsia="en-GB"/>
      <w14:ligatures w14:val="none"/>
    </w:rPr>
    <w:tblPr>
      <w:tblStyleRowBandSize w:val="1"/>
      <w:tblStyleColBandSize w:val="1"/>
      <w:tblBorders>
        <w:top w:val="single" w:sz="4" w:space="0" w:color="949494" w:themeColor="accent6"/>
        <w:left w:val="single" w:sz="4" w:space="0" w:color="949494" w:themeColor="accent6"/>
        <w:bottom w:val="single" w:sz="4" w:space="0" w:color="949494" w:themeColor="accent6"/>
        <w:right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12" w:space="0" w:color="3DB2FF" w:themeColor="accent2" w:themeTint="99"/>
        </w:tcBorders>
      </w:tcPr>
    </w:tblStylePr>
    <w:tblStylePr w:type="lastRow">
      <w:rPr>
        <w:b/>
        <w:bCs/>
        <w:i/>
        <w:iCs/>
      </w:rPr>
      <w:tblPr/>
      <w:tcPr>
        <w:tcBorders>
          <w:top w:val="double" w:sz="2" w:space="0" w:color="3DB2FF" w:themeColor="accent2" w:themeTint="99"/>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style>
  <w:style w:type="table" w:styleId="GridTable1Light-Accent3">
    <w:name w:val="Grid Table 1 Light Accent 3"/>
    <w:basedOn w:val="TableNormal"/>
    <w:uiPriority w:val="46"/>
    <w:rsid w:val="00BE551C"/>
    <w:rPr>
      <w:sz w:val="20"/>
    </w:rPr>
    <w:tblPr>
      <w:tblStyleRowBandSize w:val="1"/>
      <w:tblStyleColBandSize w:val="1"/>
      <w:tblBorders>
        <w:top w:val="single" w:sz="4" w:space="0" w:color="6FC5FF" w:themeColor="accent3" w:themeTint="66"/>
        <w:left w:val="single" w:sz="4" w:space="0" w:color="6FC5FF" w:themeColor="accent3" w:themeTint="66"/>
        <w:bottom w:val="single" w:sz="4" w:space="0" w:color="6FC5FF" w:themeColor="accent3" w:themeTint="66"/>
        <w:right w:val="single" w:sz="4" w:space="0" w:color="6FC5FF" w:themeColor="accent3" w:themeTint="66"/>
        <w:insideH w:val="single" w:sz="4" w:space="0" w:color="6FC5FF" w:themeColor="accent3" w:themeTint="66"/>
        <w:insideV w:val="single" w:sz="4" w:space="0" w:color="6FC5FF" w:themeColor="accent3" w:themeTint="66"/>
      </w:tblBorders>
      <w:tblCellMar>
        <w:top w:w="85" w:type="dxa"/>
        <w:left w:w="85" w:type="dxa"/>
        <w:bottom w:w="85" w:type="dxa"/>
        <w:right w:w="85" w:type="dxa"/>
      </w:tblCellMar>
    </w:tblPr>
    <w:tblStylePr w:type="firstRow">
      <w:rPr>
        <w:b/>
        <w:bCs/>
      </w:rPr>
      <w:tblPr/>
      <w:tcPr>
        <w:tcBorders>
          <w:bottom w:val="single" w:sz="12" w:space="0" w:color="27A9FF" w:themeColor="accent3" w:themeTint="99"/>
        </w:tcBorders>
      </w:tcPr>
    </w:tblStylePr>
    <w:tblStylePr w:type="lastRow">
      <w:rPr>
        <w:b/>
        <w:bCs/>
      </w:rPr>
      <w:tblPr/>
      <w:tcPr>
        <w:tcBorders>
          <w:top w:val="double" w:sz="2" w:space="0" w:color="27A9FF" w:themeColor="accent3"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921D0"/>
    <w:rPr>
      <w:sz w:val="20"/>
    </w:rPr>
    <w:tblPr>
      <w:tblStyleRowBandSize w:val="1"/>
      <w:tblStyleColBandSize w:val="1"/>
      <w:tblBorders>
        <w:top w:val="single" w:sz="4" w:space="0" w:color="84FFBB" w:themeColor="accent5" w:themeTint="66"/>
        <w:left w:val="single" w:sz="4" w:space="0" w:color="84FFBB" w:themeColor="accent5" w:themeTint="66"/>
        <w:bottom w:val="single" w:sz="4" w:space="0" w:color="84FFBB" w:themeColor="accent5" w:themeTint="66"/>
        <w:right w:val="single" w:sz="4" w:space="0" w:color="84FFBB" w:themeColor="accent5" w:themeTint="66"/>
        <w:insideH w:val="single" w:sz="4" w:space="0" w:color="84FFBB" w:themeColor="accent5" w:themeTint="66"/>
        <w:insideV w:val="single" w:sz="4" w:space="0" w:color="84FFBB" w:themeColor="accent5" w:themeTint="66"/>
      </w:tblBorders>
      <w:tblCellMar>
        <w:top w:w="85" w:type="dxa"/>
        <w:left w:w="85" w:type="dxa"/>
        <w:bottom w:w="85" w:type="dxa"/>
        <w:right w:w="85" w:type="dxa"/>
      </w:tblCellMar>
    </w:tblPr>
    <w:tblStylePr w:type="firstRow">
      <w:rPr>
        <w:b/>
        <w:bCs/>
      </w:rPr>
      <w:tblPr/>
      <w:tcPr>
        <w:tcBorders>
          <w:bottom w:val="single" w:sz="12" w:space="0" w:color="46FF9A" w:themeColor="accent5" w:themeTint="99"/>
        </w:tcBorders>
      </w:tcPr>
    </w:tblStylePr>
    <w:tblStylePr w:type="lastRow">
      <w:rPr>
        <w:b/>
        <w:bCs/>
      </w:rPr>
      <w:tblPr/>
      <w:tcPr>
        <w:tcBorders>
          <w:top w:val="double" w:sz="2" w:space="0" w:color="46FF9A"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921D0"/>
    <w:rPr>
      <w:sz w:val="20"/>
    </w:rPr>
    <w:tblPr>
      <w:tblStyleRowBandSize w:val="1"/>
      <w:tblStyleColBandSize w:val="1"/>
      <w:tblBorders>
        <w:top w:val="single" w:sz="4" w:space="0" w:color="A2DAFD" w:themeColor="accent4" w:themeTint="66"/>
        <w:left w:val="single" w:sz="4" w:space="0" w:color="A2DAFD" w:themeColor="accent4" w:themeTint="66"/>
        <w:bottom w:val="single" w:sz="4" w:space="0" w:color="A2DAFD" w:themeColor="accent4" w:themeTint="66"/>
        <w:right w:val="single" w:sz="4" w:space="0" w:color="A2DAFD" w:themeColor="accent4" w:themeTint="66"/>
        <w:insideH w:val="single" w:sz="4" w:space="0" w:color="A2DAFD" w:themeColor="accent4" w:themeTint="66"/>
        <w:insideV w:val="single" w:sz="4" w:space="0" w:color="A2DAFD" w:themeColor="accent4" w:themeTint="66"/>
      </w:tblBorders>
      <w:tblCellMar>
        <w:top w:w="85" w:type="dxa"/>
        <w:left w:w="85" w:type="dxa"/>
        <w:bottom w:w="85" w:type="dxa"/>
        <w:right w:w="85" w:type="dxa"/>
      </w:tblCellMar>
    </w:tblPr>
    <w:tblStylePr w:type="firstRow">
      <w:rPr>
        <w:b/>
        <w:bCs/>
      </w:rPr>
      <w:tblPr/>
      <w:tcPr>
        <w:tcBorders>
          <w:bottom w:val="single" w:sz="12" w:space="0" w:color="74C7FD" w:themeColor="accent4" w:themeTint="99"/>
        </w:tcBorders>
      </w:tcPr>
    </w:tblStylePr>
    <w:tblStylePr w:type="lastRow">
      <w:rPr>
        <w:b/>
        <w:bCs/>
      </w:rPr>
      <w:tblPr/>
      <w:tcPr>
        <w:tcBorders>
          <w:top w:val="double" w:sz="2" w:space="0" w:color="74C7FD"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921D0"/>
    <w:rPr>
      <w:sz w:val="20"/>
    </w:rPr>
    <w:tblPr>
      <w:tblStyleRowBandSize w:val="1"/>
      <w:tblStyleColBandSize w:val="1"/>
      <w:tblBorders>
        <w:top w:val="single" w:sz="4" w:space="0" w:color="D4D4D4" w:themeColor="accent6" w:themeTint="66"/>
        <w:left w:val="single" w:sz="4" w:space="0" w:color="D4D4D4" w:themeColor="accent6" w:themeTint="66"/>
        <w:bottom w:val="single" w:sz="4" w:space="0" w:color="D4D4D4" w:themeColor="accent6" w:themeTint="66"/>
        <w:right w:val="single" w:sz="4" w:space="0" w:color="D4D4D4" w:themeColor="accent6" w:themeTint="66"/>
        <w:insideH w:val="single" w:sz="4" w:space="0" w:color="D4D4D4" w:themeColor="accent6" w:themeTint="66"/>
        <w:insideV w:val="single" w:sz="4" w:space="0" w:color="D4D4D4" w:themeColor="accent6" w:themeTint="66"/>
      </w:tblBorders>
      <w:tblCellMar>
        <w:top w:w="85" w:type="dxa"/>
        <w:left w:w="85" w:type="dxa"/>
        <w:bottom w:w="85" w:type="dxa"/>
        <w:right w:w="85" w:type="dxa"/>
      </w:tblCellMar>
    </w:tblPr>
    <w:tblStylePr w:type="firstRow">
      <w:rPr>
        <w:b/>
        <w:bCs/>
      </w:rPr>
      <w:tblPr/>
      <w:tcPr>
        <w:tcBorders>
          <w:bottom w:val="single" w:sz="12" w:space="0" w:color="BEBEBE" w:themeColor="accent6" w:themeTint="99"/>
        </w:tcBorders>
      </w:tcPr>
    </w:tblStylePr>
    <w:tblStylePr w:type="lastRow">
      <w:rPr>
        <w:b/>
        <w:bCs/>
      </w:rPr>
      <w:tblPr/>
      <w:tcPr>
        <w:tcBorders>
          <w:top w:val="double" w:sz="2" w:space="0" w:color="BEBEBE"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921D0"/>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Arial" w:hAnsi="Arial"/>
        <w:b/>
        <w:bCs/>
        <w:color w:val="FFFFFF" w:themeColor="background1"/>
        <w:sz w:val="20"/>
      </w:rPr>
      <w:tblPr/>
      <w:tcPr>
        <w:shd w:val="clear" w:color="auto" w:fill="0072BC" w:themeFill="accent2"/>
      </w:tcPr>
    </w:tblStylePr>
    <w:tblStylePr w:type="lastRow">
      <w:rPr>
        <w:b/>
        <w:bCs/>
      </w:rPr>
      <w:tblPr/>
      <w:tcPr>
        <w:tcBorders>
          <w:top w:val="nil"/>
          <w:bottom w:val="single" w:sz="4" w:space="0" w:color="949494" w:themeColor="accent6"/>
          <w:insideH w:val="nil"/>
          <w:insideV w:val="single" w:sz="4" w:space="0" w:color="949494" w:themeColor="accent6"/>
        </w:tcBorders>
        <w:shd w:val="clear" w:color="auto" w:fill="FFFFFF" w:themeFill="background1"/>
      </w:tcPr>
    </w:tblStylePr>
    <w:tblStylePr w:type="firstCol">
      <w:rPr>
        <w:b/>
        <w:bCs/>
      </w:rPr>
    </w:tblStylePr>
    <w:tblStylePr w:type="lastCol">
      <w:rPr>
        <w:b/>
        <w:bCs/>
      </w:rPr>
    </w:tblStylePr>
    <w:tblStylePr w:type="band1Vert">
      <w:rPr>
        <w:color w:val="2E404D" w:themeColor="text1"/>
      </w:rPr>
    </w:tblStylePr>
  </w:style>
  <w:style w:type="table" w:styleId="GridTable4">
    <w:name w:val="Grid Table 4"/>
    <w:basedOn w:val="TableNormal"/>
    <w:uiPriority w:val="49"/>
    <w:rsid w:val="003A6929"/>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olor w:val="FFFFFF" w:themeColor="background1"/>
      </w:rPr>
      <w:tblPr/>
      <w:tcPr>
        <w:tcBorders>
          <w:top w:val="single" w:sz="4" w:space="0" w:color="2E404D" w:themeColor="text1"/>
          <w:left w:val="single" w:sz="4" w:space="0" w:color="2E404D" w:themeColor="text1"/>
          <w:bottom w:val="single" w:sz="4" w:space="0" w:color="2E404D" w:themeColor="text1"/>
          <w:right w:val="single" w:sz="4" w:space="0" w:color="2E404D" w:themeColor="text1"/>
          <w:insideH w:val="nil"/>
          <w:insideV w:val="nil"/>
        </w:tcBorders>
        <w:shd w:val="clear" w:color="auto" w:fill="2E404D" w:themeFill="text1"/>
      </w:tcPr>
    </w:tblStylePr>
    <w:tblStylePr w:type="lastRow">
      <w:rPr>
        <w:b/>
        <w:bCs/>
      </w:rPr>
      <w:tblPr/>
      <w:tcPr>
        <w:tcBorders>
          <w:top w:val="double" w:sz="4" w:space="0" w:color="2E404D" w:themeColor="text1"/>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TableGrid1">
    <w:name w:val="Table Grid 1"/>
    <w:basedOn w:val="TableNormal"/>
    <w:uiPriority w:val="99"/>
    <w:semiHidden/>
    <w:unhideWhenUsed/>
    <w:rsid w:val="002921D0"/>
    <w:pPr>
      <w:spacing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dTable2-Accent1">
    <w:name w:val="Grid Table 2 Accent 1"/>
    <w:basedOn w:val="TableNormal"/>
    <w:uiPriority w:val="47"/>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top w:val="nil"/>
          <w:bottom w:val="single" w:sz="12" w:space="0" w:color="244CC3" w:themeColor="accent1" w:themeTint="99"/>
          <w:insideH w:val="nil"/>
          <w:insideV w:val="nil"/>
        </w:tcBorders>
        <w:shd w:val="clear" w:color="auto" w:fill="FFFFFF" w:themeFill="background1"/>
      </w:tcPr>
    </w:tblStylePr>
    <w:tblStylePr w:type="lastRow">
      <w:rPr>
        <w:b/>
        <w:bCs/>
      </w:rPr>
      <w:tblPr/>
      <w:tcPr>
        <w:tcBorders>
          <w:top w:val="double" w:sz="2" w:space="0" w:color="244CC3"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0C0F0" w:themeFill="accent1" w:themeFillTint="33"/>
      </w:tcPr>
    </w:tblStylePr>
    <w:tblStylePr w:type="band1Horz">
      <w:tblPr/>
      <w:tcPr>
        <w:shd w:val="clear" w:color="auto" w:fill="B0C0F0" w:themeFill="accent1" w:themeFillTint="33"/>
      </w:tcPr>
    </w:tblStylePr>
  </w:style>
  <w:style w:type="table" w:styleId="GridTable5Dark">
    <w:name w:val="Grid Table 5 Dark"/>
    <w:basedOn w:val="TableNormal"/>
    <w:uiPriority w:val="50"/>
    <w:rsid w:val="003A6929"/>
    <w:rPr>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85" w:type="dxa"/>
        <w:left w:w="85" w:type="dxa"/>
        <w:bottom w:w="85" w:type="dxa"/>
        <w:right w:w="85" w:type="dxa"/>
      </w:tblCellMar>
    </w:tblPr>
    <w:tcPr>
      <w:shd w:val="clear" w:color="auto" w:fill="CED9E2"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E404D"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E404D"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E404D"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E404D" w:themeFill="text1"/>
      </w:tcPr>
    </w:tblStylePr>
    <w:tblStylePr w:type="band1Vert">
      <w:tblPr/>
      <w:tcPr>
        <w:shd w:val="clear" w:color="auto" w:fill="9DB4C5" w:themeFill="text1" w:themeFillTint="66"/>
      </w:tcPr>
    </w:tblStylePr>
    <w:tblStylePr w:type="band1Horz">
      <w:tblPr/>
      <w:tcPr>
        <w:shd w:val="clear" w:color="auto" w:fill="9DB4C5" w:themeFill="text1" w:themeFillTint="66"/>
      </w:tcPr>
    </w:tblStylePr>
  </w:style>
  <w:style w:type="table" w:styleId="GridTable6Colorful">
    <w:name w:val="Grid Table 6 Colorful"/>
    <w:basedOn w:val="TableNormal"/>
    <w:uiPriority w:val="51"/>
    <w:rsid w:val="003A6929"/>
    <w:rPr>
      <w:color w:val="2E404D" w:themeColor="text1"/>
      <w:sz w:val="20"/>
    </w:rPr>
    <w:tblPr>
      <w:tblStyleRowBandSize w:val="1"/>
      <w:tblStyleColBandSize w:val="1"/>
      <w:tblBorders>
        <w:top w:val="single" w:sz="4" w:space="0" w:color="6D8FA8" w:themeColor="text1" w:themeTint="99"/>
        <w:left w:val="single" w:sz="4" w:space="0" w:color="6D8FA8" w:themeColor="text1" w:themeTint="99"/>
        <w:bottom w:val="single" w:sz="4" w:space="0" w:color="6D8FA8" w:themeColor="text1" w:themeTint="99"/>
        <w:right w:val="single" w:sz="4" w:space="0" w:color="6D8FA8" w:themeColor="text1" w:themeTint="99"/>
        <w:insideH w:val="single" w:sz="4" w:space="0" w:color="6D8FA8" w:themeColor="text1" w:themeTint="99"/>
        <w:insideV w:val="single" w:sz="4" w:space="0" w:color="6D8FA8" w:themeColor="text1" w:themeTint="99"/>
      </w:tblBorders>
      <w:tblCellMar>
        <w:top w:w="85" w:type="dxa"/>
        <w:left w:w="85" w:type="dxa"/>
        <w:bottom w:w="85" w:type="dxa"/>
        <w:right w:w="85" w:type="dxa"/>
      </w:tblCellMar>
    </w:tblPr>
    <w:tblStylePr w:type="firstRow">
      <w:rPr>
        <w:b/>
        <w:bCs/>
      </w:rPr>
      <w:tblPr/>
      <w:tcPr>
        <w:tcBorders>
          <w:bottom w:val="single" w:sz="12" w:space="0" w:color="6D8FA8" w:themeColor="text1" w:themeTint="99"/>
        </w:tcBorders>
      </w:tcPr>
    </w:tblStylePr>
    <w:tblStylePr w:type="lastRow">
      <w:rPr>
        <w:b/>
        <w:bCs/>
      </w:rPr>
      <w:tblPr/>
      <w:tcPr>
        <w:tcBorders>
          <w:top w:val="double" w:sz="4" w:space="0" w:color="6D8FA8" w:themeColor="text1" w:themeTint="99"/>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GridTable7Colorful">
    <w:name w:val="Grid Table 7 Colorful"/>
    <w:basedOn w:val="TableNormal"/>
    <w:uiPriority w:val="52"/>
    <w:rsid w:val="003A6929"/>
    <w:rPr>
      <w:color w:val="2E404D" w:themeColor="text1"/>
      <w:sz w:val="20"/>
    </w:rPr>
    <w:tblPr>
      <w:tblStyleRowBandSize w:val="1"/>
      <w:tblStyleColBandSize w:val="1"/>
      <w:tblBorders>
        <w:top w:val="single" w:sz="4" w:space="0" w:color="949494" w:themeColor="accent6"/>
        <w:left w:val="single" w:sz="4" w:space="0" w:color="949494" w:themeColor="accent6"/>
        <w:bottom w:val="single" w:sz="4" w:space="0" w:color="949494" w:themeColor="accent6"/>
        <w:right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9E2" w:themeFill="text1" w:themeFillTint="33"/>
      </w:tcPr>
    </w:tblStylePr>
    <w:tblStylePr w:type="band1Horz">
      <w:tblPr/>
      <w:tcPr>
        <w:shd w:val="clear" w:color="auto" w:fill="CED9E2" w:themeFill="text1" w:themeFillTint="33"/>
      </w:tcPr>
    </w:tblStylePr>
    <w:tblStylePr w:type="neCell">
      <w:tblPr/>
      <w:tcPr>
        <w:tcBorders>
          <w:bottom w:val="single" w:sz="4" w:space="0" w:color="6D8FA8" w:themeColor="text1" w:themeTint="99"/>
        </w:tcBorders>
      </w:tcPr>
    </w:tblStylePr>
    <w:tblStylePr w:type="nwCell">
      <w:tblPr/>
      <w:tcPr>
        <w:tcBorders>
          <w:bottom w:val="single" w:sz="4" w:space="0" w:color="6D8FA8" w:themeColor="text1" w:themeTint="99"/>
        </w:tcBorders>
      </w:tcPr>
    </w:tblStylePr>
    <w:tblStylePr w:type="seCell">
      <w:tblPr/>
      <w:tcPr>
        <w:tcBorders>
          <w:top w:val="single" w:sz="4" w:space="0" w:color="6D8FA8" w:themeColor="text1" w:themeTint="99"/>
        </w:tcBorders>
      </w:tcPr>
    </w:tblStylePr>
    <w:tblStylePr w:type="swCell">
      <w:tblPr/>
      <w:tcPr>
        <w:tcBorders>
          <w:top w:val="single" w:sz="4" w:space="0" w:color="6D8FA8" w:themeColor="text1" w:themeTint="99"/>
        </w:tcBorders>
      </w:tcPr>
    </w:tblStylePr>
  </w:style>
  <w:style w:type="table" w:styleId="ListTable1Light">
    <w:name w:val="List Table 1 Light"/>
    <w:basedOn w:val="TableNormal"/>
    <w:uiPriority w:val="46"/>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4" w:space="0" w:color="6D8FA8" w:themeColor="text1" w:themeTint="99"/>
        </w:tcBorders>
      </w:tcPr>
    </w:tblStylePr>
    <w:tblStylePr w:type="lastRow">
      <w:rPr>
        <w:b/>
        <w:bCs/>
      </w:rPr>
      <w:tblPr/>
      <w:tcPr>
        <w:tcBorders>
          <w:top w:val="single" w:sz="4" w:space="0" w:color="6D8FA8" w:themeColor="text1" w:themeTint="99"/>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ListTable2">
    <w:name w:val="List Table 2"/>
    <w:basedOn w:val="TableNormal"/>
    <w:uiPriority w:val="47"/>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ListTable3">
    <w:name w:val="List Table 3"/>
    <w:basedOn w:val="TableNormal"/>
    <w:uiPriority w:val="48"/>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olor w:val="FFFFFF" w:themeColor="background1"/>
      </w:rPr>
      <w:tblPr/>
      <w:tcPr>
        <w:shd w:val="clear" w:color="auto" w:fill="2E404D" w:themeFill="text1"/>
      </w:tcPr>
    </w:tblStylePr>
    <w:tblStylePr w:type="lastRow">
      <w:rPr>
        <w:b/>
        <w:bCs/>
      </w:rPr>
      <w:tblPr/>
      <w:tcPr>
        <w:tcBorders>
          <w:top w:val="double" w:sz="4" w:space="0" w:color="2E404D"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E404D" w:themeColor="text1"/>
          <w:right w:val="single" w:sz="4" w:space="0" w:color="2E404D" w:themeColor="text1"/>
        </w:tcBorders>
      </w:tcPr>
    </w:tblStylePr>
    <w:tblStylePr w:type="band1Horz">
      <w:tblPr/>
      <w:tcPr>
        <w:tcBorders>
          <w:top w:val="single" w:sz="4" w:space="0" w:color="2E404D" w:themeColor="text1"/>
          <w:bottom w:val="single" w:sz="4" w:space="0" w:color="2E404D"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E404D" w:themeColor="text1"/>
          <w:left w:val="nil"/>
        </w:tcBorders>
      </w:tcPr>
    </w:tblStylePr>
    <w:tblStylePr w:type="swCell">
      <w:tblPr/>
      <w:tcPr>
        <w:tcBorders>
          <w:top w:val="double" w:sz="4" w:space="0" w:color="2E404D" w:themeColor="text1"/>
          <w:right w:val="nil"/>
        </w:tcBorders>
      </w:tcPr>
    </w:tblStylePr>
  </w:style>
  <w:style w:type="table" w:styleId="ListTable4">
    <w:name w:val="List Table 4"/>
    <w:basedOn w:val="TableNormal"/>
    <w:uiPriority w:val="49"/>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olor w:val="FFFFFF" w:themeColor="background1"/>
      </w:rPr>
      <w:tblPr/>
      <w:tcPr>
        <w:tcBorders>
          <w:top w:val="single" w:sz="4" w:space="0" w:color="2E404D" w:themeColor="text1"/>
          <w:left w:val="single" w:sz="4" w:space="0" w:color="2E404D" w:themeColor="text1"/>
          <w:bottom w:val="single" w:sz="4" w:space="0" w:color="2E404D" w:themeColor="text1"/>
          <w:right w:val="single" w:sz="4" w:space="0" w:color="2E404D" w:themeColor="text1"/>
          <w:insideH w:val="nil"/>
        </w:tcBorders>
        <w:shd w:val="clear" w:color="auto" w:fill="2E404D" w:themeFill="text1"/>
      </w:tcPr>
    </w:tblStylePr>
    <w:tblStylePr w:type="lastRow">
      <w:rPr>
        <w:b/>
        <w:bCs/>
      </w:rPr>
      <w:tblPr/>
      <w:tcPr>
        <w:tcBorders>
          <w:top w:val="double" w:sz="4" w:space="0" w:color="6D8FA8" w:themeColor="text1" w:themeTint="99"/>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ListTable5Dark">
    <w:name w:val="List Table 5 Dark"/>
    <w:basedOn w:val="TableNormal"/>
    <w:uiPriority w:val="50"/>
    <w:rsid w:val="003A6929"/>
    <w:rPr>
      <w:color w:val="FFFFFF" w:themeColor="background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cPr>
      <w:shd w:val="clear" w:color="auto" w:fill="2E404D"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A6929"/>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4" w:space="0" w:color="2E404D" w:themeColor="text1"/>
        </w:tcBorders>
      </w:tcPr>
    </w:tblStylePr>
    <w:tblStylePr w:type="lastRow">
      <w:rPr>
        <w:b/>
        <w:bCs/>
      </w:rPr>
      <w:tblPr/>
      <w:tcPr>
        <w:tcBorders>
          <w:top w:val="double" w:sz="4" w:space="0" w:color="2E404D" w:themeColor="text1"/>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ListTable7Colorful">
    <w:name w:val="List Table 7 Colorful"/>
    <w:basedOn w:val="TableNormal"/>
    <w:uiPriority w:val="52"/>
    <w:rsid w:val="003A6929"/>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Theme="majorHAnsi" w:eastAsiaTheme="majorEastAsia" w:hAnsiTheme="majorHAnsi" w:cstheme="majorBidi"/>
        <w:i/>
        <w:iCs/>
        <w:sz w:val="26"/>
      </w:rPr>
      <w:tblPr/>
      <w:tcPr>
        <w:tcBorders>
          <w:bottom w:val="single" w:sz="4" w:space="0" w:color="2E404D"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E404D"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E404D"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E404D" w:themeColor="text1"/>
        </w:tcBorders>
        <w:shd w:val="clear" w:color="auto" w:fill="FFFFFF" w:themeFill="background1"/>
      </w:tcPr>
    </w:tblStylePr>
    <w:tblStylePr w:type="band1Vert">
      <w:tblPr/>
      <w:tcPr>
        <w:shd w:val="clear" w:color="auto" w:fill="CED9E2" w:themeFill="text1" w:themeFillTint="33"/>
      </w:tcPr>
    </w:tblStylePr>
    <w:tblStylePr w:type="band1Horz">
      <w:tblPr/>
      <w:tcPr>
        <w:shd w:val="clear" w:color="auto" w:fill="CED9E2"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4" w:space="0" w:color="85A1B6" w:themeColor="text1" w:themeTint="80"/>
        </w:tcBorders>
      </w:tcPr>
    </w:tblStylePr>
    <w:tblStylePr w:type="lastRow">
      <w:rPr>
        <w:b/>
        <w:bCs/>
      </w:rPr>
      <w:tblPr/>
      <w:tcPr>
        <w:tcBorders>
          <w:top w:val="single" w:sz="4" w:space="0" w:color="85A1B6" w:themeColor="text1" w:themeTint="80"/>
        </w:tcBorders>
      </w:tcPr>
    </w:tblStylePr>
    <w:tblStylePr w:type="firstCol">
      <w:rPr>
        <w:b/>
        <w:bCs/>
      </w:rPr>
    </w:tblStylePr>
    <w:tblStylePr w:type="lastCol">
      <w:rPr>
        <w:b/>
        <w:bCs/>
      </w:rPr>
    </w:tblStylePr>
    <w:tblStylePr w:type="band1Vert">
      <w:tblPr/>
      <w:tcPr>
        <w:tcBorders>
          <w:left w:val="single" w:sz="4" w:space="0" w:color="85A1B6" w:themeColor="text1" w:themeTint="80"/>
          <w:right w:val="single" w:sz="4" w:space="0" w:color="85A1B6" w:themeColor="text1" w:themeTint="80"/>
        </w:tcBorders>
      </w:tcPr>
    </w:tblStylePr>
    <w:tblStylePr w:type="band2Vert">
      <w:tblPr/>
      <w:tcPr>
        <w:tcBorders>
          <w:left w:val="single" w:sz="4" w:space="0" w:color="85A1B6" w:themeColor="text1" w:themeTint="80"/>
          <w:right w:val="single" w:sz="4" w:space="0" w:color="85A1B6" w:themeColor="text1" w:themeTint="80"/>
        </w:tcBorders>
      </w:tcPr>
    </w:tblStylePr>
    <w:tblStylePr w:type="band1Horz">
      <w:tblPr/>
      <w:tcPr>
        <w:tcBorders>
          <w:top w:val="single" w:sz="4" w:space="0" w:color="85A1B6" w:themeColor="text1" w:themeTint="80"/>
          <w:bottom w:val="single" w:sz="4" w:space="0" w:color="85A1B6" w:themeColor="text1" w:themeTint="80"/>
        </w:tcBorders>
      </w:tcPr>
    </w:tblStylePr>
  </w:style>
  <w:style w:type="table" w:styleId="PlainTable3">
    <w:name w:val="Plain Table 3"/>
    <w:basedOn w:val="TableNormal"/>
    <w:uiPriority w:val="43"/>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aps/>
      </w:rPr>
      <w:tblPr/>
      <w:tcPr>
        <w:tcBorders>
          <w:bottom w:val="single" w:sz="4" w:space="0" w:color="85A1B6"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5A1B6"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Theme="majorHAnsi" w:eastAsiaTheme="majorEastAsia" w:hAnsiTheme="majorHAnsi" w:cstheme="majorBidi"/>
        <w:i/>
        <w:iCs/>
        <w:sz w:val="26"/>
      </w:rPr>
      <w:tblPr/>
      <w:tcPr>
        <w:tcBorders>
          <w:bottom w:val="single" w:sz="4" w:space="0" w:color="85A1B6"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A1B6"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A1B6"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A1B6"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3A6929"/>
    <w:rPr>
      <w:sz w:val="20"/>
    </w:rPr>
    <w:tblPr>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style>
  <w:style w:type="paragraph" w:customStyle="1" w:styleId="NTTLegalIndent">
    <w:name w:val="NTT Legal Indent"/>
    <w:basedOn w:val="NTTLegalBody"/>
    <w:qFormat/>
    <w:rsid w:val="00DD5864"/>
    <w:pPr>
      <w:ind w:left="851"/>
    </w:pPr>
  </w:style>
  <w:style w:type="paragraph" w:styleId="CommentSubject">
    <w:name w:val="annotation subject"/>
    <w:basedOn w:val="CommentText"/>
    <w:next w:val="CommentText"/>
    <w:link w:val="CommentSubjectChar"/>
    <w:uiPriority w:val="99"/>
    <w:semiHidden/>
    <w:unhideWhenUsed/>
    <w:rsid w:val="001E6B53"/>
    <w:rPr>
      <w:b/>
      <w:bCs/>
    </w:rPr>
  </w:style>
  <w:style w:type="character" w:customStyle="1" w:styleId="CommentSubjectChar">
    <w:name w:val="Comment Subject Char"/>
    <w:basedOn w:val="CommentTextChar"/>
    <w:link w:val="CommentSubject"/>
    <w:uiPriority w:val="99"/>
    <w:semiHidden/>
    <w:rsid w:val="001E6B53"/>
    <w:rPr>
      <w:rFonts w:ascii="Arial" w:hAnsi="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909771">
      <w:bodyDiv w:val="1"/>
      <w:marLeft w:val="0"/>
      <w:marRight w:val="0"/>
      <w:marTop w:val="0"/>
      <w:marBottom w:val="0"/>
      <w:divBdr>
        <w:top w:val="none" w:sz="0" w:space="0" w:color="auto"/>
        <w:left w:val="none" w:sz="0" w:space="0" w:color="auto"/>
        <w:bottom w:val="none" w:sz="0" w:space="0" w:color="auto"/>
        <w:right w:val="none" w:sz="0" w:space="0" w:color="auto"/>
      </w:divBdr>
      <w:divsChild>
        <w:div w:id="1351183749">
          <w:marLeft w:val="0"/>
          <w:marRight w:val="0"/>
          <w:marTop w:val="0"/>
          <w:marBottom w:val="0"/>
          <w:divBdr>
            <w:top w:val="none" w:sz="0" w:space="0" w:color="auto"/>
            <w:left w:val="none" w:sz="0" w:space="0" w:color="auto"/>
            <w:bottom w:val="none" w:sz="0" w:space="0" w:color="auto"/>
            <w:right w:val="none" w:sz="0" w:space="0" w:color="auto"/>
          </w:divBdr>
          <w:divsChild>
            <w:div w:id="99956442">
              <w:marLeft w:val="0"/>
              <w:marRight w:val="0"/>
              <w:marTop w:val="0"/>
              <w:marBottom w:val="0"/>
              <w:divBdr>
                <w:top w:val="none" w:sz="0" w:space="0" w:color="auto"/>
                <w:left w:val="none" w:sz="0" w:space="0" w:color="auto"/>
                <w:bottom w:val="none" w:sz="0" w:space="0" w:color="auto"/>
                <w:right w:val="none" w:sz="0" w:space="0" w:color="auto"/>
              </w:divBdr>
              <w:divsChild>
                <w:div w:id="1969428899">
                  <w:marLeft w:val="0"/>
                  <w:marRight w:val="0"/>
                  <w:marTop w:val="0"/>
                  <w:marBottom w:val="0"/>
                  <w:divBdr>
                    <w:top w:val="none" w:sz="0" w:space="0" w:color="auto"/>
                    <w:left w:val="none" w:sz="0" w:space="0" w:color="auto"/>
                    <w:bottom w:val="none" w:sz="0" w:space="0" w:color="auto"/>
                    <w:right w:val="none" w:sz="0" w:space="0" w:color="auto"/>
                  </w:divBdr>
                  <w:divsChild>
                    <w:div w:id="187422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95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chart" Target="charts/chart1.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5.xml"/><Relationship Id="rId10" Type="http://schemas.openxmlformats.org/officeDocument/2006/relationships/footnotes" Target="footnotes.xml"/><Relationship Id="rId19" Type="http://schemas.openxmlformats.org/officeDocument/2006/relationships/chart" Target="charts/chart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t>Chart title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8BCE-4E1F-9A11-AC4407806808}"/>
            </c:ext>
          </c:extLst>
        </c:ser>
        <c:ser>
          <c:idx val="1"/>
          <c:order val="1"/>
          <c:tx>
            <c:strRef>
              <c:f>Sheet1!$C$1</c:f>
              <c:strCache>
                <c:ptCount val="1"/>
                <c:pt idx="0">
                  <c:v>Series 2</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8BCE-4E1F-9A11-AC4407806808}"/>
            </c:ext>
          </c:extLst>
        </c:ser>
        <c:ser>
          <c:idx val="2"/>
          <c:order val="2"/>
          <c:tx>
            <c:strRef>
              <c:f>Sheet1!$D$1</c:f>
              <c:strCache>
                <c:ptCount val="1"/>
                <c:pt idx="0">
                  <c:v>Series 3</c:v>
                </c:pt>
              </c:strCache>
            </c:strRef>
          </c:tx>
          <c:spPr>
            <a:solidFill>
              <a:schemeClr val="accent3"/>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8BCE-4E1F-9A11-AC4407806808}"/>
            </c:ext>
          </c:extLst>
        </c:ser>
        <c:dLbls>
          <c:showLegendKey val="0"/>
          <c:showVal val="0"/>
          <c:showCatName val="0"/>
          <c:showSerName val="0"/>
          <c:showPercent val="0"/>
          <c:showBubbleSize val="0"/>
        </c:dLbls>
        <c:gapWidth val="157"/>
        <c:axId val="2063962288"/>
        <c:axId val="2063965168"/>
      </c:barChart>
      <c:catAx>
        <c:axId val="20639622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2063965168"/>
        <c:crosses val="autoZero"/>
        <c:auto val="1"/>
        <c:lblAlgn val="ctr"/>
        <c:lblOffset val="100"/>
        <c:noMultiLvlLbl val="0"/>
      </c:catAx>
      <c:valAx>
        <c:axId val="2063965168"/>
        <c:scaling>
          <c:orientation val="minMax"/>
        </c:scaling>
        <c:delete val="1"/>
        <c:axPos val="l"/>
        <c:title>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crossAx val="20639622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lotArea>
      <c:layout/>
      <c:doughnutChart>
        <c:varyColors val="1"/>
        <c:ser>
          <c:idx val="0"/>
          <c:order val="0"/>
          <c:tx>
            <c:strRef>
              <c:f>Sheet1!$B$1</c:f>
              <c:strCache>
                <c:ptCount val="1"/>
                <c:pt idx="0">
                  <c:v>Chart title</c:v>
                </c:pt>
              </c:strCache>
            </c:strRef>
          </c:tx>
          <c:spPr>
            <a:ln>
              <a:noFill/>
            </a:ln>
          </c:spPr>
          <c:dPt>
            <c:idx val="0"/>
            <c:bubble3D val="0"/>
            <c:spPr>
              <a:solidFill>
                <a:schemeClr val="accent1"/>
              </a:solidFill>
              <a:ln w="19050">
                <a:noFill/>
              </a:ln>
              <a:effectLst/>
            </c:spPr>
            <c:extLst>
              <c:ext xmlns:c16="http://schemas.microsoft.com/office/drawing/2014/chart" uri="{C3380CC4-5D6E-409C-BE32-E72D297353CC}">
                <c16:uniqueId val="{00000001-D59F-4345-A637-7CAFF1FC116D}"/>
              </c:ext>
            </c:extLst>
          </c:dPt>
          <c:dPt>
            <c:idx val="1"/>
            <c:bubble3D val="0"/>
            <c:spPr>
              <a:solidFill>
                <a:schemeClr val="accent2"/>
              </a:solidFill>
              <a:ln w="19050">
                <a:noFill/>
              </a:ln>
              <a:effectLst/>
            </c:spPr>
            <c:extLst>
              <c:ext xmlns:c16="http://schemas.microsoft.com/office/drawing/2014/chart" uri="{C3380CC4-5D6E-409C-BE32-E72D297353CC}">
                <c16:uniqueId val="{00000003-D59F-4345-A637-7CAFF1FC116D}"/>
              </c:ext>
            </c:extLst>
          </c:dPt>
          <c:dPt>
            <c:idx val="2"/>
            <c:bubble3D val="0"/>
            <c:spPr>
              <a:solidFill>
                <a:schemeClr val="accent3"/>
              </a:solidFill>
              <a:ln w="19050">
                <a:noFill/>
              </a:ln>
              <a:effectLst/>
            </c:spPr>
            <c:extLst>
              <c:ext xmlns:c16="http://schemas.microsoft.com/office/drawing/2014/chart" uri="{C3380CC4-5D6E-409C-BE32-E72D297353CC}">
                <c16:uniqueId val="{00000005-D59F-4345-A637-7CAFF1FC116D}"/>
              </c:ext>
            </c:extLst>
          </c:dPt>
          <c:dPt>
            <c:idx val="3"/>
            <c:bubble3D val="0"/>
            <c:spPr>
              <a:solidFill>
                <a:schemeClr val="accent4"/>
              </a:solidFill>
              <a:ln w="19050">
                <a:noFill/>
              </a:ln>
              <a:effectLst/>
            </c:spPr>
            <c:extLst>
              <c:ext xmlns:c16="http://schemas.microsoft.com/office/drawing/2014/chart" uri="{C3380CC4-5D6E-409C-BE32-E72D297353CC}">
                <c16:uniqueId val="{00000007-D59F-4345-A637-7CAFF1FC116D}"/>
              </c:ext>
            </c:extLst>
          </c:dPt>
          <c:dLbls>
            <c:dLbl>
              <c:idx val="0"/>
              <c:layout>
                <c:manualLayout>
                  <c:x val="8.8213673119333591E-2"/>
                  <c:y val="4.9007596177407502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59F-4345-A637-7CAFF1FC116D}"/>
                </c:ext>
              </c:extLst>
            </c:dLbl>
            <c:dLbl>
              <c:idx val="1"/>
              <c:layout>
                <c:manualLayout>
                  <c:x val="-7.3511394266111252E-2"/>
                  <c:y val="6.370987503062966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59F-4345-A637-7CAFF1FC116D}"/>
                </c:ext>
              </c:extLst>
            </c:dLbl>
            <c:dLbl>
              <c:idx val="2"/>
              <c:layout>
                <c:manualLayout>
                  <c:x val="-7.3511394266111252E-2"/>
                  <c:y val="-3.43053173241852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59F-4345-A637-7CAFF1FC116D}"/>
                </c:ext>
              </c:extLst>
            </c:dLbl>
            <c:dLbl>
              <c:idx val="3"/>
              <c:layout>
                <c:manualLayout>
                  <c:x val="-2.9404557706444498E-2"/>
                  <c:y val="-6.861063464837051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D59F-4345-A637-7CAFF1FC116D}"/>
                </c:ext>
              </c:extLst>
            </c:dLbl>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extLst>
          </c:dLbls>
          <c:cat>
            <c:strRef>
              <c:f>Sheet1!$A$2:$A$5</c:f>
              <c:strCache>
                <c:ptCount val="4"/>
                <c:pt idx="0">
                  <c:v>1st Qtr</c:v>
                </c:pt>
                <c:pt idx="1">
                  <c:v>2nd Qtr</c:v>
                </c:pt>
                <c:pt idx="2">
                  <c:v>3rd Qtr</c:v>
                </c:pt>
                <c:pt idx="3">
                  <c:v>4th Qtr</c:v>
                </c:pt>
              </c:strCache>
            </c:strRef>
          </c:cat>
          <c:val>
            <c:numRef>
              <c:f>Sheet1!$B$2:$B$5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0-08E8-43CE-9CAB-42FE48CC88E9}"/>
            </c:ext>
          </c:extLst>
        </c:ser>
        <c:dLbls>
          <c:showLegendKey val="0"/>
          <c:showVal val="0"/>
          <c:showCatName val="0"/>
          <c:showSerName val="0"/>
          <c:showPercent val="0"/>
          <c:showBubbleSize val="0"/>
          <c:showLeaderLines val="0"/>
        </c:dLbls>
        <c:firstSliceAng val="0"/>
        <c:holeSize val="80"/>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t>Chart title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Sheet1!$A$2:$A$4</c:f>
              <c:strCache>
                <c:ptCount val="3"/>
                <c:pt idx="0">
                  <c:v>Category 1</c:v>
                </c:pt>
                <c:pt idx="1">
                  <c:v>Category 2</c:v>
                </c:pt>
                <c:pt idx="2">
                  <c:v>Category 3</c:v>
                </c:pt>
              </c:strCache>
            </c:strRef>
          </c:cat>
          <c:val>
            <c:numRef>
              <c:f>Sheet1!$B$2:$B$4</c:f>
              <c:numCache>
                <c:formatCode>General</c:formatCode>
                <c:ptCount val="3"/>
                <c:pt idx="0">
                  <c:v>4.3</c:v>
                </c:pt>
                <c:pt idx="1">
                  <c:v>2.5</c:v>
                </c:pt>
                <c:pt idx="2">
                  <c:v>3.5</c:v>
                </c:pt>
              </c:numCache>
            </c:numRef>
          </c:val>
          <c:extLst>
            <c:ext xmlns:c16="http://schemas.microsoft.com/office/drawing/2014/chart" uri="{C3380CC4-5D6E-409C-BE32-E72D297353CC}">
              <c16:uniqueId val="{00000000-AE44-4D31-A01B-D49633A1A488}"/>
            </c:ext>
          </c:extLst>
        </c:ser>
        <c:ser>
          <c:idx val="1"/>
          <c:order val="1"/>
          <c:tx>
            <c:strRef>
              <c:f>Sheet1!$C$1</c:f>
              <c:strCache>
                <c:ptCount val="1"/>
                <c:pt idx="0">
                  <c:v>Series 2</c:v>
                </c:pt>
              </c:strCache>
            </c:strRef>
          </c:tx>
          <c:spPr>
            <a:solidFill>
              <a:schemeClr val="accent2"/>
            </a:solidFill>
            <a:ln>
              <a:noFill/>
            </a:ln>
            <a:effectLst/>
          </c:spPr>
          <c:invertIfNegative val="0"/>
          <c:cat>
            <c:strRef>
              <c:f>Sheet1!$A$2:$A$4</c:f>
              <c:strCache>
                <c:ptCount val="3"/>
                <c:pt idx="0">
                  <c:v>Category 1</c:v>
                </c:pt>
                <c:pt idx="1">
                  <c:v>Category 2</c:v>
                </c:pt>
                <c:pt idx="2">
                  <c:v>Category 3</c:v>
                </c:pt>
              </c:strCache>
            </c:strRef>
          </c:cat>
          <c:val>
            <c:numRef>
              <c:f>Sheet1!$C$2:$C$4</c:f>
              <c:numCache>
                <c:formatCode>General</c:formatCode>
                <c:ptCount val="3"/>
                <c:pt idx="0">
                  <c:v>2.4</c:v>
                </c:pt>
                <c:pt idx="1">
                  <c:v>4.4000000000000004</c:v>
                </c:pt>
                <c:pt idx="2">
                  <c:v>1.8</c:v>
                </c:pt>
              </c:numCache>
            </c:numRef>
          </c:val>
          <c:extLst>
            <c:ext xmlns:c16="http://schemas.microsoft.com/office/drawing/2014/chart" uri="{C3380CC4-5D6E-409C-BE32-E72D297353CC}">
              <c16:uniqueId val="{00000001-AE44-4D31-A01B-D49633A1A488}"/>
            </c:ext>
          </c:extLst>
        </c:ser>
        <c:ser>
          <c:idx val="2"/>
          <c:order val="2"/>
          <c:tx>
            <c:strRef>
              <c:f>Sheet1!$D$1</c:f>
              <c:strCache>
                <c:ptCount val="1"/>
                <c:pt idx="0">
                  <c:v>Series 3</c:v>
                </c:pt>
              </c:strCache>
            </c:strRef>
          </c:tx>
          <c:spPr>
            <a:solidFill>
              <a:schemeClr val="accent3"/>
            </a:solidFill>
            <a:ln>
              <a:noFill/>
            </a:ln>
            <a:effectLst/>
          </c:spPr>
          <c:invertIfNegative val="0"/>
          <c:cat>
            <c:strRef>
              <c:f>Sheet1!$A$2:$A$4</c:f>
              <c:strCache>
                <c:ptCount val="3"/>
                <c:pt idx="0">
                  <c:v>Category 1</c:v>
                </c:pt>
                <c:pt idx="1">
                  <c:v>Category 2</c:v>
                </c:pt>
                <c:pt idx="2">
                  <c:v>Category 3</c:v>
                </c:pt>
              </c:strCache>
            </c:strRef>
          </c:cat>
          <c:val>
            <c:numRef>
              <c:f>Sheet1!$D$2:$D$4</c:f>
              <c:numCache>
                <c:formatCode>General</c:formatCode>
                <c:ptCount val="3"/>
                <c:pt idx="0">
                  <c:v>2</c:v>
                </c:pt>
                <c:pt idx="1">
                  <c:v>2</c:v>
                </c:pt>
                <c:pt idx="2">
                  <c:v>3</c:v>
                </c:pt>
              </c:numCache>
            </c:numRef>
          </c:val>
          <c:extLst>
            <c:ext xmlns:c16="http://schemas.microsoft.com/office/drawing/2014/chart" uri="{C3380CC4-5D6E-409C-BE32-E72D297353CC}">
              <c16:uniqueId val="{00000002-AE44-4D31-A01B-D49633A1A488}"/>
            </c:ext>
          </c:extLst>
        </c:ser>
        <c:dLbls>
          <c:showLegendKey val="0"/>
          <c:showVal val="0"/>
          <c:showCatName val="0"/>
          <c:showSerName val="0"/>
          <c:showPercent val="0"/>
          <c:showBubbleSize val="0"/>
        </c:dLbls>
        <c:gapWidth val="100"/>
        <c:axId val="2001240464"/>
        <c:axId val="1158788623"/>
      </c:barChart>
      <c:catAx>
        <c:axId val="200124046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158788623"/>
        <c:crosses val="autoZero"/>
        <c:auto val="1"/>
        <c:lblAlgn val="ctr"/>
        <c:lblOffset val="100"/>
        <c:noMultiLvlLbl val="0"/>
      </c:catAx>
      <c:valAx>
        <c:axId val="115878862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20012404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54994FB-CE9A-4296-A86B-8438FEAF527F}"/>
      </w:docPartPr>
      <w:docPartBody>
        <w:p w:rsidR="005A6B75" w:rsidRDefault="000620EA">
          <w:r w:rsidRPr="00790150">
            <w:rPr>
              <w:rStyle w:val="PlaceholderText"/>
            </w:rPr>
            <w:t>Click or tap here to enter text.</w:t>
          </w:r>
        </w:p>
      </w:docPartBody>
    </w:docPart>
    <w:docPart>
      <w:docPartPr>
        <w:name w:val="DB458E9C4BAE473FAAF5D63304686574"/>
        <w:category>
          <w:name w:val="General"/>
          <w:gallery w:val="placeholder"/>
        </w:category>
        <w:types>
          <w:type w:val="bbPlcHdr"/>
        </w:types>
        <w:behaviors>
          <w:behavior w:val="content"/>
        </w:behaviors>
        <w:guid w:val="{5DF899F3-CF39-4951-8FAD-54F8FAE7014C}"/>
      </w:docPartPr>
      <w:docPartBody>
        <w:p w:rsidR="005A6B75" w:rsidRDefault="000620EA" w:rsidP="000620EA">
          <w:pPr>
            <w:pStyle w:val="DB458E9C4BAE473FAAF5D63304686574"/>
          </w:pPr>
          <w:r w:rsidRPr="00790150">
            <w:rPr>
              <w:rStyle w:val="PlaceholderText"/>
            </w:rPr>
            <w:t>Click or tap here to enter text.</w:t>
          </w:r>
        </w:p>
      </w:docPartBody>
    </w:docPart>
    <w:docPart>
      <w:docPartPr>
        <w:name w:val="95B71A9760304E7D856A924CBB85946C"/>
        <w:category>
          <w:name w:val="General"/>
          <w:gallery w:val="placeholder"/>
        </w:category>
        <w:types>
          <w:type w:val="bbPlcHdr"/>
        </w:types>
        <w:behaviors>
          <w:behavior w:val="content"/>
        </w:behaviors>
        <w:guid w:val="{F195DF81-70D9-431B-AC8F-633F2350487C}"/>
      </w:docPartPr>
      <w:docPartBody>
        <w:p w:rsidR="00B206CE" w:rsidRDefault="00622C7E" w:rsidP="00622C7E">
          <w:pPr>
            <w:pStyle w:val="95B71A9760304E7D856A924CBB85946C"/>
          </w:pPr>
          <w:r w:rsidRPr="00790150">
            <w:rPr>
              <w:rStyle w:val="PlaceholderText"/>
            </w:rPr>
            <w:t>Click or tap here to enter text.</w:t>
          </w:r>
        </w:p>
      </w:docPartBody>
    </w:docPart>
    <w:docPart>
      <w:docPartPr>
        <w:name w:val="7CEF6F5123C545DEAF3672169BE6A63D"/>
        <w:category>
          <w:name w:val="General"/>
          <w:gallery w:val="placeholder"/>
        </w:category>
        <w:types>
          <w:type w:val="bbPlcHdr"/>
        </w:types>
        <w:behaviors>
          <w:behavior w:val="content"/>
        </w:behaviors>
        <w:guid w:val="{8F033BF1-E6BB-4A96-8AE2-11F1F5A536CD}"/>
      </w:docPartPr>
      <w:docPartBody>
        <w:p w:rsidR="00E563C7" w:rsidRDefault="00AE0F69" w:rsidP="00AE0F69">
          <w:pPr>
            <w:pStyle w:val="7CEF6F5123C545DEAF3672169BE6A63D"/>
          </w:pPr>
          <w:r w:rsidRPr="00790150">
            <w:rPr>
              <w:rStyle w:val="PlaceholderText"/>
            </w:rPr>
            <w:t>Click or tap here to enter text.</w:t>
          </w:r>
        </w:p>
      </w:docPartBody>
    </w:docPart>
    <w:docPart>
      <w:docPartPr>
        <w:name w:val="07F13BF82FC6447CAC9D511CF9723222"/>
        <w:category>
          <w:name w:val="General"/>
          <w:gallery w:val="placeholder"/>
        </w:category>
        <w:types>
          <w:type w:val="bbPlcHdr"/>
        </w:types>
        <w:behaviors>
          <w:behavior w:val="content"/>
        </w:behaviors>
        <w:guid w:val="{438CD938-07FA-4E6E-92E9-7452029ABA9C}"/>
      </w:docPartPr>
      <w:docPartBody>
        <w:p w:rsidR="008809DA" w:rsidRDefault="008809DA" w:rsidP="008809DA">
          <w:pPr>
            <w:pStyle w:val="07F13BF82FC6447CAC9D511CF9723222"/>
          </w:pPr>
          <w:r w:rsidRPr="00C14A14">
            <w:rPr>
              <w:bCs/>
              <w:lang w:val="en-GB"/>
            </w:rPr>
            <w:t>[Legal Entity Information]</w:t>
          </w:r>
        </w:p>
      </w:docPartBody>
    </w:docPart>
    <w:docPart>
      <w:docPartPr>
        <w:name w:val="F9B3FD16871F4C54ACF12EFE83A2BD4C"/>
        <w:category>
          <w:name w:val="General"/>
          <w:gallery w:val="placeholder"/>
        </w:category>
        <w:types>
          <w:type w:val="bbPlcHdr"/>
        </w:types>
        <w:behaviors>
          <w:behavior w:val="content"/>
        </w:behaviors>
        <w:guid w:val="{4B24693D-798D-445E-B310-428280FDF684}"/>
      </w:docPartPr>
      <w:docPartBody>
        <w:p w:rsidR="008809DA" w:rsidRDefault="008809DA" w:rsidP="008809DA">
          <w:pPr>
            <w:pStyle w:val="F9B3FD16871F4C54ACF12EFE83A2BD4C"/>
          </w:pPr>
          <w:r w:rsidRPr="00C14A14">
            <w:rPr>
              <w:bCs/>
              <w:lang w:val="en-GB"/>
            </w:rPr>
            <w:t>[Legal Entity Information]</w:t>
          </w:r>
        </w:p>
      </w:docPartBody>
    </w:docPart>
    <w:docPart>
      <w:docPartPr>
        <w:name w:val="7E69470399464888BD163DC6228BD769"/>
        <w:category>
          <w:name w:val="General"/>
          <w:gallery w:val="placeholder"/>
        </w:category>
        <w:types>
          <w:type w:val="bbPlcHdr"/>
        </w:types>
        <w:behaviors>
          <w:behavior w:val="content"/>
        </w:behaviors>
        <w:guid w:val="{A6E574F4-9DCB-4E88-9DF2-794FFCF9AB82}"/>
      </w:docPartPr>
      <w:docPartBody>
        <w:p w:rsidR="00BA4DB5" w:rsidRDefault="008A30B5" w:rsidP="008A30B5">
          <w:pPr>
            <w:pStyle w:val="7E69470399464888BD163DC6228BD769"/>
          </w:pPr>
          <w:r w:rsidRPr="00C14A14">
            <w:rPr>
              <w:bCs/>
              <w:lang w:val="en-GB"/>
            </w:rPr>
            <w:t>[Legal Entity Information]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old">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EA"/>
    <w:rsid w:val="000532B6"/>
    <w:rsid w:val="000620EA"/>
    <w:rsid w:val="00155B5A"/>
    <w:rsid w:val="00266407"/>
    <w:rsid w:val="004125B6"/>
    <w:rsid w:val="00471DE8"/>
    <w:rsid w:val="005A6B75"/>
    <w:rsid w:val="00622C7E"/>
    <w:rsid w:val="006F66E8"/>
    <w:rsid w:val="007E030B"/>
    <w:rsid w:val="008809DA"/>
    <w:rsid w:val="008A30B5"/>
    <w:rsid w:val="00A410C9"/>
    <w:rsid w:val="00AE0F69"/>
    <w:rsid w:val="00B206CE"/>
    <w:rsid w:val="00BA4DB5"/>
    <w:rsid w:val="00CB581E"/>
    <w:rsid w:val="00E563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0F69"/>
    <w:rPr>
      <w:color w:val="808080"/>
    </w:rPr>
  </w:style>
  <w:style w:type="paragraph" w:customStyle="1" w:styleId="DB458E9C4BAE473FAAF5D63304686574">
    <w:name w:val="DB458E9C4BAE473FAAF5D63304686574"/>
    <w:rsid w:val="000620EA"/>
  </w:style>
  <w:style w:type="paragraph" w:customStyle="1" w:styleId="95B71A9760304E7D856A924CBB85946C">
    <w:name w:val="95B71A9760304E7D856A924CBB85946C"/>
    <w:rsid w:val="00622C7E"/>
  </w:style>
  <w:style w:type="paragraph" w:customStyle="1" w:styleId="7CEF6F5123C545DEAF3672169BE6A63D">
    <w:name w:val="7CEF6F5123C545DEAF3672169BE6A63D"/>
    <w:rsid w:val="00AE0F69"/>
  </w:style>
  <w:style w:type="paragraph" w:customStyle="1" w:styleId="07F13BF82FC6447CAC9D511CF9723222">
    <w:name w:val="07F13BF82FC6447CAC9D511CF9723222"/>
    <w:rsid w:val="008809DA"/>
    <w:pPr>
      <w:tabs>
        <w:tab w:val="center" w:pos="4513"/>
        <w:tab w:val="right" w:pos="9026"/>
      </w:tabs>
      <w:spacing w:before="240" w:after="0" w:line="264" w:lineRule="auto"/>
    </w:pPr>
    <w:rPr>
      <w:rFonts w:ascii="Arial" w:eastAsiaTheme="minorHAnsi" w:hAnsi="Arial"/>
      <w:sz w:val="16"/>
      <w:szCs w:val="24"/>
    </w:rPr>
  </w:style>
  <w:style w:type="paragraph" w:customStyle="1" w:styleId="F9B3FD16871F4C54ACF12EFE83A2BD4C">
    <w:name w:val="F9B3FD16871F4C54ACF12EFE83A2BD4C"/>
    <w:rsid w:val="008809DA"/>
  </w:style>
  <w:style w:type="paragraph" w:customStyle="1" w:styleId="7E69470399464888BD163DC6228BD769">
    <w:name w:val="7E69470399464888BD163DC6228BD769"/>
    <w:rsid w:val="008A30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NTT DATA">
      <a:dk1>
        <a:srgbClr val="2E404D"/>
      </a:dk1>
      <a:lt1>
        <a:srgbClr val="FFFFFF"/>
      </a:lt1>
      <a:dk2>
        <a:srgbClr val="2E404D"/>
      </a:dk2>
      <a:lt2>
        <a:srgbClr val="19A3FC"/>
      </a:lt2>
      <a:accent1>
        <a:srgbClr val="070F26"/>
      </a:accent1>
      <a:accent2>
        <a:srgbClr val="0072BC"/>
      </a:accent2>
      <a:accent3>
        <a:srgbClr val="005B96"/>
      </a:accent3>
      <a:accent4>
        <a:srgbClr val="19A3FC"/>
      </a:accent4>
      <a:accent5>
        <a:srgbClr val="00CB5D"/>
      </a:accent5>
      <a:accent6>
        <a:srgbClr val="949494"/>
      </a:accent6>
      <a:hlink>
        <a:srgbClr val="005B96"/>
      </a:hlink>
      <a:folHlink>
        <a:srgbClr val="0072B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b1599cc-18ca-483d-b20f-e7fb2e88bed2" xsi:nil="true"/>
    <lcf76f155ced4ddcb4097134ff3c332f xmlns="3fa08bbe-5dd9-4196-b138-e72ee368852c">
      <Terms xmlns="http://schemas.microsoft.com/office/infopath/2007/PartnerControls"/>
    </lcf76f155ced4ddcb4097134ff3c332f>
    <_dlc_DocId xmlns="2fb950d3-bcd3-4cfc-a955-2d0574c88648">WTA7YCK3AHDX-1044940792-268</_dlc_DocId>
    <_dlc_DocIdUrl xmlns="2fb950d3-bcd3-4cfc-a955-2d0574c88648">
      <Url>https://nttlimited.sharepoint.com/sites/NTTDATAGlobalBrandCollateral/_layouts/15/DocIdRedir.aspx?ID=WTA7YCK3AHDX-1044940792-268</Url>
      <Description>WTA7YCK3AHDX-1044940792-268</Description>
    </_dlc_DocIdUrl>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A6B399C227DF8B499AB519015FDF2626" ma:contentTypeVersion="12" ma:contentTypeDescription="Create a new document." ma:contentTypeScope="" ma:versionID="544c5455f42ae8777eb5c3a427e570d0">
  <xsd:schema xmlns:xsd="http://www.w3.org/2001/XMLSchema" xmlns:xs="http://www.w3.org/2001/XMLSchema" xmlns:p="http://schemas.microsoft.com/office/2006/metadata/properties" xmlns:ns2="2fb950d3-bcd3-4cfc-a955-2d0574c88648" xmlns:ns3="3fa08bbe-5dd9-4196-b138-e72ee368852c" xmlns:ns4="12869c54-f97c-4be7-b90e-79bbfb754419" xmlns:ns5="2b1599cc-18ca-483d-b20f-e7fb2e88bed2" targetNamespace="http://schemas.microsoft.com/office/2006/metadata/properties" ma:root="true" ma:fieldsID="8c3df65c1aedf857cfcb9e43eaf94376" ns2:_="" ns3:_="" ns4:_="" ns5:_="">
    <xsd:import namespace="2fb950d3-bcd3-4cfc-a955-2d0574c88648"/>
    <xsd:import namespace="3fa08bbe-5dd9-4196-b138-e72ee368852c"/>
    <xsd:import namespace="12869c54-f97c-4be7-b90e-79bbfb754419"/>
    <xsd:import namespace="2b1599cc-18ca-483d-b20f-e7fb2e88bed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ObjectDetectorVersions" minOccurs="0"/>
                <xsd:element ref="ns4:SharedWithUsers" minOccurs="0"/>
                <xsd:element ref="ns4:SharedWithDetails" minOccurs="0"/>
                <xsd:element ref="ns3:lcf76f155ced4ddcb4097134ff3c332f" minOccurs="0"/>
                <xsd:element ref="ns5:TaxCatchAll" minOccurs="0"/>
                <xsd:element ref="ns3:MediaServiceGenerationTime" minOccurs="0"/>
                <xsd:element ref="ns3:MediaServiceEventHashCode" minOccurs="0"/>
                <xsd:element ref="ns3:MediaServiceOCR"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b950d3-bcd3-4cfc-a955-2d0574c8864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3fa08bbe-5dd9-4196-b138-e72ee368852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77122d2-e88d-4b4a-9837-8138ff3ddcf3"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869c54-f97c-4be7-b90e-79bbfb75441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b1599cc-18ca-483d-b20f-e7fb2e88bed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cf112cc-53e8-4602-9c52-1e0f29e7a260}" ma:internalName="TaxCatchAll" ma:showField="CatchAllData" ma:web="2b1599cc-18ca-483d-b20f-e7fb2e88be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0D2943-2F00-4334-8739-8A925E45F6C7}">
  <ds:schemaRefs>
    <ds:schemaRef ds:uri="http://schemas.microsoft.com/sharepoint/events"/>
  </ds:schemaRefs>
</ds:datastoreItem>
</file>

<file path=customXml/itemProps2.xml><?xml version="1.0" encoding="utf-8"?>
<ds:datastoreItem xmlns:ds="http://schemas.openxmlformats.org/officeDocument/2006/customXml" ds:itemID="{F4033E51-A133-484E-A999-B47BB42AC722}">
  <ds:schemaRefs>
    <ds:schemaRef ds:uri="http://schemas.microsoft.com/sharepoint/v3/contenttype/forms"/>
  </ds:schemaRefs>
</ds:datastoreItem>
</file>

<file path=customXml/itemProps3.xml><?xml version="1.0" encoding="utf-8"?>
<ds:datastoreItem xmlns:ds="http://schemas.openxmlformats.org/officeDocument/2006/customXml" ds:itemID="{B6ADF4F3-5389-4261-BA50-D9C1C4EE966F}">
  <ds:schemaRefs>
    <ds:schemaRef ds:uri="http://schemas.microsoft.com/office/2006/metadata/properties"/>
    <ds:schemaRef ds:uri="http://schemas.microsoft.com/office/infopath/2007/PartnerControls"/>
    <ds:schemaRef ds:uri="2b1599cc-18ca-483d-b20f-e7fb2e88bed2"/>
    <ds:schemaRef ds:uri="3fa08bbe-5dd9-4196-b138-e72ee368852c"/>
    <ds:schemaRef ds:uri="2fb950d3-bcd3-4cfc-a955-2d0574c88648"/>
  </ds:schemaRefs>
</ds:datastoreItem>
</file>

<file path=customXml/itemProps4.xml><?xml version="1.0" encoding="utf-8"?>
<ds:datastoreItem xmlns:ds="http://schemas.openxmlformats.org/officeDocument/2006/customXml" ds:itemID="{98BD03B9-BFAB-42BE-8091-69031DD3A8CE}">
  <ds:schemaRefs>
    <ds:schemaRef ds:uri="http://schemas.openxmlformats.org/officeDocument/2006/bibliography"/>
  </ds:schemaRefs>
</ds:datastoreItem>
</file>

<file path=customXml/itemProps5.xml><?xml version="1.0" encoding="utf-8"?>
<ds:datastoreItem xmlns:ds="http://schemas.openxmlformats.org/officeDocument/2006/customXml" ds:itemID="{544CDD30-9CC3-4CCE-85B9-E7DA287382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b950d3-bcd3-4cfc-a955-2d0574c88648"/>
    <ds:schemaRef ds:uri="3fa08bbe-5dd9-4196-b138-e72ee368852c"/>
    <ds:schemaRef ds:uri="12869c54-f97c-4be7-b90e-79bbfb754419"/>
    <ds:schemaRef ds:uri="2b1599cc-18ca-483d-b20f-e7fb2e88be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7</Pages>
  <Words>839</Words>
  <Characters>4786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NTT DATA, Inc.</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Prompt Lab Code Documentation - NTT Enhanced</dc:title>
  <dc:subject>Enhanced code documentation for Prompt Lab</dc:subject>
  <dc:creator>OpenAI Codex</dc:creator>
  <cp:keywords/>
  <dc:description>Extensive Prompt Lab code documentation rebuilt using the NTT DATA Word template.</dc:description>
  <cp:lastModifiedBy>OpenAI Codex</cp:lastModifiedBy>
  <cp:revision>38</cp:revision>
  <dcterms:created xsi:type="dcterms:W3CDTF">2026-05-08T05:55:12Z</dcterms:created>
  <dcterms:modified xsi:type="dcterms:W3CDTF">2026-05-08T05:55:12Z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37e5cc-ed1f-4ad6-a881-35c0f1c6f3d8_Enabled">
    <vt:lpwstr>true</vt:lpwstr>
  </property>
  <property fmtid="{D5CDD505-2E9C-101B-9397-08002B2CF9AE}" pid="3" name="MSIP_Label_4637e5cc-ed1f-4ad6-a881-35c0f1c6f3d8_SetDate">
    <vt:lpwstr>2023-07-27T09:24:30Z</vt:lpwstr>
  </property>
  <property fmtid="{D5CDD505-2E9C-101B-9397-08002B2CF9AE}" pid="4" name="MSIP_Label_4637e5cc-ed1f-4ad6-a881-35c0f1c6f3d8_Method">
    <vt:lpwstr>Standard</vt:lpwstr>
  </property>
  <property fmtid="{D5CDD505-2E9C-101B-9397-08002B2CF9AE}" pid="5" name="MSIP_Label_4637e5cc-ed1f-4ad6-a881-35c0f1c6f3d8_Name">
    <vt:lpwstr>General</vt:lpwstr>
  </property>
  <property fmtid="{D5CDD505-2E9C-101B-9397-08002B2CF9AE}" pid="6" name="MSIP_Label_4637e5cc-ed1f-4ad6-a881-35c0f1c6f3d8_SiteId">
    <vt:lpwstr>e3cf3c98-a978-465f-8254-9d541eeea73c</vt:lpwstr>
  </property>
  <property fmtid="{D5CDD505-2E9C-101B-9397-08002B2CF9AE}" pid="7" name="MSIP_Label_4637e5cc-ed1f-4ad6-a881-35c0f1c6f3d8_ActionId">
    <vt:lpwstr>08988646-045d-4317-80d0-b25e5da4eed3</vt:lpwstr>
  </property>
  <property fmtid="{D5CDD505-2E9C-101B-9397-08002B2CF9AE}" pid="8" name="MSIP_Label_4637e5cc-ed1f-4ad6-a881-35c0f1c6f3d8_ContentBits">
    <vt:lpwstr>0</vt:lpwstr>
  </property>
  <property fmtid="{D5CDD505-2E9C-101B-9397-08002B2CF9AE}" pid="9" name="Client">
    <vt:lpwstr/>
  </property>
  <property fmtid="{D5CDD505-2E9C-101B-9397-08002B2CF9AE}" pid="10" name="Security">
    <vt:lpwstr>General</vt:lpwstr>
  </property>
  <property fmtid="{D5CDD505-2E9C-101B-9397-08002B2CF9AE}" pid="11" name="ContentTypeId">
    <vt:lpwstr>0x010100A6B399C227DF8B499AB519015FDF2626</vt:lpwstr>
  </property>
  <property fmtid="{D5CDD505-2E9C-101B-9397-08002B2CF9AE}" pid="12" name="_dlc_DocIdItemGuid">
    <vt:lpwstr>f40f45ac-4477-4c90-a82f-ef0710930987</vt:lpwstr>
  </property>
</Properties>
</file>