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exact"/>
        <w:ind w:right="140"/>
        <w:rPr>
          <w:b/>
          <w:bCs/>
          <w:sz w:val="28"/>
          <w:szCs w:val="28"/>
        </w:rPr>
      </w:pPr>
    </w:p>
    <w:p>
      <w:pPr>
        <w:rPr>
          <w:rFonts w:eastAsia="楷体_GB2312"/>
          <w:b/>
          <w:color w:val="000000"/>
        </w:rPr>
      </w:pPr>
    </w:p>
    <w:p>
      <w:pPr>
        <w:jc w:val="center"/>
        <w:rPr>
          <w:rFonts w:eastAsia="楷体_GB2312"/>
          <w:b/>
          <w:color w:val="000000"/>
        </w:rPr>
      </w:pPr>
      <w:r>
        <w:drawing>
          <wp:inline distT="0" distB="0" distL="0" distR="0">
            <wp:extent cx="3749675" cy="784225"/>
            <wp:effectExtent l="0" t="0" r="9525" b="3175"/>
            <wp:docPr id="1026" name="图片 1" descr="中国科学院大学（横式）"/>
            <wp:cNvGraphicFramePr/>
            <a:graphic xmlns:a="http://schemas.openxmlformats.org/drawingml/2006/main">
              <a:graphicData uri="http://schemas.openxmlformats.org/drawingml/2006/picture">
                <pic:pic xmlns:pic="http://schemas.openxmlformats.org/drawingml/2006/picture">
                  <pic:nvPicPr>
                    <pic:cNvPr id="1026" name="图片 1" descr="中国科学院大学（横式）"/>
                    <pic:cNvPicPr/>
                  </pic:nvPicPr>
                  <pic:blipFill>
                    <a:blip r:embed="rId36" cstate="print"/>
                    <a:srcRect/>
                    <a:stretch>
                      <a:fillRect/>
                    </a:stretch>
                  </pic:blipFill>
                  <pic:spPr>
                    <a:xfrm>
                      <a:off x="0" y="0"/>
                      <a:ext cx="3749675" cy="784225"/>
                    </a:xfrm>
                    <a:prstGeom prst="rect">
                      <a:avLst/>
                    </a:prstGeom>
                    <a:ln>
                      <a:noFill/>
                    </a:ln>
                  </pic:spPr>
                </pic:pic>
              </a:graphicData>
            </a:graphic>
          </wp:inline>
        </w:drawing>
      </w:r>
    </w:p>
    <w:p>
      <w:pPr>
        <w:rPr>
          <w:rFonts w:eastAsia="黑体"/>
          <w:b/>
          <w:sz w:val="52"/>
          <w:szCs w:val="52"/>
        </w:rPr>
      </w:pPr>
    </w:p>
    <w:p>
      <w:pPr>
        <w:ind w:firstLine="1044"/>
        <w:jc w:val="center"/>
        <w:rPr>
          <w:rFonts w:eastAsia="黑体"/>
          <w:b/>
          <w:sz w:val="52"/>
          <w:szCs w:val="52"/>
        </w:rPr>
      </w:pPr>
      <w:r>
        <w:rPr>
          <w:rFonts w:hint="eastAsia" w:eastAsia="黑体"/>
          <w:b/>
          <w:sz w:val="52"/>
          <w:szCs w:val="52"/>
        </w:rPr>
        <w:t>硕士学位论文</w:t>
      </w:r>
    </w:p>
    <w:p>
      <w:pPr>
        <w:spacing w:line="480" w:lineRule="exact"/>
      </w:pPr>
    </w:p>
    <w:p>
      <w:pPr>
        <w:spacing w:line="480" w:lineRule="exact"/>
        <w:rPr>
          <w:u w:val="single"/>
        </w:rPr>
      </w:pPr>
    </w:p>
    <w:p>
      <w:pPr>
        <w:spacing w:line="240" w:lineRule="auto"/>
        <w:ind w:firstLine="148" w:firstLineChars="49"/>
        <w:jc w:val="center"/>
        <w:rPr>
          <w:rFonts w:eastAsia="黑体"/>
          <w:b/>
          <w:bCs/>
          <w:sz w:val="30"/>
          <w:szCs w:val="30"/>
          <w:u w:val="single"/>
        </w:rPr>
      </w:pPr>
      <w:r>
        <w:rPr>
          <w:rFonts w:hint="eastAsia" w:eastAsia="黑体"/>
          <w:b/>
          <w:bCs/>
          <w:sz w:val="30"/>
          <w:szCs w:val="30"/>
          <w:u w:val="single"/>
          <w:lang w:val="en-US" w:eastAsia="zh-CN"/>
        </w:rPr>
        <w:t>针对</w:t>
      </w:r>
      <w:r>
        <w:rPr>
          <w:rFonts w:eastAsia="黑体"/>
          <w:b/>
          <w:bCs/>
          <w:sz w:val="30"/>
          <w:szCs w:val="30"/>
          <w:u w:val="single"/>
        </w:rPr>
        <w:t>Intel SGX</w:t>
      </w:r>
      <w:r>
        <w:rPr>
          <w:rFonts w:hint="eastAsia" w:eastAsia="黑体"/>
          <w:b/>
          <w:bCs/>
          <w:sz w:val="30"/>
          <w:szCs w:val="30"/>
          <w:u w:val="single"/>
          <w:lang w:val="en-US" w:eastAsia="zh-CN"/>
        </w:rPr>
        <w:t xml:space="preserve"> SDK的</w:t>
      </w:r>
      <w:r>
        <w:rPr>
          <w:rFonts w:eastAsia="黑体"/>
          <w:b/>
          <w:bCs/>
          <w:sz w:val="30"/>
          <w:szCs w:val="30"/>
          <w:u w:val="single"/>
        </w:rPr>
        <w:t>安全增强框架技术研究与实现</w:t>
      </w:r>
    </w:p>
    <w:p>
      <w:pPr>
        <w:spacing w:line="480" w:lineRule="exact"/>
        <w:ind w:right="50" w:rightChars="21"/>
      </w:pPr>
    </w:p>
    <w:p>
      <w:pPr>
        <w:spacing w:line="480" w:lineRule="exact"/>
        <w:rPr>
          <w:sz w:val="28"/>
        </w:rPr>
      </w:pPr>
    </w:p>
    <w:p>
      <w:pPr>
        <w:spacing w:line="480" w:lineRule="exact"/>
        <w:rPr>
          <w:sz w:val="28"/>
        </w:rPr>
      </w:pPr>
    </w:p>
    <w:p>
      <w:pPr>
        <w:spacing w:line="480" w:lineRule="exact"/>
        <w:rPr>
          <w:sz w:val="28"/>
        </w:rPr>
      </w:pPr>
    </w:p>
    <w:p>
      <w:pPr>
        <w:spacing w:line="640" w:lineRule="exact"/>
        <w:ind w:firstLine="562"/>
        <w:rPr>
          <w:b/>
          <w:bCs/>
          <w:sz w:val="28"/>
          <w:szCs w:val="28"/>
          <w:u w:val="single"/>
        </w:rPr>
      </w:pPr>
      <w:r>
        <w:rPr>
          <w:rFonts w:hint="eastAsia"/>
          <w:b/>
          <w:bCs/>
          <w:sz w:val="28"/>
          <w:szCs w:val="28"/>
        </w:rPr>
        <w:t>作者姓名：</w:t>
      </w:r>
      <w:r>
        <w:rPr>
          <w:rFonts w:hint="eastAsia"/>
          <w:b/>
          <w:bCs/>
          <w:sz w:val="28"/>
          <w:szCs w:val="28"/>
          <w:u w:val="single"/>
        </w:rPr>
        <w:t xml:space="preserve">                    陈力恒                    </w:t>
      </w:r>
    </w:p>
    <w:p>
      <w:pPr>
        <w:spacing w:line="640" w:lineRule="exact"/>
        <w:ind w:firstLine="562"/>
        <w:rPr>
          <w:b/>
          <w:bCs/>
          <w:sz w:val="28"/>
          <w:szCs w:val="28"/>
          <w:u w:val="single"/>
        </w:rPr>
      </w:pPr>
      <w:r>
        <w:rPr>
          <w:rFonts w:hint="eastAsia"/>
          <w:b/>
          <w:bCs/>
          <w:sz w:val="28"/>
          <w:szCs w:val="28"/>
        </w:rPr>
        <w:t>指导教师：</w:t>
      </w:r>
      <w:r>
        <w:rPr>
          <w:rFonts w:hint="eastAsia"/>
          <w:b/>
          <w:bCs/>
          <w:sz w:val="28"/>
          <w:szCs w:val="28"/>
          <w:u w:val="single"/>
        </w:rPr>
        <w:t xml:space="preserve">                马恒太 副研究员               </w:t>
      </w:r>
    </w:p>
    <w:p>
      <w:pPr>
        <w:spacing w:line="640" w:lineRule="exact"/>
        <w:ind w:firstLine="562"/>
        <w:rPr>
          <w:sz w:val="28"/>
          <w:szCs w:val="28"/>
          <w:u w:val="single"/>
        </w:rPr>
      </w:pPr>
      <w:r>
        <w:rPr>
          <w:b/>
          <w:bCs/>
          <w:sz w:val="28"/>
          <w:szCs w:val="28"/>
        </w:rPr>
        <w:t xml:space="preserve">          </w:t>
      </w:r>
      <w:r>
        <w:rPr>
          <w:b/>
          <w:bCs/>
          <w:sz w:val="28"/>
          <w:szCs w:val="28"/>
          <w:u w:val="single"/>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中国科学院软件研究所</w:t>
      </w:r>
      <w:r>
        <w:rPr>
          <w:b/>
          <w:bCs/>
          <w:sz w:val="28"/>
          <w:szCs w:val="28"/>
          <w:u w:val="single"/>
        </w:rPr>
        <w:t xml:space="preserve">       </w:t>
      </w:r>
      <w:r>
        <w:rPr>
          <w:rFonts w:hint="eastAsia"/>
          <w:b/>
          <w:bCs/>
          <w:sz w:val="28"/>
          <w:szCs w:val="28"/>
          <w:u w:val="single"/>
        </w:rPr>
        <w:t xml:space="preserve"> </w:t>
      </w:r>
      <w:r>
        <w:rPr>
          <w:b/>
          <w:bCs/>
          <w:sz w:val="28"/>
          <w:szCs w:val="28"/>
          <w:u w:val="single"/>
        </w:rPr>
        <w:t xml:space="preserve">     </w:t>
      </w:r>
    </w:p>
    <w:p>
      <w:pPr>
        <w:spacing w:line="640" w:lineRule="exact"/>
        <w:ind w:firstLine="562"/>
        <w:rPr>
          <w:b/>
          <w:bCs/>
          <w:sz w:val="28"/>
          <w:szCs w:val="28"/>
        </w:rPr>
      </w:pPr>
      <w:r>
        <w:rPr>
          <w:rFonts w:hint="eastAsia"/>
          <w:b/>
          <w:bCs/>
          <w:sz w:val="28"/>
          <w:szCs w:val="28"/>
        </w:rPr>
        <w:t>学位类别：</w:t>
      </w:r>
      <w:r>
        <w:rPr>
          <w:rFonts w:hint="eastAsia"/>
          <w:b/>
          <w:bCs/>
          <w:sz w:val="28"/>
          <w:szCs w:val="28"/>
          <w:u w:val="single"/>
        </w:rPr>
        <w:t xml:space="preserve">                   工学硕士                   </w:t>
      </w:r>
    </w:p>
    <w:p>
      <w:pPr>
        <w:spacing w:line="640" w:lineRule="exact"/>
        <w:ind w:firstLine="562"/>
        <w:rPr>
          <w:b/>
          <w:bCs/>
          <w:sz w:val="28"/>
          <w:szCs w:val="28"/>
        </w:rPr>
      </w:pPr>
      <w:r>
        <w:rPr>
          <w:rFonts w:hint="eastAsia"/>
          <w:b/>
          <w:bCs/>
          <w:sz w:val="28"/>
          <w:szCs w:val="28"/>
        </w:rPr>
        <w:t>学科专业：</w:t>
      </w:r>
      <w:r>
        <w:rPr>
          <w:rFonts w:hint="eastAsia"/>
          <w:b/>
          <w:bCs/>
          <w:sz w:val="28"/>
          <w:szCs w:val="28"/>
          <w:u w:val="single"/>
        </w:rPr>
        <w:t xml:space="preserve">               计算机软件与理论               </w:t>
      </w:r>
    </w:p>
    <w:p>
      <w:pPr>
        <w:spacing w:line="640" w:lineRule="exact"/>
        <w:ind w:firstLine="562"/>
        <w:rPr>
          <w:b/>
          <w:bCs/>
          <w:sz w:val="28"/>
          <w:szCs w:val="28"/>
          <w:u w:val="single"/>
        </w:rPr>
      </w:pPr>
      <w:r>
        <w:rPr>
          <w:b/>
          <w:bCs/>
          <w:sz w:val="28"/>
          <w:szCs w:val="28"/>
        </w:rPr>
        <w:t>培养单位</w:t>
      </w:r>
      <w:r>
        <w:rPr>
          <w:rFonts w:hint="eastAsia"/>
          <w:b/>
          <w:bCs/>
          <w:sz w:val="28"/>
          <w:szCs w:val="28"/>
        </w:rPr>
        <w:t>：</w:t>
      </w:r>
      <w:r>
        <w:rPr>
          <w:rFonts w:hint="eastAsia"/>
          <w:b/>
          <w:bCs/>
          <w:sz w:val="28"/>
          <w:szCs w:val="28"/>
          <w:u w:val="single"/>
        </w:rPr>
        <w:t xml:space="preserve">             中国科学院软件研究所         </w:t>
      </w:r>
      <w:r>
        <w:rPr>
          <w:b/>
          <w:bCs/>
          <w:sz w:val="28"/>
          <w:szCs w:val="28"/>
          <w:u w:val="single"/>
        </w:rPr>
        <w:t xml:space="preserve">   </w:t>
      </w:r>
      <w:r>
        <w:rPr>
          <w:rFonts w:hint="eastAsia"/>
          <w:b/>
          <w:bCs/>
          <w:sz w:val="28"/>
          <w:szCs w:val="28"/>
          <w:u w:val="single"/>
        </w:rPr>
        <w:t xml:space="preserve"> </w:t>
      </w:r>
    </w:p>
    <w:p>
      <w:pPr>
        <w:spacing w:line="480" w:lineRule="exact"/>
        <w:rPr>
          <w:b/>
          <w:bCs/>
          <w:sz w:val="28"/>
        </w:rPr>
      </w:pPr>
    </w:p>
    <w:p>
      <w:pPr>
        <w:spacing w:line="480" w:lineRule="exact"/>
        <w:rPr>
          <w:sz w:val="28"/>
        </w:rPr>
      </w:pPr>
    </w:p>
    <w:p>
      <w:pPr>
        <w:spacing w:line="480" w:lineRule="exact"/>
        <w:rPr>
          <w:sz w:val="28"/>
        </w:rPr>
      </w:pPr>
    </w:p>
    <w:p>
      <w:pPr>
        <w:spacing w:line="480" w:lineRule="exact"/>
        <w:ind w:right="140" w:firstLine="562"/>
        <w:jc w:val="center"/>
        <w:rPr>
          <w:b/>
          <w:bCs/>
          <w:sz w:val="28"/>
        </w:rPr>
      </w:pPr>
      <w:r>
        <w:rPr>
          <w:rFonts w:hint="eastAsia"/>
          <w:b/>
          <w:bCs/>
          <w:sz w:val="28"/>
        </w:rPr>
        <w:t>2021年6月</w:t>
      </w:r>
    </w:p>
    <w:p>
      <w:pPr>
        <w:rPr>
          <w:b/>
          <w:bCs/>
          <w:sz w:val="28"/>
        </w:rPr>
      </w:pPr>
    </w:p>
    <w:p>
      <w:pPr>
        <w:rPr>
          <w:b/>
          <w:bCs/>
          <w:sz w:val="28"/>
        </w:rPr>
      </w:pPr>
    </w:p>
    <w:p>
      <w:pPr>
        <w:rPr>
          <w:b/>
          <w:bCs/>
          <w:sz w:val="28"/>
        </w:rPr>
        <w:sectPr>
          <w:headerReference r:id="rId7" w:type="first"/>
          <w:headerReference r:id="rId5" w:type="default"/>
          <w:footerReference r:id="rId8" w:type="default"/>
          <w:headerReference r:id="rId6" w:type="even"/>
          <w:footerReference r:id="rId9" w:type="even"/>
          <w:pgSz w:w="11906" w:h="16838"/>
          <w:pgMar w:top="1440" w:right="1800" w:bottom="1440" w:left="1800" w:header="851" w:footer="850" w:gutter="0"/>
          <w:pgNumType w:fmt="upperRoman"/>
          <w:cols w:space="425" w:num="1"/>
          <w:docGrid w:type="lines" w:linePitch="312" w:charSpace="0"/>
        </w:sectPr>
      </w:pPr>
    </w:p>
    <w:p>
      <w:pPr>
        <w:spacing w:line="480" w:lineRule="exact"/>
        <w:ind w:firstLine="562"/>
        <w:rPr>
          <w:b/>
          <w:bCs/>
          <w:sz w:val="28"/>
          <w:szCs w:val="28"/>
        </w:rPr>
      </w:pPr>
    </w:p>
    <w:p>
      <w:pPr>
        <w:spacing w:line="480" w:lineRule="exact"/>
        <w:ind w:firstLine="562"/>
        <w:rPr>
          <w:b/>
          <w:bCs/>
          <w:sz w:val="28"/>
          <w:szCs w:val="28"/>
        </w:rPr>
      </w:pPr>
    </w:p>
    <w:p>
      <w:pPr>
        <w:ind w:firstLine="562"/>
        <w:jc w:val="center"/>
        <w:rPr>
          <w:b/>
          <w:bCs/>
          <w:sz w:val="30"/>
          <w:szCs w:val="30"/>
          <w:u w:val="single"/>
        </w:rPr>
      </w:pPr>
      <w:r>
        <w:rPr>
          <w:rFonts w:hint="eastAsia"/>
          <w:b/>
          <w:bCs/>
          <w:sz w:val="30"/>
          <w:szCs w:val="30"/>
          <w:u w:val="single"/>
        </w:rPr>
        <w:t xml:space="preserve">Research and </w:t>
      </w:r>
      <w:r>
        <w:rPr>
          <w:rFonts w:hint="eastAsia"/>
          <w:b/>
          <w:bCs/>
          <w:sz w:val="30"/>
          <w:szCs w:val="30"/>
          <w:u w:val="single"/>
          <w:lang w:val="en-US" w:eastAsia="zh-CN"/>
        </w:rPr>
        <w:t>I</w:t>
      </w:r>
      <w:r>
        <w:rPr>
          <w:rFonts w:hint="eastAsia"/>
          <w:b/>
          <w:bCs/>
          <w:sz w:val="30"/>
          <w:szCs w:val="30"/>
          <w:u w:val="single"/>
        </w:rPr>
        <w:t xml:space="preserve">mplementation of </w:t>
      </w:r>
      <w:r>
        <w:rPr>
          <w:rFonts w:hint="eastAsia"/>
          <w:b/>
          <w:bCs/>
          <w:sz w:val="30"/>
          <w:szCs w:val="30"/>
          <w:u w:val="single"/>
          <w:lang w:val="en-US" w:eastAsia="zh-CN"/>
        </w:rPr>
        <w:t>S</w:t>
      </w:r>
      <w:r>
        <w:rPr>
          <w:rFonts w:hint="eastAsia"/>
          <w:b/>
          <w:bCs/>
          <w:sz w:val="30"/>
          <w:szCs w:val="30"/>
          <w:u w:val="single"/>
        </w:rPr>
        <w:t xml:space="preserve">ecurity </w:t>
      </w:r>
      <w:r>
        <w:rPr>
          <w:rFonts w:hint="eastAsia"/>
          <w:b/>
          <w:bCs/>
          <w:sz w:val="30"/>
          <w:szCs w:val="30"/>
          <w:u w:val="single"/>
          <w:lang w:val="en-US" w:eastAsia="zh-CN"/>
        </w:rPr>
        <w:t>E</w:t>
      </w:r>
      <w:r>
        <w:rPr>
          <w:rFonts w:hint="eastAsia"/>
          <w:b/>
          <w:bCs/>
          <w:sz w:val="30"/>
          <w:szCs w:val="30"/>
          <w:u w:val="single"/>
        </w:rPr>
        <w:t xml:space="preserve">nhancement </w:t>
      </w:r>
      <w:r>
        <w:rPr>
          <w:rFonts w:hint="eastAsia"/>
          <w:b/>
          <w:bCs/>
          <w:sz w:val="30"/>
          <w:szCs w:val="30"/>
          <w:u w:val="single"/>
          <w:lang w:val="en-US" w:eastAsia="zh-CN"/>
        </w:rPr>
        <w:t>F</w:t>
      </w:r>
      <w:r>
        <w:rPr>
          <w:rFonts w:hint="eastAsia"/>
          <w:b/>
          <w:bCs/>
          <w:sz w:val="30"/>
          <w:szCs w:val="30"/>
          <w:u w:val="single"/>
        </w:rPr>
        <w:t xml:space="preserve">ramework </w:t>
      </w:r>
      <w:r>
        <w:rPr>
          <w:rFonts w:hint="eastAsia"/>
          <w:b/>
          <w:bCs/>
          <w:sz w:val="30"/>
          <w:szCs w:val="30"/>
          <w:u w:val="single"/>
          <w:lang w:val="en-US" w:eastAsia="zh-CN"/>
        </w:rPr>
        <w:t>T</w:t>
      </w:r>
      <w:r>
        <w:rPr>
          <w:rFonts w:hint="eastAsia"/>
          <w:b/>
          <w:bCs/>
          <w:sz w:val="30"/>
          <w:szCs w:val="30"/>
          <w:u w:val="single"/>
        </w:rPr>
        <w:t>echnology for Intel SGX SDK</w:t>
      </w:r>
    </w:p>
    <w:p>
      <w:pPr>
        <w:ind w:firstLine="562"/>
        <w:rPr>
          <w:b/>
          <w:bCs/>
          <w:sz w:val="28"/>
          <w:szCs w:val="28"/>
          <w:u w:val="single"/>
        </w:rPr>
      </w:pPr>
    </w:p>
    <w:p>
      <w:pPr>
        <w:ind w:firstLine="562"/>
        <w:rPr>
          <w:b/>
          <w:bCs/>
          <w:sz w:val="28"/>
          <w:szCs w:val="28"/>
          <w:u w:val="single"/>
        </w:rPr>
      </w:pPr>
    </w:p>
    <w:p>
      <w:pPr>
        <w:ind w:firstLine="562"/>
        <w:jc w:val="center"/>
        <w:rPr>
          <w:b/>
          <w:bCs/>
          <w:sz w:val="28"/>
          <w:szCs w:val="28"/>
        </w:rPr>
      </w:pPr>
      <w:r>
        <w:rPr>
          <w:rFonts w:hint="eastAsia"/>
          <w:b/>
          <w:bCs/>
          <w:sz w:val="28"/>
          <w:szCs w:val="28"/>
        </w:rPr>
        <w:t>A t</w:t>
      </w:r>
      <w:r>
        <w:rPr>
          <w:b/>
          <w:bCs/>
          <w:sz w:val="28"/>
          <w:szCs w:val="28"/>
        </w:rPr>
        <w:t>hesis</w:t>
      </w:r>
      <w:r>
        <w:rPr>
          <w:rFonts w:hint="eastAsia"/>
          <w:b/>
          <w:bCs/>
          <w:sz w:val="28"/>
          <w:szCs w:val="28"/>
        </w:rPr>
        <w:t xml:space="preserve"> submitted to</w:t>
      </w:r>
    </w:p>
    <w:p>
      <w:pPr>
        <w:ind w:firstLine="562"/>
        <w:jc w:val="center"/>
        <w:rPr>
          <w:b/>
          <w:bCs/>
          <w:sz w:val="28"/>
          <w:szCs w:val="28"/>
        </w:rPr>
      </w:pPr>
      <w:r>
        <w:rPr>
          <w:b/>
          <w:bCs/>
          <w:sz w:val="28"/>
          <w:szCs w:val="28"/>
        </w:rPr>
        <w:t>University</w:t>
      </w:r>
      <w:r>
        <w:rPr>
          <w:rFonts w:hint="eastAsia"/>
          <w:b/>
          <w:bCs/>
          <w:sz w:val="28"/>
          <w:szCs w:val="28"/>
        </w:rPr>
        <w:t xml:space="preserve"> of Chinese Academy of Sciences</w:t>
      </w:r>
    </w:p>
    <w:p>
      <w:pPr>
        <w:ind w:firstLine="562"/>
        <w:jc w:val="center"/>
        <w:rPr>
          <w:b/>
          <w:bCs/>
          <w:sz w:val="28"/>
          <w:szCs w:val="28"/>
        </w:rPr>
      </w:pPr>
      <w:r>
        <w:rPr>
          <w:rFonts w:hint="eastAsia"/>
          <w:b/>
          <w:bCs/>
          <w:sz w:val="28"/>
          <w:szCs w:val="28"/>
        </w:rPr>
        <w:t>in partial fulfillment of the requirement</w:t>
      </w:r>
    </w:p>
    <w:p>
      <w:pPr>
        <w:ind w:firstLine="562"/>
        <w:jc w:val="center"/>
        <w:rPr>
          <w:b/>
          <w:bCs/>
          <w:sz w:val="28"/>
          <w:szCs w:val="28"/>
        </w:rPr>
      </w:pPr>
      <w:r>
        <w:rPr>
          <w:rFonts w:hint="eastAsia"/>
          <w:b/>
          <w:bCs/>
          <w:sz w:val="28"/>
          <w:szCs w:val="28"/>
        </w:rPr>
        <w:t>for the degree of</w:t>
      </w:r>
    </w:p>
    <w:p>
      <w:pPr>
        <w:ind w:firstLine="562"/>
        <w:jc w:val="center"/>
        <w:rPr>
          <w:b/>
          <w:bCs/>
          <w:sz w:val="28"/>
          <w:szCs w:val="28"/>
        </w:rPr>
      </w:pPr>
      <w:r>
        <w:rPr>
          <w:rFonts w:hint="eastAsia"/>
          <w:b/>
          <w:bCs/>
          <w:sz w:val="28"/>
          <w:szCs w:val="28"/>
        </w:rPr>
        <w:t>Master of Science in Engineering</w:t>
      </w:r>
    </w:p>
    <w:p>
      <w:pPr>
        <w:ind w:firstLine="562"/>
        <w:jc w:val="center"/>
        <w:rPr>
          <w:b/>
          <w:bCs/>
          <w:sz w:val="28"/>
          <w:szCs w:val="28"/>
        </w:rPr>
      </w:pPr>
      <w:r>
        <w:rPr>
          <w:rFonts w:hint="eastAsia"/>
          <w:b/>
          <w:bCs/>
          <w:sz w:val="28"/>
          <w:szCs w:val="28"/>
        </w:rPr>
        <w:t>in Computer Software and Theory</w:t>
      </w:r>
    </w:p>
    <w:p>
      <w:pPr>
        <w:ind w:firstLine="562"/>
        <w:jc w:val="center"/>
        <w:rPr>
          <w:b/>
          <w:bCs/>
          <w:sz w:val="28"/>
          <w:szCs w:val="28"/>
        </w:rPr>
      </w:pPr>
      <w:r>
        <w:rPr>
          <w:rFonts w:hint="eastAsia"/>
          <w:b/>
          <w:bCs/>
          <w:sz w:val="28"/>
          <w:szCs w:val="28"/>
        </w:rPr>
        <w:t>By</w:t>
      </w:r>
    </w:p>
    <w:p>
      <w:pPr>
        <w:ind w:firstLine="562"/>
        <w:jc w:val="center"/>
        <w:rPr>
          <w:b/>
          <w:bCs/>
          <w:sz w:val="28"/>
          <w:szCs w:val="28"/>
        </w:rPr>
      </w:pPr>
      <w:r>
        <w:rPr>
          <w:rFonts w:hint="eastAsia"/>
          <w:b/>
          <w:bCs/>
          <w:sz w:val="28"/>
          <w:szCs w:val="28"/>
        </w:rPr>
        <w:t>CHEN Liheng</w:t>
      </w:r>
    </w:p>
    <w:p>
      <w:pPr>
        <w:ind w:firstLine="562"/>
        <w:jc w:val="center"/>
        <w:rPr>
          <w:b/>
          <w:bCs/>
          <w:sz w:val="28"/>
          <w:szCs w:val="28"/>
        </w:rPr>
      </w:pPr>
    </w:p>
    <w:tbl>
      <w:tblPr>
        <w:tblStyle w:val="17"/>
        <w:tblW w:w="0" w:type="auto"/>
        <w:jc w:val="center"/>
        <w:tblLayout w:type="autofit"/>
        <w:tblCellMar>
          <w:top w:w="0" w:type="dxa"/>
          <w:left w:w="0" w:type="dxa"/>
          <w:bottom w:w="0" w:type="dxa"/>
          <w:right w:w="0" w:type="dxa"/>
        </w:tblCellMar>
      </w:tblPr>
      <w:tblGrid>
        <w:gridCol w:w="1962"/>
        <w:gridCol w:w="6"/>
        <w:gridCol w:w="4304"/>
      </w:tblGrid>
      <w:tr>
        <w:tblPrEx>
          <w:tblCellMar>
            <w:top w:w="0" w:type="dxa"/>
            <w:left w:w="0" w:type="dxa"/>
            <w:bottom w:w="0" w:type="dxa"/>
            <w:right w:w="0" w:type="dxa"/>
          </w:tblCellMar>
        </w:tblPrEx>
        <w:trPr>
          <w:trHeight w:val="540" w:hRule="atLeast"/>
          <w:jc w:val="center"/>
        </w:trPr>
        <w:tc>
          <w:tcPr>
            <w:tcW w:w="0" w:type="auto"/>
            <w:vAlign w:val="center"/>
          </w:tcPr>
          <w:p>
            <w:pPr>
              <w:widowControl/>
              <w:adjustRightInd w:val="0"/>
              <w:snapToGrid w:val="0"/>
              <w:spacing w:line="480" w:lineRule="auto"/>
              <w:ind w:firstLine="562"/>
              <w:jc w:val="right"/>
              <w:rPr>
                <w:rFonts w:eastAsia="黑体"/>
                <w:b/>
                <w:bCs/>
                <w:sz w:val="28"/>
                <w:szCs w:val="28"/>
              </w:rPr>
            </w:pPr>
            <w:r>
              <w:rPr>
                <w:rFonts w:eastAsia="黑体"/>
                <w:b/>
                <w:bCs/>
                <w:sz w:val="28"/>
                <w:szCs w:val="28"/>
              </w:rPr>
              <w:t>Supervisor</w:t>
            </w:r>
            <w:r>
              <w:rPr>
                <w:rFonts w:hint="eastAsia" w:eastAsia="黑体"/>
                <w:b/>
                <w:bCs/>
                <w:sz w:val="28"/>
                <w:szCs w:val="28"/>
              </w:rPr>
              <w:t xml:space="preserve">: </w:t>
            </w:r>
          </w:p>
        </w:tc>
        <w:tc>
          <w:tcPr>
            <w:tcW w:w="0" w:type="auto"/>
            <w:vAlign w:val="center"/>
          </w:tcPr>
          <w:p>
            <w:pPr>
              <w:widowControl/>
              <w:adjustRightInd w:val="0"/>
              <w:snapToGrid w:val="0"/>
              <w:spacing w:line="480" w:lineRule="auto"/>
              <w:ind w:firstLine="562"/>
              <w:rPr>
                <w:rFonts w:eastAsia="黑体"/>
                <w:b/>
                <w:bCs/>
                <w:sz w:val="28"/>
                <w:szCs w:val="28"/>
              </w:rPr>
            </w:pPr>
          </w:p>
        </w:tc>
        <w:tc>
          <w:tcPr>
            <w:tcW w:w="4304" w:type="dxa"/>
            <w:vAlign w:val="center"/>
          </w:tcPr>
          <w:p>
            <w:pPr>
              <w:widowControl/>
              <w:adjustRightInd w:val="0"/>
              <w:snapToGrid w:val="0"/>
              <w:spacing w:line="480" w:lineRule="auto"/>
              <w:ind w:firstLine="281" w:firstLineChars="100"/>
              <w:rPr>
                <w:rFonts w:eastAsia="黑体"/>
                <w:b/>
                <w:bCs/>
                <w:sz w:val="28"/>
                <w:szCs w:val="28"/>
              </w:rPr>
            </w:pPr>
            <w:r>
              <w:rPr>
                <w:rFonts w:hint="eastAsia" w:eastAsia="黑体"/>
                <w:b/>
                <w:bCs/>
                <w:sz w:val="28"/>
                <w:szCs w:val="28"/>
              </w:rPr>
              <w:t xml:space="preserve">Associate </w:t>
            </w:r>
            <w:r>
              <w:rPr>
                <w:rFonts w:eastAsia="黑体"/>
                <w:b/>
                <w:bCs/>
                <w:sz w:val="28"/>
                <w:szCs w:val="28"/>
              </w:rPr>
              <w:t xml:space="preserve">Professor </w:t>
            </w:r>
            <w:r>
              <w:rPr>
                <w:rFonts w:hint="eastAsia" w:eastAsia="黑体"/>
                <w:b/>
                <w:bCs/>
                <w:sz w:val="28"/>
                <w:szCs w:val="28"/>
              </w:rPr>
              <w:t>MA Hengtai</w:t>
            </w:r>
          </w:p>
        </w:tc>
      </w:tr>
      <w:tr>
        <w:tblPrEx>
          <w:tblCellMar>
            <w:top w:w="0" w:type="dxa"/>
            <w:left w:w="0" w:type="dxa"/>
            <w:bottom w:w="0" w:type="dxa"/>
            <w:right w:w="0" w:type="dxa"/>
          </w:tblCellMar>
        </w:tblPrEx>
        <w:trPr>
          <w:trHeight w:val="540" w:hRule="atLeast"/>
          <w:jc w:val="center"/>
        </w:trPr>
        <w:tc>
          <w:tcPr>
            <w:tcW w:w="0" w:type="auto"/>
            <w:vAlign w:val="center"/>
          </w:tcPr>
          <w:p>
            <w:pPr>
              <w:widowControl/>
              <w:adjustRightInd w:val="0"/>
              <w:snapToGrid w:val="0"/>
              <w:spacing w:line="480" w:lineRule="auto"/>
              <w:ind w:firstLine="562"/>
              <w:jc w:val="right"/>
              <w:rPr>
                <w:rFonts w:eastAsia="黑体"/>
                <w:b/>
                <w:bCs/>
                <w:sz w:val="28"/>
                <w:szCs w:val="28"/>
              </w:rPr>
            </w:pPr>
          </w:p>
        </w:tc>
        <w:tc>
          <w:tcPr>
            <w:tcW w:w="0" w:type="auto"/>
            <w:vAlign w:val="center"/>
          </w:tcPr>
          <w:p>
            <w:pPr>
              <w:widowControl/>
              <w:adjustRightInd w:val="0"/>
              <w:snapToGrid w:val="0"/>
              <w:spacing w:line="480" w:lineRule="auto"/>
              <w:ind w:firstLine="562"/>
              <w:rPr>
                <w:rFonts w:eastAsia="黑体"/>
                <w:b/>
                <w:bCs/>
                <w:sz w:val="28"/>
                <w:szCs w:val="28"/>
              </w:rPr>
            </w:pPr>
          </w:p>
        </w:tc>
        <w:tc>
          <w:tcPr>
            <w:tcW w:w="4304" w:type="dxa"/>
            <w:vAlign w:val="center"/>
          </w:tcPr>
          <w:p>
            <w:pPr>
              <w:widowControl/>
              <w:adjustRightInd w:val="0"/>
              <w:snapToGrid w:val="0"/>
              <w:spacing w:line="480" w:lineRule="auto"/>
              <w:ind w:firstLine="562"/>
              <w:rPr>
                <w:rFonts w:eastAsia="黑体"/>
                <w:b/>
                <w:bCs/>
                <w:sz w:val="28"/>
                <w:szCs w:val="28"/>
              </w:rPr>
            </w:pPr>
          </w:p>
        </w:tc>
      </w:tr>
    </w:tbl>
    <w:p>
      <w:pPr>
        <w:ind w:firstLine="562"/>
        <w:jc w:val="center"/>
        <w:rPr>
          <w:b/>
          <w:bCs/>
          <w:color w:val="FF0000"/>
          <w:sz w:val="28"/>
          <w:szCs w:val="28"/>
        </w:rPr>
      </w:pPr>
    </w:p>
    <w:p>
      <w:pPr>
        <w:spacing w:line="600" w:lineRule="exact"/>
        <w:ind w:firstLine="562"/>
        <w:jc w:val="center"/>
        <w:rPr>
          <w:b/>
          <w:bCs/>
          <w:sz w:val="28"/>
          <w:szCs w:val="28"/>
        </w:rPr>
      </w:pPr>
      <w:r>
        <w:rPr>
          <w:rFonts w:hint="eastAsia"/>
          <w:b/>
          <w:bCs/>
          <w:sz w:val="28"/>
          <w:szCs w:val="28"/>
        </w:rPr>
        <w:t>Institute of Software Chinese Academy of Sciences</w:t>
      </w:r>
    </w:p>
    <w:p>
      <w:pPr>
        <w:ind w:firstLine="562"/>
        <w:jc w:val="center"/>
        <w:rPr>
          <w:b/>
          <w:bCs/>
          <w:sz w:val="28"/>
          <w:szCs w:val="28"/>
        </w:rPr>
      </w:pPr>
      <w:r>
        <w:rPr>
          <w:rFonts w:hint="eastAsia"/>
          <w:b/>
          <w:bCs/>
          <w:sz w:val="28"/>
          <w:szCs w:val="28"/>
        </w:rPr>
        <w:t>June 2021</w:t>
      </w:r>
    </w:p>
    <w:p>
      <w:pPr>
        <w:rPr>
          <w:b/>
          <w:bCs/>
          <w:sz w:val="28"/>
          <w:szCs w:val="28"/>
        </w:rPr>
      </w:pPr>
    </w:p>
    <w:p>
      <w:pPr>
        <w:rPr>
          <w:b/>
          <w:bCs/>
          <w:sz w:val="28"/>
          <w:szCs w:val="28"/>
        </w:rPr>
      </w:pPr>
    </w:p>
    <w:p>
      <w:pPr>
        <w:rPr>
          <w:b/>
          <w:bCs/>
          <w:sz w:val="28"/>
          <w:szCs w:val="28"/>
        </w:rPr>
      </w:pPr>
    </w:p>
    <w:p>
      <w:pPr>
        <w:rPr>
          <w:b/>
          <w:sz w:val="28"/>
          <w:szCs w:val="28"/>
        </w:rPr>
      </w:pPr>
    </w:p>
    <w:p>
      <w:pPr>
        <w:rPr>
          <w:b/>
          <w:bCs/>
          <w:sz w:val="28"/>
        </w:rPr>
        <w:sectPr>
          <w:footerReference r:id="rId10" w:type="default"/>
          <w:footerReference r:id="rId11" w:type="even"/>
          <w:pgSz w:w="11906" w:h="16838"/>
          <w:pgMar w:top="1440" w:right="1800" w:bottom="1440" w:left="1800" w:header="851" w:footer="850" w:gutter="0"/>
          <w:pgNumType w:fmt="upperRoman"/>
          <w:cols w:space="425" w:num="1"/>
          <w:docGrid w:type="lines" w:linePitch="312" w:charSpace="0"/>
        </w:sectPr>
      </w:pPr>
    </w:p>
    <w:p>
      <w:pPr>
        <w:spacing w:line="480" w:lineRule="exact"/>
        <w:ind w:right="140" w:firstLine="562"/>
        <w:jc w:val="left"/>
        <w:rPr>
          <w:b/>
          <w:bCs/>
          <w:sz w:val="28"/>
        </w:rPr>
      </w:pPr>
    </w:p>
    <w:p>
      <w:pPr>
        <w:spacing w:line="480" w:lineRule="exact"/>
        <w:ind w:right="140" w:firstLine="562"/>
        <w:jc w:val="left"/>
        <w:rPr>
          <w:b/>
          <w:bCs/>
          <w:sz w:val="28"/>
        </w:rPr>
      </w:pPr>
    </w:p>
    <w:p>
      <w:pPr>
        <w:ind w:firstLine="2923" w:firstLineChars="1040"/>
        <w:rPr>
          <w:rFonts w:eastAsia="黑体"/>
          <w:b/>
          <w:bCs/>
          <w:sz w:val="28"/>
          <w:szCs w:val="28"/>
        </w:rPr>
      </w:pPr>
      <w:r>
        <w:rPr>
          <w:rFonts w:eastAsia="黑体"/>
          <w:b/>
          <w:bCs/>
          <w:sz w:val="28"/>
          <w:szCs w:val="28"/>
        </w:rPr>
        <w:t>中国科学院大学</w:t>
      </w:r>
    </w:p>
    <w:p>
      <w:pPr>
        <w:ind w:firstLine="2361" w:firstLineChars="840"/>
        <w:rPr>
          <w:rFonts w:eastAsia="黑体"/>
          <w:b/>
          <w:bCs/>
          <w:sz w:val="28"/>
          <w:szCs w:val="28"/>
        </w:rPr>
      </w:pPr>
      <w:r>
        <w:rPr>
          <w:rFonts w:eastAsia="黑体"/>
          <w:b/>
          <w:bCs/>
          <w:sz w:val="28"/>
          <w:szCs w:val="28"/>
        </w:rPr>
        <w:t>研究生学位论文原创性声明</w:t>
      </w:r>
    </w:p>
    <w:p>
      <w:pPr>
        <w:ind w:firstLine="2024" w:firstLineChars="840"/>
        <w:rPr>
          <w:b/>
          <w:bCs/>
        </w:rPr>
      </w:pPr>
    </w:p>
    <w:p>
      <w:pPr>
        <w:ind w:firstLine="480" w:firstLineChars="200"/>
      </w:pPr>
      <w:r>
        <w:t>本人郑重声明：所呈交的学位论文是本人在导师的指导下独立进行研究工作所取得的成果。尽我所知，除文中已经注明引用的内容外，本论文不包含任何其他个人或集体已经发表或撰写过的研究成果。对论文所涉及的研究工作做出贡献的其他个人和集体，均已在文中以明确方式标明或致谢。</w:t>
      </w:r>
    </w:p>
    <w:p/>
    <w:p>
      <w:pPr>
        <w:ind w:firstLine="3960" w:firstLineChars="1650"/>
      </w:pPr>
      <w:r>
        <w:t xml:space="preserve">作者签名： </w:t>
      </w:r>
    </w:p>
    <w:p>
      <w:pPr>
        <w:ind w:firstLine="3960" w:firstLineChars="1650"/>
      </w:pPr>
      <w:r>
        <w:t>日    期：</w:t>
      </w:r>
    </w:p>
    <w:p>
      <w:pPr>
        <w:ind w:firstLine="560"/>
        <w:rPr>
          <w:sz w:val="28"/>
        </w:rPr>
      </w:pPr>
    </w:p>
    <w:p>
      <w:pPr>
        <w:ind w:firstLine="560"/>
        <w:rPr>
          <w:sz w:val="28"/>
        </w:rPr>
      </w:pPr>
    </w:p>
    <w:p>
      <w:pPr>
        <w:ind w:firstLine="2923" w:firstLineChars="1040"/>
        <w:rPr>
          <w:rFonts w:eastAsia="黑体"/>
          <w:b/>
          <w:bCs/>
          <w:sz w:val="28"/>
          <w:szCs w:val="28"/>
        </w:rPr>
      </w:pPr>
      <w:r>
        <w:rPr>
          <w:rFonts w:eastAsia="黑体"/>
          <w:b/>
          <w:bCs/>
          <w:sz w:val="28"/>
          <w:szCs w:val="28"/>
        </w:rPr>
        <w:t>中国科学院大学</w:t>
      </w:r>
    </w:p>
    <w:p>
      <w:pPr>
        <w:ind w:firstLine="2642" w:firstLineChars="940"/>
        <w:rPr>
          <w:rFonts w:eastAsia="黑体"/>
          <w:b/>
          <w:bCs/>
          <w:sz w:val="28"/>
          <w:szCs w:val="28"/>
        </w:rPr>
      </w:pPr>
      <w:r>
        <w:rPr>
          <w:rFonts w:eastAsia="黑体"/>
          <w:b/>
          <w:bCs/>
          <w:sz w:val="28"/>
          <w:szCs w:val="28"/>
        </w:rPr>
        <w:t>学位论文授权使用声明</w:t>
      </w:r>
    </w:p>
    <w:p>
      <w:pPr>
        <w:ind w:firstLine="2144" w:firstLineChars="890"/>
        <w:rPr>
          <w:b/>
          <w:bCs/>
        </w:rPr>
      </w:pPr>
    </w:p>
    <w:p>
      <w:pPr>
        <w:ind w:firstLine="480" w:firstLineChars="200"/>
      </w:pPr>
      <w:r>
        <w:t>本人完全了解并同意遵守中国科学院有关保存和使用学位论文的规定，即中国科学院有权保留送交学位论文的副本，允许该论文被查阅，可以</w:t>
      </w:r>
      <w:r>
        <w:rPr>
          <w:rFonts w:hint="eastAsia"/>
        </w:rPr>
        <w:t>按照学术研究公开原则和保护知识产权的原则</w:t>
      </w:r>
      <w:r>
        <w:t>公布该论文的全部或部分内容，可以采用影印、缩印或其他复制手段保存、汇编本学位论文。</w:t>
      </w:r>
    </w:p>
    <w:p>
      <w:pPr>
        <w:ind w:firstLine="480" w:firstLineChars="200"/>
      </w:pPr>
      <w:r>
        <w:t>涉密</w:t>
      </w:r>
      <w:r>
        <w:rPr>
          <w:rFonts w:hint="eastAsia"/>
        </w:rPr>
        <w:t>及延迟公开</w:t>
      </w:r>
      <w:r>
        <w:t>的学位论文在解密</w:t>
      </w:r>
      <w:r>
        <w:rPr>
          <w:rFonts w:hint="eastAsia"/>
        </w:rPr>
        <w:t>或延迟期</w:t>
      </w:r>
      <w:r>
        <w:t>后适用本声明。</w:t>
      </w:r>
    </w:p>
    <w:p/>
    <w:p>
      <w:pPr>
        <w:ind w:firstLine="1440" w:firstLineChars="600"/>
      </w:pPr>
      <w:r>
        <w:t>作者签名：                    导师签名：</w:t>
      </w:r>
    </w:p>
    <w:p>
      <w:pPr>
        <w:ind w:firstLine="1440" w:firstLineChars="600"/>
      </w:pPr>
      <w:r>
        <w:t>日    期：                    日    期：</w:t>
      </w:r>
    </w:p>
    <w:p/>
    <w:p/>
    <w:p/>
    <w:p>
      <w:pPr>
        <w:sectPr>
          <w:footerReference r:id="rId12" w:type="default"/>
          <w:footerReference r:id="rId13" w:type="even"/>
          <w:pgSz w:w="11906" w:h="16838"/>
          <w:pgMar w:top="1440" w:right="1800" w:bottom="1440" w:left="1800" w:header="851" w:footer="850" w:gutter="0"/>
          <w:pgNumType w:fmt="upperRoman"/>
          <w:cols w:space="425" w:num="1"/>
          <w:docGrid w:type="lines" w:linePitch="312" w:charSpace="0"/>
        </w:sectPr>
      </w:pPr>
    </w:p>
    <w:p>
      <w:pPr>
        <w:spacing w:before="480" w:after="360" w:line="240" w:lineRule="auto"/>
        <w:jc w:val="center"/>
        <w:outlineLvl w:val="0"/>
        <w:rPr>
          <w:rFonts w:ascii="黑体" w:hAnsi="黑体" w:eastAsia="黑体" w:cs="黑体"/>
          <w:b/>
          <w:bCs/>
          <w:sz w:val="28"/>
          <w:szCs w:val="28"/>
        </w:rPr>
      </w:pPr>
      <w:bookmarkStart w:id="0" w:name="_Toc16541"/>
      <w:bookmarkStart w:id="1" w:name="_Toc11994"/>
      <w:bookmarkStart w:id="2" w:name="_Toc26722"/>
      <w:bookmarkStart w:id="3" w:name="_Toc15450"/>
      <w:bookmarkStart w:id="4" w:name="_Toc7667"/>
      <w:bookmarkStart w:id="5" w:name="_Toc1154"/>
      <w:bookmarkStart w:id="6" w:name="_Toc1681"/>
      <w:bookmarkStart w:id="7" w:name="_Toc5426"/>
      <w:bookmarkStart w:id="8" w:name="_Toc26995"/>
      <w:bookmarkStart w:id="9" w:name="_Toc4687"/>
      <w:bookmarkStart w:id="10" w:name="_Toc14118"/>
      <w:bookmarkStart w:id="11" w:name="_Toc8767"/>
      <w:bookmarkStart w:id="12" w:name="_Toc28088"/>
      <w:bookmarkStart w:id="13" w:name="_Toc27860"/>
      <w:bookmarkStart w:id="14" w:name="_Toc81"/>
      <w:bookmarkStart w:id="15" w:name="_Toc27098"/>
      <w:bookmarkStart w:id="16" w:name="_Toc27824"/>
      <w:bookmarkStart w:id="17" w:name="_Toc27506"/>
      <w:bookmarkStart w:id="18" w:name="_Toc25597"/>
      <w:bookmarkStart w:id="19" w:name="_Toc9819"/>
      <w:bookmarkStart w:id="20" w:name="_Toc2791"/>
      <w:bookmarkStart w:id="21" w:name="_Toc30535"/>
      <w:bookmarkStart w:id="22" w:name="_Toc935"/>
      <w:bookmarkStart w:id="23" w:name="_Toc26413"/>
      <w:bookmarkStart w:id="24" w:name="_Toc3274"/>
      <w:bookmarkStart w:id="25" w:name="_Toc26117"/>
      <w:bookmarkStart w:id="26" w:name="_Toc25281"/>
      <w:bookmarkStart w:id="27" w:name="_Toc24043"/>
      <w:bookmarkStart w:id="28" w:name="_Toc22043"/>
      <w:bookmarkStart w:id="29" w:name="_Toc7826"/>
      <w:r>
        <w:rPr>
          <w:rFonts w:hint="eastAsia" w:ascii="黑体" w:hAnsi="黑体" w:eastAsia="黑体" w:cs="黑体"/>
          <w:b/>
          <w:bCs/>
          <w:sz w:val="28"/>
          <w:szCs w:val="28"/>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pPr>
        <w:ind w:firstLine="480" w:firstLineChars="200"/>
      </w:pPr>
      <w:r>
        <w:rPr>
          <w:rFonts w:hint="eastAsia"/>
        </w:rPr>
        <w:t>云计算技术不断发展，吸引越来越多的用户将应用程序部署到云平台。云平台上大量</w:t>
      </w:r>
      <w:bookmarkStart w:id="30" w:name="OLE_LINK21"/>
      <w:r>
        <w:rPr>
          <w:rFonts w:hint="eastAsia"/>
        </w:rPr>
        <w:t>应用程序</w:t>
      </w:r>
      <w:bookmarkEnd w:id="30"/>
      <w:r>
        <w:rPr>
          <w:rFonts w:hint="eastAsia"/>
        </w:rPr>
        <w:t>对安全敏感，如何防止攻击者窃取应用程序中敏感内容是云平台的热难点问题。</w:t>
      </w:r>
    </w:p>
    <w:p>
      <w:pPr>
        <w:ind w:firstLine="480" w:firstLineChars="200"/>
      </w:pPr>
      <w:r>
        <w:rPr>
          <w:rFonts w:hint="eastAsia"/>
        </w:rPr>
        <w:t>Intel SGX所提供的用户态可信执行环境Enclave能有效解决云计算等场景中的远程计算安全问题，保护云平台上应用程序敏感内容。Intel SGX主要通过密码学方法和访问控制保障应用程序代码数据的机密性和完整性，抵御Ring0权限攻击。但最近研究表明攻击者能通过Enclave接口和共享资源等攻击面开展攻击，破坏SGX安全性。</w:t>
      </w:r>
      <w:r>
        <w:t>SGX</w:t>
      </w:r>
      <w:r>
        <w:rPr>
          <w:rFonts w:hint="eastAsia"/>
        </w:rPr>
        <w:t xml:space="preserve"> Enclave</w:t>
      </w:r>
      <w:r>
        <w:t>的安全不仅依赖于强隔离</w:t>
      </w:r>
      <w:r>
        <w:rPr>
          <w:rFonts w:hint="eastAsia"/>
        </w:rPr>
        <w:t>机制</w:t>
      </w:r>
      <w:r>
        <w:t>，还</w:t>
      </w:r>
      <w:r>
        <w:rPr>
          <w:rFonts w:hint="eastAsia"/>
        </w:rPr>
        <w:t>依赖于安全可靠的</w:t>
      </w:r>
      <w:r>
        <w:t>软件架构</w:t>
      </w:r>
      <w:r>
        <w:rPr>
          <w:rFonts w:hint="eastAsia"/>
        </w:rPr>
        <w:t>以</w:t>
      </w:r>
      <w:r>
        <w:t>确保安全的接口调用</w:t>
      </w:r>
      <w:r>
        <w:rPr>
          <w:rFonts w:hint="eastAsia"/>
        </w:rPr>
        <w:t>，</w:t>
      </w:r>
      <w:r>
        <w:t>开发者如果忽视接口安全，SGX</w:t>
      </w:r>
      <w:r>
        <w:rPr>
          <w:rFonts w:hint="eastAsia"/>
        </w:rPr>
        <w:t xml:space="preserve"> Enclave将丧失</w:t>
      </w:r>
      <w:r>
        <w:t>安全保障。</w:t>
      </w:r>
    </w:p>
    <w:p>
      <w:pPr>
        <w:ind w:firstLine="480" w:firstLineChars="200"/>
      </w:pPr>
      <w:bookmarkStart w:id="31" w:name="OLE_LINK19"/>
      <w:r>
        <w:rPr>
          <w:rFonts w:hint="eastAsia"/>
        </w:rPr>
        <w:t>本文对SGX安全</w:t>
      </w:r>
      <w:bookmarkEnd w:id="31"/>
      <w:r>
        <w:rPr>
          <w:rFonts w:hint="eastAsia"/>
        </w:rPr>
        <w:t>增强技术展开研究，旨在抵御SGX攻击并提升SGX安全性。本文主要贡献包括：</w:t>
      </w:r>
    </w:p>
    <w:p>
      <w:pPr>
        <w:numPr>
          <w:ilvl w:val="0"/>
          <w:numId w:val="1"/>
        </w:numPr>
      </w:pPr>
      <w:bookmarkStart w:id="32" w:name="OLE_LINK39"/>
      <w:r>
        <w:rPr>
          <w:rFonts w:hint="eastAsia"/>
        </w:rPr>
        <w:t>现有SGX攻击向量能够破坏SGX安全性，但已有防御方案针对性地防御特定SGX攻击向量或攻击面，各个方案遵循的安全准则不统一，至今没有一个方案对SGX安全关键点进行全面分析，导致现有SGX架构难以有效兼容这些防御方案。针对上述问题，本文以SGX软件栈为主刻画了SGX架构及其关键执行路径，总结了其中的安全关键点。</w:t>
      </w:r>
    </w:p>
    <w:p>
      <w:pPr>
        <w:numPr>
          <w:ilvl w:val="0"/>
          <w:numId w:val="1"/>
        </w:numPr>
      </w:pPr>
      <w:r>
        <w:rPr>
          <w:rFonts w:hint="eastAsia"/>
        </w:rPr>
        <w:t>针对</w:t>
      </w:r>
      <w:r>
        <w:rPr>
          <w:rFonts w:hint="eastAsia"/>
          <w:lang w:val="en-US" w:eastAsia="zh-CN"/>
        </w:rPr>
        <w:t>利用SGX SDK无法管控Enclave线程执行序及无法审计安全/非安全上下文切换事件等安全问题透过Enclave接口及共享资源等攻击面的</w:t>
      </w:r>
      <w:r>
        <w:rPr>
          <w:rFonts w:hint="eastAsia"/>
        </w:rPr>
        <w:t>多种SGX攻击向量，本文设计实现了</w:t>
      </w:r>
      <w:r>
        <w:rPr>
          <w:rFonts w:hint="eastAsia"/>
          <w:lang w:val="en-US" w:eastAsia="zh-CN"/>
        </w:rPr>
        <w:t>针对</w:t>
      </w:r>
      <w:r>
        <w:rPr>
          <w:rFonts w:hint="eastAsia"/>
        </w:rPr>
        <w:t>Intel SGX</w:t>
      </w:r>
      <w:r>
        <w:rPr>
          <w:rFonts w:hint="eastAsia"/>
          <w:lang w:val="en-US" w:eastAsia="zh-CN"/>
        </w:rPr>
        <w:t xml:space="preserve"> SDK的</w:t>
      </w:r>
      <w:r>
        <w:rPr>
          <w:rFonts w:hint="eastAsia"/>
        </w:rPr>
        <w:t>安全增强框架（SGX-SEF），审计SGX关键执行路径，兼容已有安全准则防御多种攻击向量。</w:t>
      </w:r>
    </w:p>
    <w:p>
      <w:pPr>
        <w:numPr>
          <w:ilvl w:val="0"/>
          <w:numId w:val="1"/>
        </w:numPr>
      </w:pPr>
      <w:r>
        <w:rPr>
          <w:rFonts w:hint="eastAsia"/>
        </w:rPr>
        <w:t>针对恶意篡改Enclave代码调用顺序的调用排序和并发调用攻击向量，本文提出了“调用顺序白名单”安全策略，基于此策略审计检查关键执行路径，判断调用顺序是否符合安全策略。</w:t>
      </w:r>
    </w:p>
    <w:p>
      <w:pPr>
        <w:numPr>
          <w:ilvl w:val="0"/>
          <w:numId w:val="1"/>
        </w:numPr>
      </w:pPr>
      <w:r>
        <w:rPr>
          <w:rFonts w:hint="eastAsia"/>
        </w:rPr>
        <w:t>实验</w:t>
      </w:r>
      <w:r>
        <w:rPr>
          <w:rFonts w:hint="eastAsia"/>
          <w:lang w:val="en-US" w:eastAsia="zh-CN"/>
        </w:rPr>
        <w:t>验证</w:t>
      </w:r>
      <w:r>
        <w:rPr>
          <w:rFonts w:hint="eastAsia"/>
        </w:rPr>
        <w:t>了SGX-SEF能有效审计SGX关键执行路径，评估了SGX-SEF审计功能引起的性能开销，分析了引起性能开销的原因。</w:t>
      </w:r>
      <w:r>
        <w:rPr>
          <w:rFonts w:hint="eastAsia"/>
          <w:lang w:val="en-US" w:eastAsia="zh-CN"/>
        </w:rPr>
        <w:t>审计功能开销随</w:t>
      </w:r>
      <w:r>
        <w:rPr>
          <w:rFonts w:hint="eastAsia"/>
        </w:rPr>
        <w:t>日志容量</w:t>
      </w:r>
      <w:r>
        <w:rPr>
          <w:rFonts w:hint="eastAsia"/>
          <w:lang w:val="en-US" w:eastAsia="zh-CN"/>
        </w:rPr>
        <w:t>增大而增大</w:t>
      </w:r>
      <w:r>
        <w:rPr>
          <w:rFonts w:hint="eastAsia"/>
        </w:rPr>
        <w:t>，开销包括日志使用维护开销</w:t>
      </w:r>
      <w:r>
        <w:rPr>
          <w:rFonts w:hint="eastAsia"/>
          <w:lang w:val="en-US" w:eastAsia="zh-CN"/>
        </w:rPr>
        <w:t>及</w:t>
      </w:r>
      <w:r>
        <w:rPr>
          <w:rFonts w:hint="eastAsia"/>
        </w:rPr>
        <w:t>缓存未命中开销</w:t>
      </w:r>
      <w:r>
        <w:rPr>
          <w:rFonts w:hint="eastAsia"/>
          <w:lang w:eastAsia="zh-CN"/>
        </w:rPr>
        <w:t>。</w:t>
      </w:r>
      <w:r>
        <w:rPr>
          <w:rFonts w:hint="eastAsia"/>
          <w:lang w:val="en-US" w:eastAsia="zh-CN"/>
        </w:rPr>
        <w:t>当日志大小100项时，审计功能对各种调用方式引起的开销增幅不明显，100项大小的日志足够记录最近的安全事件用于审计检查功能</w:t>
      </w:r>
      <w:r>
        <w:rPr>
          <w:rFonts w:hint="eastAsia"/>
          <w:lang w:eastAsia="zh-CN"/>
        </w:rPr>
        <w:t>。</w:t>
      </w:r>
      <w:r>
        <w:rPr>
          <w:rFonts w:hint="eastAsia"/>
        </w:rPr>
        <w:t>日志容量为100项时</w:t>
      </w:r>
      <w:r>
        <w:rPr>
          <w:rFonts w:hint="eastAsia"/>
          <w:lang w:eastAsia="zh-CN"/>
        </w:rPr>
        <w:t>，</w:t>
      </w:r>
      <w:r>
        <w:rPr>
          <w:rFonts w:hint="eastAsia"/>
          <w:lang w:val="en-US" w:eastAsia="zh-CN"/>
        </w:rPr>
        <w:t>开销</w:t>
      </w:r>
      <w:r>
        <w:rPr>
          <w:rFonts w:hint="eastAsia"/>
        </w:rPr>
        <w:t>增幅在最优情况</w:t>
      </w:r>
      <w:r>
        <w:rPr>
          <w:rFonts w:hint="eastAsia"/>
          <w:lang w:eastAsia="zh-CN"/>
        </w:rPr>
        <w:t>（</w:t>
      </w:r>
      <w:r>
        <w:rPr>
          <w:rFonts w:hint="eastAsia"/>
          <w:lang w:val="en-US" w:eastAsia="zh-CN"/>
        </w:rPr>
        <w:t>Ordinary调用方式</w:t>
      </w:r>
      <w:r>
        <w:rPr>
          <w:rFonts w:hint="eastAsia"/>
          <w:lang w:eastAsia="zh-CN"/>
        </w:rPr>
        <w:t>）</w:t>
      </w:r>
      <w:r>
        <w:rPr>
          <w:rFonts w:hint="eastAsia"/>
        </w:rPr>
        <w:t>下为13%~18%</w:t>
      </w:r>
      <w:r>
        <w:rPr>
          <w:rFonts w:hint="eastAsia"/>
          <w:lang w:eastAsia="zh-CN"/>
        </w:rPr>
        <w:t>。</w:t>
      </w:r>
      <w:r>
        <w:rPr>
          <w:rFonts w:hint="eastAsia"/>
          <w:lang w:val="en-US" w:eastAsia="zh-CN"/>
        </w:rPr>
        <w:t>实验验证</w:t>
      </w:r>
      <w:r>
        <w:rPr>
          <w:rFonts w:hint="eastAsia"/>
        </w:rPr>
        <w:t>了防御者可以在SGX-SEF中灵活部署安全策略以抵御多类攻击向量。</w:t>
      </w:r>
    </w:p>
    <w:bookmarkEnd w:id="32"/>
    <w:p/>
    <w:p>
      <w:pPr>
        <w:ind w:firstLine="482"/>
      </w:pPr>
      <w:r>
        <w:rPr>
          <w:rFonts w:hint="eastAsia"/>
          <w:b/>
          <w:bCs/>
        </w:rPr>
        <w:t>关键词</w:t>
      </w:r>
      <w:r>
        <w:rPr>
          <w:rFonts w:hint="eastAsia"/>
        </w:rPr>
        <w:t>：Intel SGX，安全增强框架，关键执行路径，安全关键点</w:t>
      </w:r>
    </w:p>
    <w:p/>
    <w:p>
      <w:pPr>
        <w:sectPr>
          <w:headerReference r:id="rId14" w:type="default"/>
          <w:footerReference r:id="rId16" w:type="default"/>
          <w:headerReference r:id="rId15" w:type="even"/>
          <w:footerReference r:id="rId17" w:type="even"/>
          <w:pgSz w:w="11906" w:h="16838"/>
          <w:pgMar w:top="1440" w:right="1800" w:bottom="1440" w:left="1800" w:header="851" w:footer="850" w:gutter="0"/>
          <w:pgNumType w:fmt="upperRoman" w:start="1"/>
          <w:cols w:space="425" w:num="1"/>
          <w:docGrid w:type="lines" w:linePitch="312" w:charSpace="0"/>
        </w:sectPr>
      </w:pPr>
    </w:p>
    <w:p>
      <w:pPr>
        <w:spacing w:before="480" w:after="360" w:line="240" w:lineRule="auto"/>
        <w:ind w:firstLine="562"/>
        <w:jc w:val="center"/>
        <w:outlineLvl w:val="0"/>
      </w:pPr>
      <w:bookmarkStart w:id="33" w:name="_Toc5643"/>
      <w:bookmarkStart w:id="34" w:name="_Toc26836"/>
      <w:bookmarkStart w:id="35" w:name="_Toc21937"/>
      <w:bookmarkStart w:id="36" w:name="_Toc10720"/>
      <w:bookmarkStart w:id="37" w:name="_Toc27929"/>
      <w:bookmarkStart w:id="38" w:name="_Toc1085"/>
      <w:bookmarkStart w:id="39" w:name="_Toc20229"/>
      <w:bookmarkStart w:id="40" w:name="_Toc15313"/>
      <w:bookmarkStart w:id="41" w:name="_Toc4700"/>
      <w:bookmarkStart w:id="42" w:name="_Toc4111"/>
      <w:bookmarkStart w:id="43" w:name="_Toc17125"/>
      <w:bookmarkStart w:id="44" w:name="_Toc13055"/>
      <w:bookmarkStart w:id="45" w:name="_Toc10370"/>
      <w:bookmarkStart w:id="46" w:name="_Toc17051"/>
      <w:bookmarkStart w:id="47" w:name="_Toc28444"/>
      <w:bookmarkStart w:id="48" w:name="_Toc7834"/>
      <w:bookmarkStart w:id="49" w:name="_Toc24656"/>
      <w:bookmarkStart w:id="50" w:name="_Toc10708"/>
      <w:bookmarkStart w:id="51" w:name="_Toc2588"/>
      <w:bookmarkStart w:id="52" w:name="_Toc28895"/>
      <w:bookmarkStart w:id="53" w:name="_Toc17084"/>
      <w:bookmarkStart w:id="54" w:name="_Toc9106"/>
      <w:bookmarkStart w:id="55" w:name="_Toc19010"/>
      <w:bookmarkStart w:id="56" w:name="_Toc32165"/>
      <w:bookmarkStart w:id="57" w:name="_Toc17409"/>
      <w:bookmarkStart w:id="58" w:name="_Toc21080"/>
      <w:bookmarkStart w:id="59" w:name="_Toc1152"/>
      <w:bookmarkStart w:id="60" w:name="_Toc26239"/>
      <w:bookmarkStart w:id="61" w:name="_Toc5424"/>
      <w:bookmarkStart w:id="62" w:name="_Toc27871"/>
      <w:r>
        <w:rPr>
          <w:rFonts w:hint="eastAsia"/>
          <w:b/>
          <w:bCs/>
          <w:sz w:val="28"/>
          <w:szCs w:val="28"/>
        </w:rPr>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pPr>
        <w:ind w:firstLine="480" w:firstLineChars="200"/>
      </w:pPr>
      <w:r>
        <w:rPr>
          <w:rFonts w:hint="eastAsia"/>
        </w:rPr>
        <w:t>The continuous development of cloud computing technology attracts more and more users to deploy applications on cloud platforms. A large number of applications on cloud platforms are sensitive to security. How to prevent attackers from stealing sensitive content in applications is a hot and difficult problem for cloud platforms.</w:t>
      </w:r>
    </w:p>
    <w:p>
      <w:pPr>
        <w:ind w:firstLine="480" w:firstLineChars="200"/>
      </w:pPr>
      <w:r>
        <w:rPr>
          <w:rFonts w:hint="eastAsia"/>
        </w:rPr>
        <w:t>The user-mode trusted execution environment "Enclave" provided by Intel SGX can effectively solve remote computing security issues in cloud computing and other scenarios, and protect sensitive content of applications on the cloud platform. Intel SGX mainly protects the confidentiality and integrity of application code data through cryptographic methods and access control, and resists Ring0 permission attacks. However, recent studies have shown that attackers can attack through the Enclave interface, shared resources and other attack surfaces to undermine the security of SGX. The security of SGX Enclave not only relies on a strong isolation mechanism, but also relies on a secure and reliable software architecture to ensure secure interface calls. If developers ignore interface security, SGX Enclave will lose security guarantees.</w:t>
      </w:r>
    </w:p>
    <w:p>
      <w:pPr>
        <w:ind w:firstLine="480" w:firstLineChars="200"/>
      </w:pPr>
      <w:r>
        <w:rPr>
          <w:rFonts w:hint="eastAsia"/>
        </w:rPr>
        <w:t>This paper conducts research on SGX security enhancement technology, which aims to resist SGX attacks and improve SGX security. The main contributions of this paper include:</w:t>
      </w:r>
    </w:p>
    <w:p>
      <w:pPr>
        <w:numPr>
          <w:ilvl w:val="0"/>
          <w:numId w:val="2"/>
        </w:numPr>
      </w:pPr>
      <w:r>
        <w:rPr>
          <w:rFonts w:hint="eastAsia"/>
        </w:rPr>
        <w:t>Existing SGX attack vectors can undermine the security of SGX, but there are existing defense schemes to specifically defend against specific SGX attack vectors or attack surfaces. The security principles followed by each scheme are not uniform. So far, there is no scheme to conduct a comprehensive analysis of SGX security critical points, which makes it difficult for the existing SGX architecture to effectively compatible with these defense schemes. In response to the above problems, this paper analyses the SGX architecture and its critical execution paths mainly about SGX software stack, and summarizes the security critical points.</w:t>
      </w:r>
    </w:p>
    <w:p>
      <w:pPr>
        <w:numPr>
          <w:ilvl w:val="0"/>
          <w:numId w:val="2"/>
        </w:numPr>
      </w:pPr>
      <w:r>
        <w:rPr>
          <w:rFonts w:hint="eastAsia"/>
        </w:rPr>
        <w:t xml:space="preserve">In response to security issues such as </w:t>
      </w:r>
      <w:r>
        <w:rPr>
          <w:rFonts w:hint="eastAsia"/>
          <w:lang w:val="en-US" w:eastAsia="zh-CN"/>
        </w:rPr>
        <w:t xml:space="preserve">SGX SDK's </w:t>
      </w:r>
      <w:r>
        <w:rPr>
          <w:rFonts w:hint="eastAsia"/>
        </w:rPr>
        <w:t xml:space="preserve">inability to control Enclave thread execution </w:t>
      </w:r>
      <w:r>
        <w:rPr>
          <w:rFonts w:hint="eastAsia"/>
          <w:lang w:val="en-US" w:eastAsia="zh-CN"/>
        </w:rPr>
        <w:t xml:space="preserve">order </w:t>
      </w:r>
      <w:r>
        <w:rPr>
          <w:rFonts w:hint="eastAsia"/>
        </w:rPr>
        <w:t>and the inability to audit secur</w:t>
      </w:r>
      <w:r>
        <w:rPr>
          <w:rFonts w:hint="eastAsia"/>
          <w:lang w:val="en-US" w:eastAsia="zh-CN"/>
        </w:rPr>
        <w:t>e</w:t>
      </w:r>
      <w:r>
        <w:rPr>
          <w:rFonts w:hint="eastAsia"/>
        </w:rPr>
        <w:t xml:space="preserve">/non-secure context switching events, </w:t>
      </w:r>
      <w:r>
        <w:rPr>
          <w:rFonts w:hint="eastAsia"/>
          <w:lang w:val="en-US" w:eastAsia="zh-CN"/>
        </w:rPr>
        <w:t xml:space="preserve">which are leveraged by </w:t>
      </w:r>
      <w:r>
        <w:rPr>
          <w:rFonts w:hint="eastAsia"/>
        </w:rPr>
        <w:t xml:space="preserve">various SGX attack vectors </w:t>
      </w:r>
      <w:r>
        <w:rPr>
          <w:rFonts w:hint="eastAsia"/>
          <w:lang w:val="en-US" w:eastAsia="zh-CN"/>
        </w:rPr>
        <w:t xml:space="preserve">to attack </w:t>
      </w:r>
      <w:r>
        <w:rPr>
          <w:rFonts w:hint="eastAsia"/>
        </w:rPr>
        <w:t>through the attack surface</w:t>
      </w:r>
      <w:r>
        <w:rPr>
          <w:rFonts w:hint="eastAsia"/>
          <w:lang w:val="en-US" w:eastAsia="zh-CN"/>
        </w:rPr>
        <w:t>s</w:t>
      </w:r>
      <w:r>
        <w:rPr>
          <w:rFonts w:hint="eastAsia"/>
        </w:rPr>
        <w:t xml:space="preserve"> of Enclave interfaces and shared resources</w:t>
      </w:r>
      <w:r>
        <w:rPr>
          <w:rFonts w:hint="eastAsia"/>
          <w:lang w:val="en-US" w:eastAsia="zh-CN"/>
        </w:rPr>
        <w:t>,</w:t>
      </w:r>
      <w:r>
        <w:rPr>
          <w:rFonts w:hint="eastAsia"/>
        </w:rPr>
        <w:t xml:space="preserve"> this paper designs and implements Security </w:t>
      </w:r>
      <w:r>
        <w:rPr>
          <w:rFonts w:hint="eastAsia"/>
          <w:lang w:val="en-US" w:eastAsia="zh-CN"/>
        </w:rPr>
        <w:t>E</w:t>
      </w:r>
      <w:r>
        <w:rPr>
          <w:rFonts w:hint="eastAsia"/>
        </w:rPr>
        <w:t xml:space="preserve">nhancement </w:t>
      </w:r>
      <w:r>
        <w:rPr>
          <w:rFonts w:hint="eastAsia"/>
          <w:lang w:val="en-US" w:eastAsia="zh-CN"/>
        </w:rPr>
        <w:t>F</w:t>
      </w:r>
      <w:r>
        <w:rPr>
          <w:rFonts w:hint="eastAsia"/>
        </w:rPr>
        <w:t>ramework for Intel SGX SDK (SGX-SEF), audits the SGX critical execution path, and is compatible with existing security principles to defend against multiple attack vectors.</w:t>
      </w:r>
    </w:p>
    <w:p>
      <w:pPr>
        <w:numPr>
          <w:ilvl w:val="0"/>
          <w:numId w:val="2"/>
        </w:numPr>
      </w:pPr>
      <w:r>
        <w:rPr>
          <w:rFonts w:hint="eastAsia"/>
        </w:rPr>
        <w:t>Aiming at the Call Permutation and Concurrent Calls attack vectors that maliciously tamper with the calling sequence/timing of Enclave code, this paper proposes the "calling sequence/timing white-list" security strategy, auditing and checking the critical execution paths, and judging whether the calling sequence/timing complies with this security strategy.</w:t>
      </w:r>
    </w:p>
    <w:p>
      <w:pPr>
        <w:numPr>
          <w:ilvl w:val="0"/>
          <w:numId w:val="2"/>
        </w:numPr>
      </w:pPr>
      <w:r>
        <w:rPr>
          <w:rFonts w:hint="eastAsia"/>
        </w:rPr>
        <w:t xml:space="preserve">The experiments </w:t>
      </w:r>
      <w:r>
        <w:rPr>
          <w:rFonts w:hint="eastAsia"/>
          <w:lang w:val="en-US" w:eastAsia="zh-CN"/>
        </w:rPr>
        <w:t>verify</w:t>
      </w:r>
      <w:r>
        <w:rPr>
          <w:rFonts w:hint="eastAsia"/>
        </w:rPr>
        <w:t xml:space="preserve"> that SGX-SEF can effectively audit the critical execution path of SGX, evaluates the performance overhead caused by the SGX-SEF audit function, and analyzes the reasons for the performance overhead.</w:t>
      </w:r>
      <w:r>
        <w:rPr>
          <w:rFonts w:hint="eastAsia"/>
          <w:lang w:val="en-US" w:eastAsia="zh-CN"/>
        </w:rPr>
        <w:t xml:space="preserve"> </w:t>
      </w:r>
      <w:r>
        <w:rPr>
          <w:rFonts w:hint="eastAsia"/>
        </w:rPr>
        <w:t xml:space="preserve">The audit function overhead increases as the log capacity increases, and the overhead includes log maintenance overhead and cache miss overhead. When the log size is 100 items, the audit function will not cause significant overhead for various </w:t>
      </w:r>
      <w:r>
        <w:rPr>
          <w:rFonts w:hint="eastAsia"/>
          <w:lang w:val="en-US" w:eastAsia="zh-CN"/>
        </w:rPr>
        <w:t xml:space="preserve">calling </w:t>
      </w:r>
      <w:r>
        <w:rPr>
          <w:rFonts w:hint="eastAsia"/>
        </w:rPr>
        <w:t>methods. A log size of 100 items is enough to record the most recent security events for the audit check function. When the log capacity is 100 items, the overhead increase is 13%-18% under the optimal situation (Ordinary call method).</w:t>
      </w:r>
      <w:r>
        <w:rPr>
          <w:rFonts w:hint="eastAsia"/>
          <w:lang w:val="en-US" w:eastAsia="zh-CN"/>
        </w:rPr>
        <w:t xml:space="preserve"> </w:t>
      </w:r>
      <w:r>
        <w:rPr>
          <w:rFonts w:hint="eastAsia"/>
        </w:rPr>
        <w:t xml:space="preserve">The experiments also </w:t>
      </w:r>
      <w:r>
        <w:rPr>
          <w:rFonts w:hint="eastAsia"/>
          <w:lang w:val="en-US" w:eastAsia="zh-CN"/>
        </w:rPr>
        <w:t>verify</w:t>
      </w:r>
      <w:r>
        <w:rPr>
          <w:rFonts w:hint="eastAsia"/>
        </w:rPr>
        <w:t xml:space="preserve"> that the defender can flexibly deploy security strategies in SGX-SEF to resist multiple attack vectors.</w:t>
      </w:r>
    </w:p>
    <w:p>
      <w:pPr>
        <w:ind w:firstLine="482"/>
        <w:rPr>
          <w:rFonts w:hint="eastAsia"/>
          <w:b/>
          <w:bCs/>
        </w:rPr>
      </w:pPr>
    </w:p>
    <w:p>
      <w:pPr>
        <w:ind w:firstLine="482"/>
      </w:pPr>
      <w:r>
        <w:rPr>
          <w:rFonts w:hint="eastAsia"/>
          <w:b/>
          <w:bCs/>
        </w:rPr>
        <w:t>Key Words</w:t>
      </w:r>
      <w:r>
        <w:rPr>
          <w:rFonts w:hint="eastAsia"/>
        </w:rPr>
        <w:t>: Intel SGX, Security Enhancement Framework, Critical Execution Path, Security Critical Point</w:t>
      </w:r>
    </w:p>
    <w:p>
      <w:pPr>
        <w:ind w:firstLine="482"/>
      </w:pPr>
    </w:p>
    <w:p>
      <w:pPr>
        <w:ind w:firstLine="482"/>
        <w:sectPr>
          <w:headerReference r:id="rId18" w:type="default"/>
          <w:footerReference r:id="rId19" w:type="default"/>
          <w:footerReference r:id="rId20" w:type="even"/>
          <w:pgSz w:w="11906" w:h="16838"/>
          <w:pgMar w:top="1440" w:right="1800" w:bottom="1440" w:left="1800" w:header="851" w:footer="850" w:gutter="0"/>
          <w:pgNumType w:fmt="upperRoman"/>
          <w:cols w:space="425" w:num="1"/>
          <w:docGrid w:type="lines" w:linePitch="312" w:charSpace="0"/>
        </w:sectPr>
      </w:pPr>
    </w:p>
    <w:p>
      <w:pPr>
        <w:spacing w:before="480" w:after="360" w:line="240" w:lineRule="auto"/>
        <w:ind w:firstLine="562"/>
        <w:jc w:val="center"/>
        <w:outlineLvl w:val="0"/>
        <w:rPr>
          <w:rFonts w:ascii="黑体" w:hAnsi="黑体" w:eastAsia="黑体" w:cs="黑体"/>
          <w:b/>
          <w:bCs/>
          <w:sz w:val="28"/>
          <w:szCs w:val="28"/>
        </w:rPr>
      </w:pPr>
      <w:bookmarkStart w:id="63" w:name="_Toc5839"/>
      <w:bookmarkStart w:id="64" w:name="_Toc12824"/>
      <w:bookmarkStart w:id="65" w:name="_Toc20517"/>
      <w:bookmarkStart w:id="66" w:name="_Toc29519"/>
      <w:bookmarkStart w:id="67" w:name="_Toc8935"/>
      <w:bookmarkStart w:id="68" w:name="_Toc6854"/>
      <w:bookmarkStart w:id="69" w:name="_Toc30204"/>
      <w:bookmarkStart w:id="70" w:name="_Toc13812"/>
      <w:bookmarkStart w:id="71" w:name="_Toc16479"/>
      <w:bookmarkStart w:id="72" w:name="_Toc25028"/>
      <w:bookmarkStart w:id="73" w:name="_Toc5208"/>
      <w:bookmarkStart w:id="74" w:name="_Toc14716"/>
      <w:bookmarkStart w:id="75" w:name="_Toc3124"/>
      <w:bookmarkStart w:id="76" w:name="_Toc28916"/>
      <w:bookmarkStart w:id="77" w:name="_Toc5562"/>
      <w:bookmarkStart w:id="78" w:name="_Toc24856"/>
      <w:bookmarkStart w:id="79" w:name="_Toc21002"/>
      <w:bookmarkStart w:id="80" w:name="_Toc15106"/>
      <w:bookmarkStart w:id="81" w:name="_Toc13998"/>
      <w:bookmarkStart w:id="82" w:name="_Toc1479"/>
      <w:bookmarkStart w:id="83" w:name="_Toc585"/>
      <w:bookmarkStart w:id="84" w:name="_Toc26393"/>
      <w:bookmarkStart w:id="85" w:name="_Toc29503"/>
      <w:bookmarkStart w:id="86" w:name="_Toc28406"/>
      <w:bookmarkStart w:id="87" w:name="_Toc31012"/>
      <w:bookmarkStart w:id="88" w:name="_Toc10870"/>
      <w:bookmarkStart w:id="89" w:name="_Toc586"/>
      <w:bookmarkStart w:id="90" w:name="_Toc9659"/>
      <w:bookmarkStart w:id="91" w:name="_Toc10744"/>
      <w:r>
        <w:rPr>
          <w:rFonts w:hint="eastAsia" w:ascii="黑体" w:hAnsi="黑体" w:eastAsia="黑体" w:cs="黑体"/>
          <w:b/>
          <w:bCs/>
          <w:sz w:val="28"/>
          <w:szCs w:val="28"/>
        </w:rPr>
        <w:t>目　录</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pPr>
        <w:pStyle w:val="13"/>
        <w:tabs>
          <w:tab w:val="right" w:leader="dot" w:pos="8306"/>
        </w:tabs>
      </w:pPr>
      <w:r>
        <w:rPr>
          <w:b/>
          <w:bCs/>
        </w:rPr>
        <w:fldChar w:fldCharType="begin"/>
      </w:r>
      <w:r>
        <w:rPr>
          <w:b/>
          <w:bCs/>
        </w:rPr>
        <w:instrText xml:space="preserve">TOC \o "1-3" \h \u </w:instrText>
      </w:r>
      <w:r>
        <w:rPr>
          <w:b/>
          <w:bCs/>
        </w:rPr>
        <w:fldChar w:fldCharType="separate"/>
      </w:r>
      <w:r>
        <w:rPr>
          <w:rFonts w:eastAsia="黑体"/>
        </w:rPr>
        <w:fldChar w:fldCharType="begin"/>
      </w:r>
      <w:r>
        <w:rPr>
          <w:rFonts w:eastAsia="黑体"/>
        </w:rPr>
        <w:instrText xml:space="preserve"> HYPERLINK \l _Toc3721 </w:instrText>
      </w:r>
      <w:r>
        <w:rPr>
          <w:rFonts w:eastAsia="黑体"/>
        </w:rPr>
        <w:fldChar w:fldCharType="separate"/>
      </w:r>
      <w:r>
        <w:rPr>
          <w:rFonts w:hint="eastAsia"/>
        </w:rPr>
        <w:t>第一章　引言</w:t>
      </w:r>
      <w:r>
        <w:tab/>
      </w:r>
      <w:r>
        <w:fldChar w:fldCharType="begin"/>
      </w:r>
      <w:r>
        <w:instrText xml:space="preserve"> PAGEREF _Toc3721 \h </w:instrText>
      </w:r>
      <w:r>
        <w:fldChar w:fldCharType="separate"/>
      </w:r>
      <w:r>
        <w:t>1</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_Toc1393 </w:instrText>
      </w:r>
      <w:r>
        <w:rPr>
          <w:rFonts w:eastAsia="黑体"/>
        </w:rPr>
        <w:fldChar w:fldCharType="separate"/>
      </w:r>
      <w:r>
        <w:rPr>
          <w:rFonts w:hint="eastAsia"/>
        </w:rPr>
        <w:t>1.1　选题背景和意义</w:t>
      </w:r>
      <w:r>
        <w:tab/>
      </w:r>
      <w:r>
        <w:fldChar w:fldCharType="begin"/>
      </w:r>
      <w:r>
        <w:instrText xml:space="preserve"> PAGEREF _Toc1393 \h </w:instrText>
      </w:r>
      <w:r>
        <w:fldChar w:fldCharType="separate"/>
      </w:r>
      <w:r>
        <w:t>1</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_Toc1039 </w:instrText>
      </w:r>
      <w:r>
        <w:rPr>
          <w:rFonts w:eastAsia="黑体"/>
        </w:rPr>
        <w:fldChar w:fldCharType="separate"/>
      </w:r>
      <w:r>
        <w:rPr>
          <w:rFonts w:hint="eastAsia"/>
        </w:rPr>
        <w:t>1.2　相关研究概述</w:t>
      </w:r>
      <w:r>
        <w:tab/>
      </w:r>
      <w:r>
        <w:fldChar w:fldCharType="begin"/>
      </w:r>
      <w:r>
        <w:instrText xml:space="preserve"> PAGEREF _Toc1039 \h </w:instrText>
      </w:r>
      <w:r>
        <w:fldChar w:fldCharType="separate"/>
      </w:r>
      <w:r>
        <w:t>2</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_Toc9831 </w:instrText>
      </w:r>
      <w:r>
        <w:rPr>
          <w:rFonts w:eastAsia="黑体"/>
        </w:rPr>
        <w:fldChar w:fldCharType="separate"/>
      </w:r>
      <w:r>
        <w:rPr>
          <w:rFonts w:hint="eastAsia"/>
        </w:rPr>
        <w:t>1.3　主要研究内容和贡献</w:t>
      </w:r>
      <w:r>
        <w:tab/>
      </w:r>
      <w:r>
        <w:fldChar w:fldCharType="begin"/>
      </w:r>
      <w:r>
        <w:instrText xml:space="preserve"> PAGEREF _Toc9831 \h </w:instrText>
      </w:r>
      <w:r>
        <w:fldChar w:fldCharType="separate"/>
      </w:r>
      <w:r>
        <w:t>3</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_Toc19510 </w:instrText>
      </w:r>
      <w:r>
        <w:rPr>
          <w:rFonts w:eastAsia="黑体"/>
        </w:rPr>
        <w:fldChar w:fldCharType="separate"/>
      </w:r>
      <w:r>
        <w:rPr>
          <w:rFonts w:hint="eastAsia"/>
          <w:szCs w:val="24"/>
        </w:rPr>
        <w:t>1.4</w:t>
      </w:r>
      <w:r>
        <w:rPr>
          <w:rFonts w:hint="eastAsia"/>
        </w:rPr>
        <w:t>　</w:t>
      </w:r>
      <w:r>
        <w:rPr>
          <w:rFonts w:hint="eastAsia"/>
          <w:szCs w:val="24"/>
        </w:rPr>
        <w:t>论文结构</w:t>
      </w:r>
      <w:r>
        <w:tab/>
      </w:r>
      <w:r>
        <w:fldChar w:fldCharType="begin"/>
      </w:r>
      <w:r>
        <w:instrText xml:space="preserve"> PAGEREF _Toc19510 \h </w:instrText>
      </w:r>
      <w:r>
        <w:fldChar w:fldCharType="separate"/>
      </w:r>
      <w:r>
        <w:t>5</w:t>
      </w:r>
      <w:r>
        <w:fldChar w:fldCharType="end"/>
      </w:r>
      <w:r>
        <w:rPr>
          <w:rFonts w:eastAsia="黑体"/>
        </w:rPr>
        <w:fldChar w:fldCharType="end"/>
      </w:r>
    </w:p>
    <w:p>
      <w:pPr>
        <w:pStyle w:val="13"/>
        <w:tabs>
          <w:tab w:val="right" w:leader="dot" w:pos="8306"/>
        </w:tabs>
      </w:pPr>
      <w:r>
        <w:rPr>
          <w:rFonts w:eastAsia="黑体"/>
        </w:rPr>
        <w:fldChar w:fldCharType="begin"/>
      </w:r>
      <w:r>
        <w:rPr>
          <w:rFonts w:eastAsia="黑体"/>
        </w:rPr>
        <w:instrText xml:space="preserve"> HYPERLINK \l _Toc15862 </w:instrText>
      </w:r>
      <w:r>
        <w:rPr>
          <w:rFonts w:eastAsia="黑体"/>
        </w:rPr>
        <w:fldChar w:fldCharType="separate"/>
      </w:r>
      <w:r>
        <w:rPr>
          <w:rFonts w:hint="eastAsia"/>
        </w:rPr>
        <w:t>第二章　</w:t>
      </w:r>
      <w:r>
        <w:t>国内外相关研究</w:t>
      </w:r>
      <w:r>
        <w:rPr>
          <w:rFonts w:hint="eastAsia"/>
        </w:rPr>
        <w:t>现状</w:t>
      </w:r>
      <w:r>
        <w:tab/>
      </w:r>
      <w:r>
        <w:fldChar w:fldCharType="begin"/>
      </w:r>
      <w:r>
        <w:instrText xml:space="preserve"> PAGEREF _Toc15862 \h </w:instrText>
      </w:r>
      <w:r>
        <w:fldChar w:fldCharType="separate"/>
      </w:r>
      <w:r>
        <w:t>7</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_Toc25121 </w:instrText>
      </w:r>
      <w:r>
        <w:rPr>
          <w:rFonts w:eastAsia="黑体"/>
        </w:rPr>
        <w:fldChar w:fldCharType="separate"/>
      </w:r>
      <w:r>
        <w:rPr>
          <w:rFonts w:hint="eastAsia"/>
        </w:rPr>
        <w:t xml:space="preserve">2.1　Intel </w:t>
      </w:r>
      <w:r>
        <w:rPr>
          <w:rFonts w:hint="eastAsia"/>
          <w:lang w:val="en-US" w:eastAsia="zh-CN"/>
        </w:rPr>
        <w:t>SGX</w:t>
      </w:r>
      <w:r>
        <w:tab/>
      </w:r>
      <w:r>
        <w:fldChar w:fldCharType="begin"/>
      </w:r>
      <w:r>
        <w:instrText xml:space="preserve"> PAGEREF _Toc25121 \h </w:instrText>
      </w:r>
      <w:r>
        <w:fldChar w:fldCharType="separate"/>
      </w:r>
      <w:r>
        <w:t>7</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_Toc24717 </w:instrText>
      </w:r>
      <w:r>
        <w:rPr>
          <w:rFonts w:eastAsia="黑体"/>
        </w:rPr>
        <w:fldChar w:fldCharType="separate"/>
      </w:r>
      <w:r>
        <w:rPr>
          <w:rFonts w:hint="eastAsia"/>
        </w:rPr>
        <w:t>2.1.1　Intel SGX编程模型</w:t>
      </w:r>
      <w:r>
        <w:tab/>
      </w:r>
      <w:r>
        <w:fldChar w:fldCharType="begin"/>
      </w:r>
      <w:r>
        <w:instrText xml:space="preserve"> PAGEREF _Toc24717 \h </w:instrText>
      </w:r>
      <w:r>
        <w:fldChar w:fldCharType="separate"/>
      </w:r>
      <w:r>
        <w:t>8</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_Toc24310 </w:instrText>
      </w:r>
      <w:r>
        <w:rPr>
          <w:rFonts w:eastAsia="黑体"/>
        </w:rPr>
        <w:fldChar w:fldCharType="separate"/>
      </w:r>
      <w:r>
        <w:rPr>
          <w:rFonts w:hint="eastAsia"/>
        </w:rPr>
        <w:t>2.1.2　Intel SGX软硬件架构</w:t>
      </w:r>
      <w:r>
        <w:tab/>
      </w:r>
      <w:r>
        <w:fldChar w:fldCharType="begin"/>
      </w:r>
      <w:r>
        <w:instrText xml:space="preserve"> PAGEREF _Toc24310 \h </w:instrText>
      </w:r>
      <w:r>
        <w:fldChar w:fldCharType="separate"/>
      </w:r>
      <w:r>
        <w:t>8</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_Toc1893 </w:instrText>
      </w:r>
      <w:r>
        <w:rPr>
          <w:rFonts w:eastAsia="黑体"/>
        </w:rPr>
        <w:fldChar w:fldCharType="separate"/>
      </w:r>
      <w:r>
        <w:rPr>
          <w:rFonts w:hint="eastAsia"/>
        </w:rPr>
        <w:t>2.1.3　SGX Enclave安全机制</w:t>
      </w:r>
      <w:r>
        <w:tab/>
      </w:r>
      <w:r>
        <w:fldChar w:fldCharType="begin"/>
      </w:r>
      <w:r>
        <w:instrText xml:space="preserve"> PAGEREF _Toc1893 \h </w:instrText>
      </w:r>
      <w:r>
        <w:fldChar w:fldCharType="separate"/>
      </w:r>
      <w:r>
        <w:t>10</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_Toc12550 </w:instrText>
      </w:r>
      <w:r>
        <w:rPr>
          <w:rFonts w:eastAsia="黑体"/>
        </w:rPr>
        <w:fldChar w:fldCharType="separate"/>
      </w:r>
      <w:r>
        <w:rPr>
          <w:rFonts w:hint="eastAsia"/>
          <w:szCs w:val="24"/>
        </w:rPr>
        <w:t>2.2</w:t>
      </w:r>
      <w:r>
        <w:rPr>
          <w:rFonts w:hint="eastAsia"/>
        </w:rPr>
        <w:t>　SGX攻击</w:t>
      </w:r>
      <w:r>
        <w:rPr>
          <w:rFonts w:hint="eastAsia"/>
          <w:szCs w:val="24"/>
        </w:rPr>
        <w:t>现状</w:t>
      </w:r>
      <w:r>
        <w:tab/>
      </w:r>
      <w:r>
        <w:fldChar w:fldCharType="begin"/>
      </w:r>
      <w:r>
        <w:instrText xml:space="preserve"> PAGEREF _Toc12550 \h </w:instrText>
      </w:r>
      <w:r>
        <w:fldChar w:fldCharType="separate"/>
      </w:r>
      <w:r>
        <w:t>11</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_Toc24963 </w:instrText>
      </w:r>
      <w:r>
        <w:rPr>
          <w:rFonts w:eastAsia="黑体"/>
        </w:rPr>
        <w:fldChar w:fldCharType="separate"/>
      </w:r>
      <w:r>
        <w:rPr>
          <w:rFonts w:hint="eastAsia"/>
        </w:rPr>
        <w:t>2.2.1　源于Enclave开发中的安全问题</w:t>
      </w:r>
      <w:r>
        <w:tab/>
      </w:r>
      <w:r>
        <w:fldChar w:fldCharType="begin"/>
      </w:r>
      <w:r>
        <w:instrText xml:space="preserve"> PAGEREF _Toc24963 \h </w:instrText>
      </w:r>
      <w:r>
        <w:fldChar w:fldCharType="separate"/>
      </w:r>
      <w:r>
        <w:t>12</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_Toc17755 </w:instrText>
      </w:r>
      <w:r>
        <w:rPr>
          <w:rFonts w:eastAsia="黑体"/>
        </w:rPr>
        <w:fldChar w:fldCharType="separate"/>
      </w:r>
      <w:r>
        <w:rPr>
          <w:rFonts w:hint="eastAsia"/>
        </w:rPr>
        <w:t>2.2.2　源于SGX设计存在安全缺陷</w:t>
      </w:r>
      <w:r>
        <w:tab/>
      </w:r>
      <w:r>
        <w:fldChar w:fldCharType="begin"/>
      </w:r>
      <w:r>
        <w:instrText xml:space="preserve"> PAGEREF _Toc17755 \h </w:instrText>
      </w:r>
      <w:r>
        <w:fldChar w:fldCharType="separate"/>
      </w:r>
      <w:r>
        <w:t>13</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_Toc409 </w:instrText>
      </w:r>
      <w:r>
        <w:rPr>
          <w:rFonts w:eastAsia="黑体"/>
        </w:rPr>
        <w:fldChar w:fldCharType="separate"/>
      </w:r>
      <w:r>
        <w:rPr>
          <w:rFonts w:hint="eastAsia"/>
        </w:rPr>
        <w:t>2.2.3　代表性攻击</w:t>
      </w:r>
      <w:r>
        <w:tab/>
      </w:r>
      <w:r>
        <w:fldChar w:fldCharType="begin"/>
      </w:r>
      <w:r>
        <w:instrText xml:space="preserve"> PAGEREF _Toc409 \h </w:instrText>
      </w:r>
      <w:r>
        <w:fldChar w:fldCharType="separate"/>
      </w:r>
      <w:r>
        <w:t>14</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_Toc32383 </w:instrText>
      </w:r>
      <w:r>
        <w:rPr>
          <w:rFonts w:eastAsia="黑体"/>
        </w:rPr>
        <w:fldChar w:fldCharType="separate"/>
      </w:r>
      <w:r>
        <w:rPr>
          <w:rFonts w:hint="eastAsia"/>
        </w:rPr>
        <w:t>2.3　传统系统防御方案</w:t>
      </w:r>
      <w:r>
        <w:tab/>
      </w:r>
      <w:r>
        <w:fldChar w:fldCharType="begin"/>
      </w:r>
      <w:r>
        <w:instrText xml:space="preserve"> PAGEREF _Toc32383 \h </w:instrText>
      </w:r>
      <w:r>
        <w:fldChar w:fldCharType="separate"/>
      </w:r>
      <w:r>
        <w:t>19</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_Toc30751 </w:instrText>
      </w:r>
      <w:r>
        <w:rPr>
          <w:rFonts w:eastAsia="黑体"/>
        </w:rPr>
        <w:fldChar w:fldCharType="separate"/>
      </w:r>
      <w:r>
        <w:rPr>
          <w:rFonts w:hint="eastAsia"/>
        </w:rPr>
        <w:t>2.4　SGX防御现状</w:t>
      </w:r>
      <w:r>
        <w:tab/>
      </w:r>
      <w:r>
        <w:fldChar w:fldCharType="begin"/>
      </w:r>
      <w:r>
        <w:instrText xml:space="preserve"> PAGEREF _Toc30751 \h </w:instrText>
      </w:r>
      <w:r>
        <w:fldChar w:fldCharType="separate"/>
      </w:r>
      <w:r>
        <w:t>20</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_Toc27323 </w:instrText>
      </w:r>
      <w:r>
        <w:rPr>
          <w:rFonts w:eastAsia="黑体"/>
        </w:rPr>
        <w:fldChar w:fldCharType="separate"/>
      </w:r>
      <w:r>
        <w:rPr>
          <w:rFonts w:hint="eastAsia"/>
        </w:rPr>
        <w:t>2.4.1　Enclave接口消毒</w:t>
      </w:r>
      <w:r>
        <w:tab/>
      </w:r>
      <w:r>
        <w:fldChar w:fldCharType="begin"/>
      </w:r>
      <w:r>
        <w:instrText xml:space="preserve"> PAGEREF _Toc27323 \h </w:instrText>
      </w:r>
      <w:r>
        <w:fldChar w:fldCharType="separate"/>
      </w:r>
      <w:r>
        <w:t>20</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_Toc8995 </w:instrText>
      </w:r>
      <w:r>
        <w:rPr>
          <w:rFonts w:eastAsia="黑体"/>
        </w:rPr>
        <w:fldChar w:fldCharType="separate"/>
      </w:r>
      <w:r>
        <w:rPr>
          <w:rFonts w:hint="eastAsia"/>
        </w:rPr>
        <w:t>2.4.2　Enclave内外资源隔离、痕迹防</w:t>
      </w:r>
      <w:r>
        <w:rPr>
          <w:rFonts w:hint="eastAsia"/>
          <w:lang w:val="en-US" w:eastAsia="zh-CN"/>
        </w:rPr>
        <w:t>泄露</w:t>
      </w:r>
      <w:r>
        <w:rPr>
          <w:rFonts w:hint="eastAsia"/>
        </w:rPr>
        <w:t>及攻击痕迹检测</w:t>
      </w:r>
      <w:r>
        <w:tab/>
      </w:r>
      <w:r>
        <w:fldChar w:fldCharType="begin"/>
      </w:r>
      <w:r>
        <w:instrText xml:space="preserve"> PAGEREF _Toc8995 \h </w:instrText>
      </w:r>
      <w:r>
        <w:fldChar w:fldCharType="separate"/>
      </w:r>
      <w:r>
        <w:t>23</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_Toc32038 </w:instrText>
      </w:r>
      <w:r>
        <w:rPr>
          <w:rFonts w:eastAsia="黑体"/>
        </w:rPr>
        <w:fldChar w:fldCharType="separate"/>
      </w:r>
      <w:r>
        <w:rPr>
          <w:rFonts w:hint="eastAsia"/>
        </w:rPr>
        <w:t>2.4.3　其他防御方案</w:t>
      </w:r>
      <w:r>
        <w:tab/>
      </w:r>
      <w:r>
        <w:fldChar w:fldCharType="begin"/>
      </w:r>
      <w:r>
        <w:instrText xml:space="preserve"> PAGEREF _Toc32038 \h </w:instrText>
      </w:r>
      <w:r>
        <w:fldChar w:fldCharType="separate"/>
      </w:r>
      <w:r>
        <w:t>24</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_Toc2459 </w:instrText>
      </w:r>
      <w:r>
        <w:rPr>
          <w:rFonts w:eastAsia="黑体"/>
        </w:rPr>
        <w:fldChar w:fldCharType="separate"/>
      </w:r>
      <w:r>
        <w:rPr>
          <w:rFonts w:hint="eastAsia"/>
        </w:rPr>
        <w:t>2.5　本章小结</w:t>
      </w:r>
      <w:r>
        <w:tab/>
      </w:r>
      <w:r>
        <w:fldChar w:fldCharType="begin"/>
      </w:r>
      <w:r>
        <w:instrText xml:space="preserve"> PAGEREF _Toc2459 \h </w:instrText>
      </w:r>
      <w:r>
        <w:fldChar w:fldCharType="separate"/>
      </w:r>
      <w:r>
        <w:t>24</w:t>
      </w:r>
      <w:r>
        <w:fldChar w:fldCharType="end"/>
      </w:r>
      <w:r>
        <w:rPr>
          <w:rFonts w:eastAsia="黑体"/>
        </w:rPr>
        <w:fldChar w:fldCharType="end"/>
      </w:r>
    </w:p>
    <w:p>
      <w:pPr>
        <w:pStyle w:val="13"/>
        <w:tabs>
          <w:tab w:val="right" w:leader="dot" w:pos="8306"/>
        </w:tabs>
      </w:pPr>
      <w:r>
        <w:rPr>
          <w:rFonts w:eastAsia="黑体"/>
        </w:rPr>
        <w:fldChar w:fldCharType="begin"/>
      </w:r>
      <w:r>
        <w:rPr>
          <w:rFonts w:eastAsia="黑体"/>
        </w:rPr>
        <w:instrText xml:space="preserve"> HYPERLINK \l _Toc26673 </w:instrText>
      </w:r>
      <w:r>
        <w:rPr>
          <w:rFonts w:eastAsia="黑体"/>
        </w:rPr>
        <w:fldChar w:fldCharType="separate"/>
      </w:r>
      <w:r>
        <w:rPr>
          <w:rFonts w:hint="eastAsia"/>
        </w:rPr>
        <w:t>第三章　Intel SGX关键执行路径及安全关键点分析</w:t>
      </w:r>
      <w:r>
        <w:tab/>
      </w:r>
      <w:r>
        <w:fldChar w:fldCharType="begin"/>
      </w:r>
      <w:r>
        <w:instrText xml:space="preserve"> PAGEREF _Toc26673 \h </w:instrText>
      </w:r>
      <w:r>
        <w:fldChar w:fldCharType="separate"/>
      </w:r>
      <w:r>
        <w:t>25</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_Toc1598 </w:instrText>
      </w:r>
      <w:r>
        <w:rPr>
          <w:rFonts w:eastAsia="黑体"/>
        </w:rPr>
        <w:fldChar w:fldCharType="separate"/>
      </w:r>
      <w:r>
        <w:rPr>
          <w:rFonts w:hint="eastAsia"/>
        </w:rPr>
        <w:t>3.1　Enclave接口关键执行路径</w:t>
      </w:r>
      <w:r>
        <w:tab/>
      </w:r>
      <w:r>
        <w:fldChar w:fldCharType="begin"/>
      </w:r>
      <w:r>
        <w:instrText xml:space="preserve"> PAGEREF _Toc1598 \h </w:instrText>
      </w:r>
      <w:r>
        <w:fldChar w:fldCharType="separate"/>
      </w:r>
      <w:r>
        <w:t>25</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_Toc28057 </w:instrText>
      </w:r>
      <w:r>
        <w:rPr>
          <w:rFonts w:eastAsia="黑体"/>
        </w:rPr>
        <w:fldChar w:fldCharType="separate"/>
      </w:r>
      <w:r>
        <w:rPr>
          <w:rFonts w:hint="eastAsia"/>
        </w:rPr>
        <w:t>3.1.1　ECALL进入Enclave</w:t>
      </w:r>
      <w:r>
        <w:tab/>
      </w:r>
      <w:r>
        <w:fldChar w:fldCharType="begin"/>
      </w:r>
      <w:r>
        <w:instrText xml:space="preserve"> PAGEREF _Toc28057 \h </w:instrText>
      </w:r>
      <w:r>
        <w:fldChar w:fldCharType="separate"/>
      </w:r>
      <w:r>
        <w:t>25</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_Toc26161 </w:instrText>
      </w:r>
      <w:r>
        <w:rPr>
          <w:rFonts w:eastAsia="黑体"/>
        </w:rPr>
        <w:fldChar w:fldCharType="separate"/>
      </w:r>
      <w:r>
        <w:rPr>
          <w:rFonts w:hint="eastAsia"/>
        </w:rPr>
        <w:t>3.1.2　ECALL结束退出Enclave</w:t>
      </w:r>
      <w:r>
        <w:tab/>
      </w:r>
      <w:r>
        <w:fldChar w:fldCharType="begin"/>
      </w:r>
      <w:r>
        <w:instrText xml:space="preserve"> PAGEREF _Toc26161 \h </w:instrText>
      </w:r>
      <w:r>
        <w:fldChar w:fldCharType="separate"/>
      </w:r>
      <w:r>
        <w:t>27</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_Toc22245 </w:instrText>
      </w:r>
      <w:r>
        <w:rPr>
          <w:rFonts w:eastAsia="黑体"/>
        </w:rPr>
        <w:fldChar w:fldCharType="separate"/>
      </w:r>
      <w:r>
        <w:rPr>
          <w:rFonts w:hint="eastAsia"/>
        </w:rPr>
        <w:t>3.1.3　OCALL离开Enclave及OCALL结束返回Enclave</w:t>
      </w:r>
      <w:r>
        <w:tab/>
      </w:r>
      <w:r>
        <w:fldChar w:fldCharType="begin"/>
      </w:r>
      <w:r>
        <w:instrText xml:space="preserve"> PAGEREF _Toc22245 \h </w:instrText>
      </w:r>
      <w:r>
        <w:fldChar w:fldCharType="separate"/>
      </w:r>
      <w:r>
        <w:t>27</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_Toc518 </w:instrText>
      </w:r>
      <w:r>
        <w:rPr>
          <w:rFonts w:eastAsia="黑体"/>
        </w:rPr>
        <w:fldChar w:fldCharType="separate"/>
      </w:r>
      <w:r>
        <w:rPr>
          <w:rFonts w:hint="eastAsia"/>
        </w:rPr>
        <w:t>3.1.4　AEX离开Enclave及异常处理完成返回Enclave</w:t>
      </w:r>
      <w:r>
        <w:tab/>
      </w:r>
      <w:r>
        <w:fldChar w:fldCharType="begin"/>
      </w:r>
      <w:r>
        <w:instrText xml:space="preserve"> PAGEREF _Toc518 \h </w:instrText>
      </w:r>
      <w:r>
        <w:fldChar w:fldCharType="separate"/>
      </w:r>
      <w:r>
        <w:t>28</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_Toc8922 </w:instrText>
      </w:r>
      <w:r>
        <w:rPr>
          <w:rFonts w:eastAsia="黑体"/>
        </w:rPr>
        <w:fldChar w:fldCharType="separate"/>
      </w:r>
      <w:r>
        <w:rPr>
          <w:rFonts w:hint="eastAsia"/>
        </w:rPr>
        <w:t>3.2　其他关键执行路径</w:t>
      </w:r>
      <w:r>
        <w:tab/>
      </w:r>
      <w:r>
        <w:fldChar w:fldCharType="begin"/>
      </w:r>
      <w:r>
        <w:instrText xml:space="preserve"> PAGEREF _Toc8922 \h </w:instrText>
      </w:r>
      <w:r>
        <w:fldChar w:fldCharType="separate"/>
      </w:r>
      <w:r>
        <w:t>29</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_Toc19431 </w:instrText>
      </w:r>
      <w:r>
        <w:rPr>
          <w:rFonts w:eastAsia="黑体"/>
        </w:rPr>
        <w:fldChar w:fldCharType="separate"/>
      </w:r>
      <w:r>
        <w:rPr>
          <w:rFonts w:hint="eastAsia"/>
        </w:rPr>
        <w:t>3.3　SGX线程模型</w:t>
      </w:r>
      <w:r>
        <w:tab/>
      </w:r>
      <w:r>
        <w:fldChar w:fldCharType="begin"/>
      </w:r>
      <w:r>
        <w:instrText xml:space="preserve"> PAGEREF _Toc19431 \h </w:instrText>
      </w:r>
      <w:r>
        <w:fldChar w:fldCharType="separate"/>
      </w:r>
      <w:r>
        <w:t>32</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_Toc6029 </w:instrText>
      </w:r>
      <w:r>
        <w:rPr>
          <w:rFonts w:eastAsia="黑体"/>
        </w:rPr>
        <w:fldChar w:fldCharType="separate"/>
      </w:r>
      <w:r>
        <w:rPr>
          <w:rFonts w:hint="eastAsia"/>
          <w:szCs w:val="24"/>
        </w:rPr>
        <w:t>3.4</w:t>
      </w:r>
      <w:r>
        <w:rPr>
          <w:rFonts w:hint="eastAsia"/>
        </w:rPr>
        <w:t>　本章小结</w:t>
      </w:r>
      <w:r>
        <w:tab/>
      </w:r>
      <w:r>
        <w:fldChar w:fldCharType="begin"/>
      </w:r>
      <w:r>
        <w:instrText xml:space="preserve"> PAGEREF _Toc6029 \h </w:instrText>
      </w:r>
      <w:r>
        <w:fldChar w:fldCharType="separate"/>
      </w:r>
      <w:r>
        <w:t>35</w:t>
      </w:r>
      <w:r>
        <w:fldChar w:fldCharType="end"/>
      </w:r>
      <w:r>
        <w:rPr>
          <w:rFonts w:eastAsia="黑体"/>
        </w:rPr>
        <w:fldChar w:fldCharType="end"/>
      </w:r>
    </w:p>
    <w:p>
      <w:pPr>
        <w:pStyle w:val="13"/>
        <w:tabs>
          <w:tab w:val="right" w:leader="dot" w:pos="8306"/>
        </w:tabs>
      </w:pPr>
      <w:r>
        <w:rPr>
          <w:rFonts w:eastAsia="黑体"/>
        </w:rPr>
        <w:fldChar w:fldCharType="begin"/>
      </w:r>
      <w:r>
        <w:rPr>
          <w:rFonts w:eastAsia="黑体"/>
        </w:rPr>
        <w:instrText xml:space="preserve"> HYPERLINK \l _Toc25572 </w:instrText>
      </w:r>
      <w:r>
        <w:rPr>
          <w:rFonts w:eastAsia="黑体"/>
        </w:rPr>
        <w:fldChar w:fldCharType="separate"/>
      </w:r>
      <w:r>
        <w:rPr>
          <w:rFonts w:hint="eastAsia"/>
        </w:rPr>
        <w:t>第四章　针对Intel SGX SDK的安全增强框架设计</w:t>
      </w:r>
      <w:r>
        <w:tab/>
      </w:r>
      <w:r>
        <w:fldChar w:fldCharType="begin"/>
      </w:r>
      <w:r>
        <w:instrText xml:space="preserve"> PAGEREF _Toc25572 \h </w:instrText>
      </w:r>
      <w:r>
        <w:fldChar w:fldCharType="separate"/>
      </w:r>
      <w:r>
        <w:t>37</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_Toc9718 </w:instrText>
      </w:r>
      <w:r>
        <w:rPr>
          <w:rFonts w:eastAsia="黑体"/>
        </w:rPr>
        <w:fldChar w:fldCharType="separate"/>
      </w:r>
      <w:r>
        <w:rPr>
          <w:rFonts w:hint="eastAsia"/>
          <w:szCs w:val="24"/>
        </w:rPr>
        <w:t>4.1</w:t>
      </w:r>
      <w:r>
        <w:rPr>
          <w:rFonts w:hint="eastAsia"/>
        </w:rPr>
        <w:t>　针对Intel SGX SDK的安全增强框架总体设计</w:t>
      </w:r>
      <w:r>
        <w:tab/>
      </w:r>
      <w:r>
        <w:fldChar w:fldCharType="begin"/>
      </w:r>
      <w:r>
        <w:instrText xml:space="preserve"> PAGEREF _Toc9718 \h </w:instrText>
      </w:r>
      <w:r>
        <w:fldChar w:fldCharType="separate"/>
      </w:r>
      <w:r>
        <w:t>37</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_Toc2989 </w:instrText>
      </w:r>
      <w:r>
        <w:rPr>
          <w:rFonts w:eastAsia="黑体"/>
        </w:rPr>
        <w:fldChar w:fldCharType="separate"/>
      </w:r>
      <w:r>
        <w:rPr>
          <w:rFonts w:hint="eastAsia"/>
        </w:rPr>
        <w:t>4.1.1　审计检查点插桩方式</w:t>
      </w:r>
      <w:r>
        <w:tab/>
      </w:r>
      <w:r>
        <w:fldChar w:fldCharType="begin"/>
      </w:r>
      <w:r>
        <w:instrText xml:space="preserve"> PAGEREF _Toc2989 \h </w:instrText>
      </w:r>
      <w:r>
        <w:fldChar w:fldCharType="separate"/>
      </w:r>
      <w:r>
        <w:t>37</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_Toc23885 </w:instrText>
      </w:r>
      <w:r>
        <w:rPr>
          <w:rFonts w:eastAsia="黑体"/>
        </w:rPr>
        <w:fldChar w:fldCharType="separate"/>
      </w:r>
      <w:r>
        <w:rPr>
          <w:rFonts w:hint="eastAsia"/>
          <w:szCs w:val="24"/>
        </w:rPr>
        <w:t>4.1.2</w:t>
      </w:r>
      <w:r>
        <w:rPr>
          <w:rFonts w:hint="eastAsia"/>
        </w:rPr>
        <w:t>　</w:t>
      </w:r>
      <w:r>
        <w:rPr>
          <w:rFonts w:hint="eastAsia"/>
          <w:szCs w:val="24"/>
        </w:rPr>
        <w:t>审计检查点插桩位置</w:t>
      </w:r>
      <w:r>
        <w:tab/>
      </w:r>
      <w:r>
        <w:fldChar w:fldCharType="begin"/>
      </w:r>
      <w:r>
        <w:instrText xml:space="preserve"> PAGEREF _Toc23885 \h </w:instrText>
      </w:r>
      <w:r>
        <w:fldChar w:fldCharType="separate"/>
      </w:r>
      <w:r>
        <w:t>38</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_Toc15589 </w:instrText>
      </w:r>
      <w:r>
        <w:rPr>
          <w:rFonts w:eastAsia="黑体"/>
        </w:rPr>
        <w:fldChar w:fldCharType="separate"/>
      </w:r>
      <w:r>
        <w:rPr>
          <w:rFonts w:hint="eastAsia"/>
        </w:rPr>
        <w:t>4.1.3　安全事件审计</w:t>
      </w:r>
      <w:r>
        <w:tab/>
      </w:r>
      <w:r>
        <w:fldChar w:fldCharType="begin"/>
      </w:r>
      <w:r>
        <w:instrText xml:space="preserve"> PAGEREF _Toc15589 \h </w:instrText>
      </w:r>
      <w:r>
        <w:fldChar w:fldCharType="separate"/>
      </w:r>
      <w:r>
        <w:t>39</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_Toc1189 </w:instrText>
      </w:r>
      <w:r>
        <w:rPr>
          <w:rFonts w:eastAsia="黑体"/>
        </w:rPr>
        <w:fldChar w:fldCharType="separate"/>
      </w:r>
      <w:r>
        <w:rPr>
          <w:rFonts w:hint="eastAsia"/>
        </w:rPr>
        <w:t>4.1.4　安全事件检查</w:t>
      </w:r>
      <w:r>
        <w:tab/>
      </w:r>
      <w:r>
        <w:fldChar w:fldCharType="begin"/>
      </w:r>
      <w:r>
        <w:instrText xml:space="preserve"> PAGEREF _Toc1189 \h </w:instrText>
      </w:r>
      <w:r>
        <w:fldChar w:fldCharType="separate"/>
      </w:r>
      <w:r>
        <w:t>39</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_Toc14650 </w:instrText>
      </w:r>
      <w:r>
        <w:rPr>
          <w:rFonts w:eastAsia="黑体"/>
        </w:rPr>
        <w:fldChar w:fldCharType="separate"/>
      </w:r>
      <w:r>
        <w:rPr>
          <w:rFonts w:hint="eastAsia"/>
        </w:rPr>
        <w:t>4.2　对SGX原生软件栈的修改</w:t>
      </w:r>
      <w:r>
        <w:tab/>
      </w:r>
      <w:r>
        <w:fldChar w:fldCharType="begin"/>
      </w:r>
      <w:r>
        <w:instrText xml:space="preserve"> PAGEREF _Toc14650 \h </w:instrText>
      </w:r>
      <w:r>
        <w:fldChar w:fldCharType="separate"/>
      </w:r>
      <w:r>
        <w:t>41</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_Toc31148 </w:instrText>
      </w:r>
      <w:r>
        <w:rPr>
          <w:rFonts w:eastAsia="黑体"/>
        </w:rPr>
        <w:fldChar w:fldCharType="separate"/>
      </w:r>
      <w:r>
        <w:rPr>
          <w:rFonts w:hint="eastAsia"/>
        </w:rPr>
        <w:t>4.3　本章小结</w:t>
      </w:r>
      <w:r>
        <w:tab/>
      </w:r>
      <w:r>
        <w:fldChar w:fldCharType="begin"/>
      </w:r>
      <w:r>
        <w:instrText xml:space="preserve"> PAGEREF _Toc31148 \h </w:instrText>
      </w:r>
      <w:r>
        <w:fldChar w:fldCharType="separate"/>
      </w:r>
      <w:r>
        <w:t>42</w:t>
      </w:r>
      <w:r>
        <w:fldChar w:fldCharType="end"/>
      </w:r>
      <w:r>
        <w:rPr>
          <w:rFonts w:eastAsia="黑体"/>
        </w:rPr>
        <w:fldChar w:fldCharType="end"/>
      </w:r>
    </w:p>
    <w:p>
      <w:pPr>
        <w:pStyle w:val="13"/>
        <w:tabs>
          <w:tab w:val="right" w:leader="dot" w:pos="8306"/>
        </w:tabs>
      </w:pPr>
      <w:r>
        <w:rPr>
          <w:rFonts w:eastAsia="黑体"/>
        </w:rPr>
        <w:fldChar w:fldCharType="begin"/>
      </w:r>
      <w:r>
        <w:rPr>
          <w:rFonts w:eastAsia="黑体"/>
        </w:rPr>
        <w:instrText xml:space="preserve"> HYPERLINK \l _Toc22706 </w:instrText>
      </w:r>
      <w:r>
        <w:rPr>
          <w:rFonts w:eastAsia="黑体"/>
        </w:rPr>
        <w:fldChar w:fldCharType="separate"/>
      </w:r>
      <w:r>
        <w:rPr>
          <w:rFonts w:hint="eastAsia"/>
        </w:rPr>
        <w:t>第五章　针对Intel SGX SDK的安全增强框架</w:t>
      </w:r>
      <w:r>
        <w:rPr>
          <w:rFonts w:hint="eastAsia"/>
          <w:lang w:val="en-US" w:eastAsia="zh-CN"/>
        </w:rPr>
        <w:t>验证</w:t>
      </w:r>
      <w:r>
        <w:tab/>
      </w:r>
      <w:r>
        <w:fldChar w:fldCharType="begin"/>
      </w:r>
      <w:r>
        <w:instrText xml:space="preserve"> PAGEREF _Toc22706 \h </w:instrText>
      </w:r>
      <w:r>
        <w:fldChar w:fldCharType="separate"/>
      </w:r>
      <w:r>
        <w:t>43</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_Toc27074 </w:instrText>
      </w:r>
      <w:r>
        <w:rPr>
          <w:rFonts w:eastAsia="黑体"/>
        </w:rPr>
        <w:fldChar w:fldCharType="separate"/>
      </w:r>
      <w:r>
        <w:rPr>
          <w:rFonts w:hint="eastAsia"/>
        </w:rPr>
        <w:t>5.1　实验环境</w:t>
      </w:r>
      <w:r>
        <w:tab/>
      </w:r>
      <w:r>
        <w:fldChar w:fldCharType="begin"/>
      </w:r>
      <w:r>
        <w:instrText xml:space="preserve"> PAGEREF _Toc27074 \h </w:instrText>
      </w:r>
      <w:r>
        <w:fldChar w:fldCharType="separate"/>
      </w:r>
      <w:r>
        <w:t>43</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_Toc16029 </w:instrText>
      </w:r>
      <w:r>
        <w:rPr>
          <w:rFonts w:eastAsia="黑体"/>
        </w:rPr>
        <w:fldChar w:fldCharType="separate"/>
      </w:r>
      <w:r>
        <w:rPr>
          <w:rFonts w:hint="eastAsia"/>
        </w:rPr>
        <w:t>5.2　审计功能效果</w:t>
      </w:r>
      <w:r>
        <w:rPr>
          <w:rFonts w:hint="eastAsia"/>
          <w:lang w:val="en-US" w:eastAsia="zh-CN"/>
        </w:rPr>
        <w:t>验证</w:t>
      </w:r>
      <w:r>
        <w:rPr>
          <w:rFonts w:hint="eastAsia"/>
        </w:rPr>
        <w:t>及性能</w:t>
      </w:r>
      <w:r>
        <w:rPr>
          <w:rFonts w:hint="eastAsia"/>
          <w:lang w:val="en-US" w:eastAsia="zh-CN"/>
        </w:rPr>
        <w:t>分析</w:t>
      </w:r>
      <w:r>
        <w:tab/>
      </w:r>
      <w:r>
        <w:fldChar w:fldCharType="begin"/>
      </w:r>
      <w:r>
        <w:instrText xml:space="preserve"> PAGEREF _Toc16029 \h </w:instrText>
      </w:r>
      <w:r>
        <w:fldChar w:fldCharType="separate"/>
      </w:r>
      <w:r>
        <w:t>43</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_Toc12444 </w:instrText>
      </w:r>
      <w:r>
        <w:rPr>
          <w:rFonts w:eastAsia="黑体"/>
        </w:rPr>
        <w:fldChar w:fldCharType="separate"/>
      </w:r>
      <w:r>
        <w:rPr>
          <w:rFonts w:hint="eastAsia"/>
        </w:rPr>
        <w:t>5.2.1　审计功能效果验证</w:t>
      </w:r>
      <w:r>
        <w:tab/>
      </w:r>
      <w:r>
        <w:fldChar w:fldCharType="begin"/>
      </w:r>
      <w:r>
        <w:instrText xml:space="preserve"> PAGEREF _Toc12444 \h </w:instrText>
      </w:r>
      <w:r>
        <w:fldChar w:fldCharType="separate"/>
      </w:r>
      <w:r>
        <w:t>44</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_Toc11996 </w:instrText>
      </w:r>
      <w:r>
        <w:rPr>
          <w:rFonts w:eastAsia="黑体"/>
        </w:rPr>
        <w:fldChar w:fldCharType="separate"/>
      </w:r>
      <w:r>
        <w:rPr>
          <w:rFonts w:hint="eastAsia"/>
        </w:rPr>
        <w:t>5.2.2　审计功能性能开销分析</w:t>
      </w:r>
      <w:r>
        <w:tab/>
      </w:r>
      <w:r>
        <w:fldChar w:fldCharType="begin"/>
      </w:r>
      <w:r>
        <w:instrText xml:space="preserve"> PAGEREF _Toc11996 \h </w:instrText>
      </w:r>
      <w:r>
        <w:fldChar w:fldCharType="separate"/>
      </w:r>
      <w:r>
        <w:t>44</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_Toc1428 </w:instrText>
      </w:r>
      <w:r>
        <w:rPr>
          <w:rFonts w:eastAsia="黑体"/>
        </w:rPr>
        <w:fldChar w:fldCharType="separate"/>
      </w:r>
      <w:r>
        <w:rPr>
          <w:rFonts w:hint="eastAsia"/>
        </w:rPr>
        <w:t>5.3　防御</w:t>
      </w:r>
      <w:r>
        <w:rPr>
          <w:rFonts w:hint="eastAsia"/>
          <w:lang w:eastAsia="zh-CN"/>
        </w:rPr>
        <w:t>（</w:t>
      </w:r>
      <w:r>
        <w:rPr>
          <w:rFonts w:hint="eastAsia"/>
          <w:lang w:val="en-US" w:eastAsia="zh-CN"/>
        </w:rPr>
        <w:t>检查</w:t>
      </w:r>
      <w:r>
        <w:rPr>
          <w:rFonts w:hint="eastAsia"/>
        </w:rPr>
        <w:t>功能</w:t>
      </w:r>
      <w:r>
        <w:rPr>
          <w:rFonts w:hint="eastAsia"/>
          <w:lang w:eastAsia="zh-CN"/>
        </w:rPr>
        <w:t>）</w:t>
      </w:r>
      <w:r>
        <w:rPr>
          <w:rFonts w:hint="eastAsia"/>
        </w:rPr>
        <w:t>效果</w:t>
      </w:r>
      <w:r>
        <w:rPr>
          <w:rFonts w:hint="eastAsia"/>
          <w:lang w:val="en-US" w:eastAsia="zh-CN"/>
        </w:rPr>
        <w:t>验证</w:t>
      </w:r>
      <w:r>
        <w:tab/>
      </w:r>
      <w:r>
        <w:fldChar w:fldCharType="begin"/>
      </w:r>
      <w:r>
        <w:instrText xml:space="preserve"> PAGEREF _Toc1428 \h </w:instrText>
      </w:r>
      <w:r>
        <w:fldChar w:fldCharType="separate"/>
      </w:r>
      <w:r>
        <w:t>46</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_Toc25206 </w:instrText>
      </w:r>
      <w:r>
        <w:rPr>
          <w:rFonts w:eastAsia="黑体"/>
        </w:rPr>
        <w:fldChar w:fldCharType="separate"/>
      </w:r>
      <w:r>
        <w:rPr>
          <w:rFonts w:hint="eastAsia"/>
        </w:rPr>
        <w:t>5.3.1　针对“调用排序”攻击向量的防御效果验证</w:t>
      </w:r>
      <w:r>
        <w:tab/>
      </w:r>
      <w:r>
        <w:fldChar w:fldCharType="begin"/>
      </w:r>
      <w:r>
        <w:instrText xml:space="preserve"> PAGEREF _Toc25206 \h </w:instrText>
      </w:r>
      <w:r>
        <w:fldChar w:fldCharType="separate"/>
      </w:r>
      <w:r>
        <w:t>46</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_Toc26715 </w:instrText>
      </w:r>
      <w:r>
        <w:rPr>
          <w:rFonts w:eastAsia="黑体"/>
        </w:rPr>
        <w:fldChar w:fldCharType="separate"/>
      </w:r>
      <w:r>
        <w:rPr>
          <w:rFonts w:hint="eastAsia"/>
        </w:rPr>
        <w:t>5.3.2　针对“并发调用”攻击向量的防御效果验证</w:t>
      </w:r>
      <w:r>
        <w:tab/>
      </w:r>
      <w:r>
        <w:fldChar w:fldCharType="begin"/>
      </w:r>
      <w:r>
        <w:instrText xml:space="preserve"> PAGEREF _Toc26715 \h </w:instrText>
      </w:r>
      <w:r>
        <w:fldChar w:fldCharType="separate"/>
      </w:r>
      <w:r>
        <w:t>49</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_Toc507 </w:instrText>
      </w:r>
      <w:r>
        <w:rPr>
          <w:rFonts w:eastAsia="黑体"/>
        </w:rPr>
        <w:fldChar w:fldCharType="separate"/>
      </w:r>
      <w:r>
        <w:rPr>
          <w:rFonts w:hint="eastAsia"/>
        </w:rPr>
        <w:t>5.3.3　针对“恶意Enclave线程调度”攻击向量的防御效果验证</w:t>
      </w:r>
      <w:r>
        <w:tab/>
      </w:r>
      <w:r>
        <w:fldChar w:fldCharType="begin"/>
      </w:r>
      <w:r>
        <w:instrText xml:space="preserve"> PAGEREF _Toc507 \h </w:instrText>
      </w:r>
      <w:r>
        <w:fldChar w:fldCharType="separate"/>
      </w:r>
      <w:r>
        <w:t>52</w:t>
      </w:r>
      <w:r>
        <w:fldChar w:fldCharType="end"/>
      </w:r>
      <w:r>
        <w:rPr>
          <w:rFonts w:eastAsia="黑体"/>
        </w:rPr>
        <w:fldChar w:fldCharType="end"/>
      </w:r>
    </w:p>
    <w:p>
      <w:pPr>
        <w:pStyle w:val="9"/>
        <w:tabs>
          <w:tab w:val="right" w:leader="dot" w:pos="8306"/>
        </w:tabs>
      </w:pPr>
      <w:r>
        <w:rPr>
          <w:rFonts w:eastAsia="黑体"/>
        </w:rPr>
        <w:fldChar w:fldCharType="begin"/>
      </w:r>
      <w:r>
        <w:rPr>
          <w:rFonts w:eastAsia="黑体"/>
        </w:rPr>
        <w:instrText xml:space="preserve"> HYPERLINK \l _Toc28770 </w:instrText>
      </w:r>
      <w:r>
        <w:rPr>
          <w:rFonts w:eastAsia="黑体"/>
        </w:rPr>
        <w:fldChar w:fldCharType="separate"/>
      </w:r>
      <w:r>
        <w:rPr>
          <w:rFonts w:hint="eastAsia"/>
        </w:rPr>
        <w:t>5.3.4　针对“时间侧信道”的防御效果验证</w:t>
      </w:r>
      <w:r>
        <w:tab/>
      </w:r>
      <w:r>
        <w:fldChar w:fldCharType="begin"/>
      </w:r>
      <w:r>
        <w:instrText xml:space="preserve"> PAGEREF _Toc28770 \h </w:instrText>
      </w:r>
      <w:r>
        <w:fldChar w:fldCharType="separate"/>
      </w:r>
      <w:r>
        <w:t>56</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_Toc31687 </w:instrText>
      </w:r>
      <w:r>
        <w:rPr>
          <w:rFonts w:eastAsia="黑体"/>
        </w:rPr>
        <w:fldChar w:fldCharType="separate"/>
      </w:r>
      <w:r>
        <w:rPr>
          <w:rFonts w:hint="eastAsia"/>
        </w:rPr>
        <w:t>5.4　本章小结</w:t>
      </w:r>
      <w:r>
        <w:tab/>
      </w:r>
      <w:r>
        <w:fldChar w:fldCharType="begin"/>
      </w:r>
      <w:r>
        <w:instrText xml:space="preserve"> PAGEREF _Toc31687 \h </w:instrText>
      </w:r>
      <w:r>
        <w:fldChar w:fldCharType="separate"/>
      </w:r>
      <w:r>
        <w:t>57</w:t>
      </w:r>
      <w:r>
        <w:fldChar w:fldCharType="end"/>
      </w:r>
      <w:r>
        <w:rPr>
          <w:rFonts w:eastAsia="黑体"/>
        </w:rPr>
        <w:fldChar w:fldCharType="end"/>
      </w:r>
    </w:p>
    <w:p>
      <w:pPr>
        <w:pStyle w:val="13"/>
        <w:tabs>
          <w:tab w:val="right" w:leader="dot" w:pos="8306"/>
        </w:tabs>
      </w:pPr>
      <w:r>
        <w:rPr>
          <w:rFonts w:eastAsia="黑体"/>
        </w:rPr>
        <w:fldChar w:fldCharType="begin"/>
      </w:r>
      <w:r>
        <w:rPr>
          <w:rFonts w:eastAsia="黑体"/>
        </w:rPr>
        <w:instrText xml:space="preserve"> HYPERLINK \l _Toc31867 </w:instrText>
      </w:r>
      <w:r>
        <w:rPr>
          <w:rFonts w:eastAsia="黑体"/>
        </w:rPr>
        <w:fldChar w:fldCharType="separate"/>
      </w:r>
      <w:r>
        <w:rPr>
          <w:rFonts w:hint="eastAsia"/>
        </w:rPr>
        <w:t>第六章　总结与展望</w:t>
      </w:r>
      <w:r>
        <w:tab/>
      </w:r>
      <w:r>
        <w:fldChar w:fldCharType="begin"/>
      </w:r>
      <w:r>
        <w:instrText xml:space="preserve"> PAGEREF _Toc31867 \h </w:instrText>
      </w:r>
      <w:r>
        <w:fldChar w:fldCharType="separate"/>
      </w:r>
      <w:r>
        <w:t>59</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_Toc23974 </w:instrText>
      </w:r>
      <w:r>
        <w:rPr>
          <w:rFonts w:eastAsia="黑体"/>
        </w:rPr>
        <w:fldChar w:fldCharType="separate"/>
      </w:r>
      <w:r>
        <w:rPr>
          <w:rFonts w:hint="eastAsia"/>
        </w:rPr>
        <w:t>6.1　总结</w:t>
      </w:r>
      <w:r>
        <w:tab/>
      </w:r>
      <w:r>
        <w:fldChar w:fldCharType="begin"/>
      </w:r>
      <w:r>
        <w:instrText xml:space="preserve"> PAGEREF _Toc23974 \h </w:instrText>
      </w:r>
      <w:r>
        <w:fldChar w:fldCharType="separate"/>
      </w:r>
      <w:r>
        <w:t>59</w:t>
      </w:r>
      <w:r>
        <w:fldChar w:fldCharType="end"/>
      </w:r>
      <w:r>
        <w:rPr>
          <w:rFonts w:eastAsia="黑体"/>
        </w:rPr>
        <w:fldChar w:fldCharType="end"/>
      </w:r>
    </w:p>
    <w:p>
      <w:pPr>
        <w:pStyle w:val="15"/>
        <w:tabs>
          <w:tab w:val="right" w:leader="dot" w:pos="8306"/>
        </w:tabs>
      </w:pPr>
      <w:r>
        <w:rPr>
          <w:rFonts w:eastAsia="黑体"/>
        </w:rPr>
        <w:fldChar w:fldCharType="begin"/>
      </w:r>
      <w:r>
        <w:rPr>
          <w:rFonts w:eastAsia="黑体"/>
        </w:rPr>
        <w:instrText xml:space="preserve"> HYPERLINK \l _Toc27770 </w:instrText>
      </w:r>
      <w:r>
        <w:rPr>
          <w:rFonts w:eastAsia="黑体"/>
        </w:rPr>
        <w:fldChar w:fldCharType="separate"/>
      </w:r>
      <w:r>
        <w:rPr>
          <w:rFonts w:hint="eastAsia"/>
        </w:rPr>
        <w:t>6.2　展望</w:t>
      </w:r>
      <w:r>
        <w:tab/>
      </w:r>
      <w:r>
        <w:fldChar w:fldCharType="begin"/>
      </w:r>
      <w:r>
        <w:instrText xml:space="preserve"> PAGEREF _Toc27770 \h </w:instrText>
      </w:r>
      <w:r>
        <w:fldChar w:fldCharType="separate"/>
      </w:r>
      <w:r>
        <w:t>60</w:t>
      </w:r>
      <w:r>
        <w:fldChar w:fldCharType="end"/>
      </w:r>
      <w:r>
        <w:rPr>
          <w:rFonts w:eastAsia="黑体"/>
        </w:rPr>
        <w:fldChar w:fldCharType="end"/>
      </w:r>
    </w:p>
    <w:p>
      <w:pPr>
        <w:pStyle w:val="13"/>
        <w:tabs>
          <w:tab w:val="right" w:leader="dot" w:pos="8306"/>
        </w:tabs>
      </w:pPr>
      <w:r>
        <w:rPr>
          <w:rFonts w:eastAsia="黑体"/>
        </w:rPr>
        <w:fldChar w:fldCharType="begin"/>
      </w:r>
      <w:r>
        <w:rPr>
          <w:rFonts w:eastAsia="黑体"/>
        </w:rPr>
        <w:instrText xml:space="preserve"> HYPERLINK \l _Toc21619 </w:instrText>
      </w:r>
      <w:r>
        <w:rPr>
          <w:rFonts w:eastAsia="黑体"/>
        </w:rPr>
        <w:fldChar w:fldCharType="separate"/>
      </w:r>
      <w:r>
        <w:rPr>
          <w:rFonts w:hint="eastAsia"/>
        </w:rPr>
        <w:t>参考文献</w:t>
      </w:r>
      <w:r>
        <w:tab/>
      </w:r>
      <w:r>
        <w:fldChar w:fldCharType="begin"/>
      </w:r>
      <w:r>
        <w:instrText xml:space="preserve"> PAGEREF _Toc21619 \h </w:instrText>
      </w:r>
      <w:r>
        <w:fldChar w:fldCharType="separate"/>
      </w:r>
      <w:r>
        <w:t>61</w:t>
      </w:r>
      <w:r>
        <w:fldChar w:fldCharType="end"/>
      </w:r>
      <w:r>
        <w:rPr>
          <w:rFonts w:eastAsia="黑体"/>
        </w:rPr>
        <w:fldChar w:fldCharType="end"/>
      </w:r>
    </w:p>
    <w:p>
      <w:pPr>
        <w:pStyle w:val="13"/>
        <w:tabs>
          <w:tab w:val="right" w:leader="dot" w:pos="8306"/>
        </w:tabs>
      </w:pPr>
      <w:r>
        <w:rPr>
          <w:rFonts w:eastAsia="黑体"/>
        </w:rPr>
        <w:fldChar w:fldCharType="begin"/>
      </w:r>
      <w:r>
        <w:rPr>
          <w:rFonts w:eastAsia="黑体"/>
        </w:rPr>
        <w:instrText xml:space="preserve"> HYPERLINK \l _Toc7387 </w:instrText>
      </w:r>
      <w:r>
        <w:rPr>
          <w:rFonts w:eastAsia="黑体"/>
        </w:rPr>
        <w:fldChar w:fldCharType="separate"/>
      </w:r>
      <w:r>
        <w:rPr>
          <w:rFonts w:hint="eastAsia"/>
        </w:rPr>
        <w:t>致　谢</w:t>
      </w:r>
      <w:r>
        <w:tab/>
      </w:r>
      <w:r>
        <w:fldChar w:fldCharType="begin"/>
      </w:r>
      <w:r>
        <w:instrText xml:space="preserve"> PAGEREF _Toc7387 \h </w:instrText>
      </w:r>
      <w:r>
        <w:fldChar w:fldCharType="separate"/>
      </w:r>
      <w:r>
        <w:t>65</w:t>
      </w:r>
      <w:r>
        <w:fldChar w:fldCharType="end"/>
      </w:r>
      <w:r>
        <w:rPr>
          <w:rFonts w:eastAsia="黑体"/>
        </w:rPr>
        <w:fldChar w:fldCharType="end"/>
      </w:r>
    </w:p>
    <w:p>
      <w:pPr>
        <w:pStyle w:val="13"/>
        <w:tabs>
          <w:tab w:val="right" w:leader="dot" w:pos="8306"/>
        </w:tabs>
      </w:pPr>
      <w:r>
        <w:rPr>
          <w:rFonts w:eastAsia="黑体"/>
        </w:rPr>
        <w:fldChar w:fldCharType="begin"/>
      </w:r>
      <w:r>
        <w:rPr>
          <w:rFonts w:eastAsia="黑体"/>
        </w:rPr>
        <w:instrText xml:space="preserve"> HYPERLINK \l _Toc18837 </w:instrText>
      </w:r>
      <w:r>
        <w:rPr>
          <w:rFonts w:eastAsia="黑体"/>
        </w:rPr>
        <w:fldChar w:fldCharType="separate"/>
      </w:r>
      <w:r>
        <w:rPr>
          <w:rFonts w:hint="eastAsia"/>
        </w:rPr>
        <w:t>作者简历及</w:t>
      </w:r>
      <w:r>
        <w:t>攻读学位期间发表的学术论文与研究成果</w:t>
      </w:r>
      <w:r>
        <w:tab/>
      </w:r>
      <w:r>
        <w:fldChar w:fldCharType="begin"/>
      </w:r>
      <w:r>
        <w:instrText xml:space="preserve"> PAGEREF _Toc18837 \h </w:instrText>
      </w:r>
      <w:r>
        <w:fldChar w:fldCharType="separate"/>
      </w:r>
      <w:r>
        <w:t>67</w:t>
      </w:r>
      <w:r>
        <w:fldChar w:fldCharType="end"/>
      </w:r>
      <w:r>
        <w:rPr>
          <w:rFonts w:eastAsia="黑体"/>
        </w:rPr>
        <w:fldChar w:fldCharType="end"/>
      </w:r>
    </w:p>
    <w:p>
      <w:pPr>
        <w:spacing w:before="120" w:line="240" w:lineRule="auto"/>
        <w:rPr>
          <w:rFonts w:eastAsia="黑体"/>
        </w:rPr>
        <w:sectPr>
          <w:headerReference r:id="rId21" w:type="default"/>
          <w:pgSz w:w="11906" w:h="16838"/>
          <w:pgMar w:top="1440" w:right="1800" w:bottom="1440" w:left="1800" w:header="851" w:footer="850" w:gutter="0"/>
          <w:pgNumType w:fmt="upperRoman"/>
          <w:cols w:space="425" w:num="1"/>
          <w:docGrid w:type="lines" w:linePitch="312" w:charSpace="0"/>
        </w:sectPr>
      </w:pPr>
      <w:r>
        <w:rPr>
          <w:rFonts w:eastAsia="黑体"/>
        </w:rPr>
        <w:fldChar w:fldCharType="end"/>
      </w:r>
      <w:bookmarkStart w:id="92" w:name="_Toc32747"/>
    </w:p>
    <w:p>
      <w:pPr>
        <w:spacing w:before="480" w:after="360" w:line="240" w:lineRule="auto"/>
        <w:ind w:firstLine="562"/>
        <w:jc w:val="center"/>
        <w:outlineLvl w:val="0"/>
        <w:rPr>
          <w:rFonts w:ascii="黑体" w:hAnsi="黑体" w:eastAsia="黑体" w:cs="黑体"/>
          <w:b/>
          <w:bCs/>
          <w:sz w:val="28"/>
          <w:szCs w:val="28"/>
        </w:rPr>
      </w:pPr>
      <w:bookmarkStart w:id="93" w:name="_Toc4825"/>
      <w:bookmarkStart w:id="94" w:name="_Toc22988"/>
      <w:bookmarkStart w:id="95" w:name="_Toc3440"/>
      <w:bookmarkStart w:id="96" w:name="_Toc32194"/>
      <w:bookmarkStart w:id="97" w:name="_Toc16886"/>
      <w:bookmarkStart w:id="98" w:name="_Toc32764"/>
      <w:bookmarkStart w:id="99" w:name="_Toc7339"/>
      <w:bookmarkStart w:id="100" w:name="_Toc13487"/>
      <w:bookmarkStart w:id="101" w:name="_Toc29970"/>
      <w:bookmarkStart w:id="102" w:name="_Toc31388"/>
      <w:bookmarkStart w:id="103" w:name="_Toc23263"/>
      <w:bookmarkStart w:id="104" w:name="_Toc32557"/>
      <w:bookmarkStart w:id="105" w:name="_Toc5662"/>
      <w:bookmarkStart w:id="106" w:name="_Toc24854"/>
      <w:bookmarkStart w:id="107" w:name="_Toc27988"/>
      <w:bookmarkStart w:id="108" w:name="_Toc24003"/>
      <w:bookmarkStart w:id="109" w:name="_Toc1427"/>
      <w:bookmarkStart w:id="110" w:name="_Toc10503"/>
      <w:bookmarkStart w:id="111" w:name="_Toc701"/>
      <w:bookmarkStart w:id="112" w:name="_Toc18046"/>
      <w:bookmarkStart w:id="113" w:name="_Toc25801"/>
      <w:bookmarkStart w:id="114" w:name="_Toc26794"/>
      <w:bookmarkStart w:id="115" w:name="_Toc15502"/>
      <w:bookmarkStart w:id="116" w:name="_Toc471"/>
      <w:bookmarkStart w:id="117" w:name="_Toc27944"/>
      <w:r>
        <w:rPr>
          <w:rFonts w:hint="eastAsia" w:ascii="黑体" w:hAnsi="黑体" w:eastAsia="黑体" w:cs="黑体"/>
          <w:b/>
          <w:bCs/>
          <w:sz w:val="28"/>
          <w:szCs w:val="28"/>
        </w:rPr>
        <w:t>图</w:t>
      </w:r>
      <w:bookmarkEnd w:id="93"/>
      <w:bookmarkEnd w:id="94"/>
      <w:r>
        <w:rPr>
          <w:rFonts w:hint="eastAsia" w:ascii="黑体" w:hAnsi="黑体" w:eastAsia="黑体" w:cs="黑体"/>
          <w:b/>
          <w:bCs/>
          <w:sz w:val="28"/>
          <w:szCs w:val="28"/>
        </w:rPr>
        <w:t>目录</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pPr>
        <w:pStyle w:val="14"/>
        <w:tabs>
          <w:tab w:val="right" w:leader="dot" w:pos="8306"/>
        </w:tabs>
      </w:pPr>
      <w:r>
        <w:fldChar w:fldCharType="begin"/>
      </w:r>
      <w:r>
        <w:instrText xml:space="preserve">TOC \h \c "图"</w:instrText>
      </w:r>
      <w:r>
        <w:fldChar w:fldCharType="separate"/>
      </w:r>
      <w:r>
        <w:fldChar w:fldCharType="begin"/>
      </w:r>
      <w:r>
        <w:instrText xml:space="preserve"> HYPERLINK \l _Toc14320 </w:instrText>
      </w:r>
      <w:r>
        <w:fldChar w:fldCharType="separate"/>
      </w:r>
      <w:r>
        <w:rPr>
          <w:bCs/>
        </w:rPr>
        <w:t>图</w:t>
      </w:r>
      <w:r>
        <w:rPr>
          <w:rFonts w:hint="eastAsia"/>
          <w:bCs/>
        </w:rPr>
        <w:t>1.</w:t>
      </w:r>
      <w:r>
        <w:t>1</w:t>
      </w:r>
      <w:r>
        <w:rPr>
          <w:rFonts w:hint="eastAsia"/>
        </w:rPr>
        <w:t>　云平台上部署的服务</w:t>
      </w:r>
      <w:r>
        <w:tab/>
      </w:r>
      <w:r>
        <w:fldChar w:fldCharType="begin"/>
      </w:r>
      <w:r>
        <w:instrText xml:space="preserve"> PAGEREF _Toc14320 \h </w:instrText>
      </w:r>
      <w:r>
        <w:fldChar w:fldCharType="separate"/>
      </w:r>
      <w:r>
        <w:t>1</w:t>
      </w:r>
      <w:r>
        <w:fldChar w:fldCharType="end"/>
      </w:r>
      <w:r>
        <w:fldChar w:fldCharType="end"/>
      </w:r>
    </w:p>
    <w:p>
      <w:pPr>
        <w:pStyle w:val="14"/>
        <w:tabs>
          <w:tab w:val="right" w:leader="dot" w:pos="8306"/>
        </w:tabs>
      </w:pPr>
      <w:r>
        <w:rPr>
          <w:rFonts w:eastAsia="黑体"/>
        </w:rPr>
        <w:fldChar w:fldCharType="begin"/>
      </w:r>
      <w:r>
        <w:rPr>
          <w:rFonts w:eastAsia="黑体"/>
        </w:rPr>
        <w:instrText xml:space="preserve"> HYPERLINK \l _Toc18509 </w:instrText>
      </w:r>
      <w:r>
        <w:rPr>
          <w:rFonts w:eastAsia="黑体"/>
        </w:rPr>
        <w:fldChar w:fldCharType="separate"/>
      </w:r>
      <w:r>
        <w:rPr>
          <w:bCs/>
        </w:rPr>
        <w:t>图</w:t>
      </w:r>
      <w:r>
        <w:rPr>
          <w:rFonts w:hint="eastAsia"/>
          <w:bCs/>
        </w:rPr>
        <w:t>1.</w:t>
      </w:r>
      <w:r>
        <w:t>2</w:t>
      </w:r>
      <w:r>
        <w:rPr>
          <w:rFonts w:hint="eastAsia"/>
          <w:bCs/>
        </w:rPr>
        <w:t>　</w:t>
      </w:r>
      <w:r>
        <w:rPr>
          <w:rFonts w:hint="eastAsia"/>
        </w:rPr>
        <w:t>Intel SGX保护云平台上服务程序安全</w:t>
      </w:r>
      <w:r>
        <w:tab/>
      </w:r>
      <w:r>
        <w:fldChar w:fldCharType="begin"/>
      </w:r>
      <w:r>
        <w:instrText xml:space="preserve"> PAGEREF _Toc18509 \h </w:instrText>
      </w:r>
      <w:r>
        <w:fldChar w:fldCharType="separate"/>
      </w:r>
      <w:r>
        <w:t>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_Toc12186 </w:instrText>
      </w:r>
      <w:r>
        <w:rPr>
          <w:rFonts w:eastAsia="黑体"/>
        </w:rPr>
        <w:fldChar w:fldCharType="separate"/>
      </w:r>
      <w:r>
        <w:rPr>
          <w:bCs/>
        </w:rPr>
        <w:t>图</w:t>
      </w:r>
      <w:r>
        <w:rPr>
          <w:rFonts w:hint="eastAsia"/>
          <w:bCs/>
        </w:rPr>
        <w:t>2.</w:t>
      </w:r>
      <w:r>
        <w:t>1</w:t>
      </w:r>
      <w:r>
        <w:rPr>
          <w:rFonts w:hint="eastAsia"/>
        </w:rPr>
        <w:t>　Enclave应用生命周期</w:t>
      </w:r>
      <w:r>
        <w:rPr>
          <w:rFonts w:hint="eastAsia"/>
          <w:vertAlign w:val="superscript"/>
        </w:rPr>
        <w:t>[30]</w:t>
      </w:r>
      <w:r>
        <w:tab/>
      </w:r>
      <w:r>
        <w:fldChar w:fldCharType="begin"/>
      </w:r>
      <w:r>
        <w:instrText xml:space="preserve"> PAGEREF _Toc12186 \h </w:instrText>
      </w:r>
      <w:r>
        <w:fldChar w:fldCharType="separate"/>
      </w:r>
      <w:r>
        <w:t>8</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_Toc31745 </w:instrText>
      </w:r>
      <w:r>
        <w:rPr>
          <w:rFonts w:eastAsia="黑体"/>
        </w:rPr>
        <w:fldChar w:fldCharType="separate"/>
      </w:r>
      <w:r>
        <w:rPr>
          <w:bCs/>
        </w:rPr>
        <w:t>图</w:t>
      </w:r>
      <w:r>
        <w:rPr>
          <w:rFonts w:hint="eastAsia"/>
          <w:bCs/>
        </w:rPr>
        <w:t>2.</w:t>
      </w:r>
      <w:r>
        <w:t>2</w:t>
      </w:r>
      <w:r>
        <w:rPr>
          <w:rFonts w:hint="eastAsia"/>
          <w:bCs/>
        </w:rPr>
        <w:t>　</w:t>
      </w:r>
      <w:r>
        <w:rPr>
          <w:rFonts w:hint="eastAsia"/>
        </w:rPr>
        <w:t>SGX软硬件</w:t>
      </w:r>
      <w:r>
        <w:rPr>
          <w:rFonts w:hint="eastAsia"/>
          <w:lang w:val="en-US" w:eastAsia="zh-CN"/>
        </w:rPr>
        <w:t>架构</w:t>
      </w:r>
      <w:r>
        <w:tab/>
      </w:r>
      <w:r>
        <w:fldChar w:fldCharType="begin"/>
      </w:r>
      <w:r>
        <w:instrText xml:space="preserve"> PAGEREF _Toc31745 \h </w:instrText>
      </w:r>
      <w:r>
        <w:fldChar w:fldCharType="separate"/>
      </w:r>
      <w:r>
        <w:t>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_Toc5776 </w:instrText>
      </w:r>
      <w:r>
        <w:rPr>
          <w:rFonts w:eastAsia="黑体"/>
        </w:rPr>
        <w:fldChar w:fldCharType="separate"/>
      </w:r>
      <w:r>
        <w:rPr>
          <w:bCs/>
        </w:rPr>
        <w:t>图</w:t>
      </w:r>
      <w:r>
        <w:rPr>
          <w:rFonts w:hint="eastAsia"/>
          <w:bCs/>
        </w:rPr>
        <w:t>2.</w:t>
      </w:r>
      <w:r>
        <w:t>3</w:t>
      </w:r>
      <w:r>
        <w:rPr>
          <w:rFonts w:hint="eastAsia"/>
        </w:rPr>
        <w:t>　SGX Enclave安全问题、攻击面和攻击向量</w:t>
      </w:r>
      <w:r>
        <w:tab/>
      </w:r>
      <w:r>
        <w:fldChar w:fldCharType="begin"/>
      </w:r>
      <w:r>
        <w:instrText xml:space="preserve"> PAGEREF _Toc5776 \h </w:instrText>
      </w:r>
      <w:r>
        <w:fldChar w:fldCharType="separate"/>
      </w:r>
      <w:r>
        <w:t>12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_Toc1623 </w:instrText>
      </w:r>
      <w:r>
        <w:rPr>
          <w:rFonts w:eastAsia="黑体"/>
        </w:rPr>
        <w:fldChar w:fldCharType="separate"/>
      </w:r>
      <w:r>
        <w:rPr>
          <w:bCs/>
        </w:rPr>
        <w:t>图</w:t>
      </w:r>
      <w:r>
        <w:rPr>
          <w:rFonts w:hint="eastAsia"/>
          <w:bCs/>
        </w:rPr>
        <w:t>2.</w:t>
      </w:r>
      <w:r>
        <w:t>4</w:t>
      </w:r>
      <w:r>
        <w:rPr>
          <w:rFonts w:hint="eastAsia"/>
        </w:rPr>
        <w:t>　调用排序攻击示意图</w:t>
      </w:r>
      <w:r>
        <w:tab/>
      </w:r>
      <w:r>
        <w:fldChar w:fldCharType="begin"/>
      </w:r>
      <w:r>
        <w:instrText xml:space="preserve"> PAGEREF _Toc1623 \h </w:instrText>
      </w:r>
      <w:r>
        <w:fldChar w:fldCharType="separate"/>
      </w:r>
      <w:r>
        <w:t>15</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_Toc11703 </w:instrText>
      </w:r>
      <w:r>
        <w:rPr>
          <w:rFonts w:eastAsia="黑体"/>
        </w:rPr>
        <w:fldChar w:fldCharType="separate"/>
      </w:r>
      <w:r>
        <w:rPr>
          <w:bCs/>
        </w:rPr>
        <w:t>图</w:t>
      </w:r>
      <w:r>
        <w:rPr>
          <w:rFonts w:hint="eastAsia"/>
          <w:bCs/>
        </w:rPr>
        <w:t>2.</w:t>
      </w:r>
      <w:r>
        <w:t>5</w:t>
      </w:r>
      <w:r>
        <w:rPr>
          <w:rFonts w:hint="eastAsia"/>
        </w:rPr>
        <w:t>　AsyncShock攻击示意图</w:t>
      </w:r>
      <w:r>
        <w:tab/>
      </w:r>
      <w:r>
        <w:fldChar w:fldCharType="begin"/>
      </w:r>
      <w:r>
        <w:instrText xml:space="preserve"> PAGEREF _Toc11703 \h </w:instrText>
      </w:r>
      <w:r>
        <w:fldChar w:fldCharType="separate"/>
      </w:r>
      <w:r>
        <w:t>17</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_Toc23285 </w:instrText>
      </w:r>
      <w:r>
        <w:rPr>
          <w:rFonts w:eastAsia="黑体"/>
        </w:rPr>
        <w:fldChar w:fldCharType="separate"/>
      </w:r>
      <w:r>
        <w:rPr>
          <w:bCs/>
        </w:rPr>
        <w:t>图</w:t>
      </w:r>
      <w:r>
        <w:rPr>
          <w:rFonts w:hint="eastAsia"/>
          <w:bCs/>
        </w:rPr>
        <w:t>2.</w:t>
      </w:r>
      <w:r>
        <w:t>6</w:t>
      </w:r>
      <w:r>
        <w:rPr>
          <w:rFonts w:hint="eastAsia"/>
        </w:rPr>
        <w:t>　Haven组件和接口</w:t>
      </w:r>
      <w:r>
        <w:rPr>
          <w:rFonts w:hint="eastAsia"/>
          <w:vertAlign w:val="superscript"/>
        </w:rPr>
        <w:t>[26]</w:t>
      </w:r>
      <w:r>
        <w:tab/>
      </w:r>
      <w:r>
        <w:fldChar w:fldCharType="begin"/>
      </w:r>
      <w:r>
        <w:instrText xml:space="preserve"> PAGEREF _Toc23285 \h </w:instrText>
      </w:r>
      <w:r>
        <w:fldChar w:fldCharType="separate"/>
      </w:r>
      <w:r>
        <w:t>21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_Toc3720 </w:instrText>
      </w:r>
      <w:r>
        <w:rPr>
          <w:rFonts w:eastAsia="黑体"/>
        </w:rPr>
        <w:fldChar w:fldCharType="separate"/>
      </w:r>
      <w:r>
        <w:rPr>
          <w:bCs/>
        </w:rPr>
        <w:t>图</w:t>
      </w:r>
      <w:r>
        <w:rPr>
          <w:rFonts w:hint="eastAsia"/>
          <w:bCs/>
        </w:rPr>
        <w:t>2.</w:t>
      </w:r>
      <w:r>
        <w:t>7</w:t>
      </w:r>
      <w:r>
        <w:rPr>
          <w:rFonts w:hint="eastAsia"/>
        </w:rPr>
        <w:t>　Graphene-SGX架构图</w:t>
      </w:r>
      <w:r>
        <w:rPr>
          <w:rFonts w:hint="eastAsia"/>
          <w:vertAlign w:val="superscript"/>
        </w:rPr>
        <w:t>[27]</w:t>
      </w:r>
      <w:r>
        <w:tab/>
      </w:r>
      <w:r>
        <w:fldChar w:fldCharType="begin"/>
      </w:r>
      <w:r>
        <w:instrText xml:space="preserve"> PAGEREF _Toc3720 \h </w:instrText>
      </w:r>
      <w:r>
        <w:fldChar w:fldCharType="separate"/>
      </w:r>
      <w:r>
        <w:t>22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_Toc11456 </w:instrText>
      </w:r>
      <w:r>
        <w:rPr>
          <w:rFonts w:eastAsia="黑体"/>
        </w:rPr>
        <w:fldChar w:fldCharType="separate"/>
      </w:r>
      <w:r>
        <w:rPr>
          <w:bCs/>
        </w:rPr>
        <w:t>图</w:t>
      </w:r>
      <w:r>
        <w:rPr>
          <w:rFonts w:hint="eastAsia"/>
          <w:bCs/>
        </w:rPr>
        <w:t>2.</w:t>
      </w:r>
      <w:r>
        <w:t>8</w:t>
      </w:r>
      <w:r>
        <w:rPr>
          <w:rFonts w:hint="eastAsia"/>
        </w:rPr>
        <w:t>　SCONE架构图</w:t>
      </w:r>
      <w:r>
        <w:rPr>
          <w:rFonts w:hint="eastAsia"/>
          <w:vertAlign w:val="superscript"/>
        </w:rPr>
        <w:t>[28]</w:t>
      </w:r>
      <w:r>
        <w:tab/>
      </w:r>
      <w:r>
        <w:fldChar w:fldCharType="begin"/>
      </w:r>
      <w:r>
        <w:instrText xml:space="preserve"> PAGEREF _Toc11456 \h </w:instrText>
      </w:r>
      <w:r>
        <w:fldChar w:fldCharType="separate"/>
      </w:r>
      <w:r>
        <w:t>22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_Toc15798 </w:instrText>
      </w:r>
      <w:r>
        <w:rPr>
          <w:rFonts w:eastAsia="黑体"/>
        </w:rPr>
        <w:fldChar w:fldCharType="separate"/>
      </w:r>
      <w:r>
        <w:rPr>
          <w:bCs/>
        </w:rPr>
        <w:t>图</w:t>
      </w:r>
      <w:r>
        <w:rPr>
          <w:rFonts w:hint="eastAsia"/>
          <w:bCs/>
        </w:rPr>
        <w:t>3.</w:t>
      </w:r>
      <w:r>
        <w:t>1</w:t>
      </w:r>
      <w:r>
        <w:rPr>
          <w:rFonts w:hint="eastAsia"/>
        </w:rPr>
        <w:t>　Ordinary ECALL代码流程图</w:t>
      </w:r>
      <w:r>
        <w:tab/>
      </w:r>
      <w:r>
        <w:fldChar w:fldCharType="begin"/>
      </w:r>
      <w:r>
        <w:instrText xml:space="preserve"> PAGEREF _Toc15798 \h </w:instrText>
      </w:r>
      <w:r>
        <w:fldChar w:fldCharType="separate"/>
      </w:r>
      <w:r>
        <w:t>25</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_Toc13730 </w:instrText>
      </w:r>
      <w:r>
        <w:rPr>
          <w:rFonts w:eastAsia="黑体"/>
        </w:rPr>
        <w:fldChar w:fldCharType="separate"/>
      </w:r>
      <w:r>
        <w:rPr>
          <w:bCs/>
        </w:rPr>
        <w:t>图</w:t>
      </w:r>
      <w:r>
        <w:rPr>
          <w:rFonts w:hint="eastAsia"/>
          <w:bCs/>
        </w:rPr>
        <w:t>3.</w:t>
      </w:r>
      <w:r>
        <w:t>2</w:t>
      </w:r>
      <w:r>
        <w:rPr>
          <w:rFonts w:hint="eastAsia"/>
        </w:rPr>
        <w:t>　Switchless ECALL的代码流程图</w:t>
      </w:r>
      <w:r>
        <w:tab/>
      </w:r>
      <w:r>
        <w:fldChar w:fldCharType="begin"/>
      </w:r>
      <w:r>
        <w:instrText xml:space="preserve"> PAGEREF _Toc13730 \h </w:instrText>
      </w:r>
      <w:r>
        <w:fldChar w:fldCharType="separate"/>
      </w:r>
      <w:r>
        <w:t>26</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_Toc20752 </w:instrText>
      </w:r>
      <w:r>
        <w:rPr>
          <w:rFonts w:eastAsia="黑体"/>
        </w:rPr>
        <w:fldChar w:fldCharType="separate"/>
      </w:r>
      <w:r>
        <w:rPr>
          <w:bCs/>
        </w:rPr>
        <w:t>图</w:t>
      </w:r>
      <w:r>
        <w:rPr>
          <w:rFonts w:hint="eastAsia"/>
          <w:bCs/>
        </w:rPr>
        <w:t>3.</w:t>
      </w:r>
      <w:r>
        <w:t>3</w:t>
      </w:r>
      <w:r>
        <w:rPr>
          <w:rFonts w:hint="eastAsia"/>
        </w:rPr>
        <w:t>　AEX及异常处理流程图</w:t>
      </w:r>
      <w:r>
        <w:tab/>
      </w:r>
      <w:r>
        <w:fldChar w:fldCharType="begin"/>
      </w:r>
      <w:r>
        <w:instrText xml:space="preserve"> PAGEREF _Toc20752 \h </w:instrText>
      </w:r>
      <w:r>
        <w:fldChar w:fldCharType="separate"/>
      </w:r>
      <w:r>
        <w:t>29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_Toc11147 </w:instrText>
      </w:r>
      <w:r>
        <w:rPr>
          <w:rFonts w:eastAsia="黑体"/>
        </w:rPr>
        <w:fldChar w:fldCharType="separate"/>
      </w:r>
      <w:r>
        <w:rPr>
          <w:bCs/>
        </w:rPr>
        <w:t>图</w:t>
      </w:r>
      <w:r>
        <w:rPr>
          <w:rFonts w:hint="eastAsia"/>
          <w:bCs/>
        </w:rPr>
        <w:t>3.</w:t>
      </w:r>
      <w:r>
        <w:t>4</w:t>
      </w:r>
      <w:r>
        <w:rPr>
          <w:rFonts w:hint="eastAsia"/>
        </w:rPr>
        <w:t>　受保护文件系统布局</w:t>
      </w:r>
      <w:r>
        <w:rPr>
          <w:rFonts w:hint="eastAsia"/>
          <w:vertAlign w:val="superscript"/>
        </w:rPr>
        <w:t>[4]</w:t>
      </w:r>
      <w:r>
        <w:tab/>
      </w:r>
      <w:r>
        <w:fldChar w:fldCharType="begin"/>
      </w:r>
      <w:r>
        <w:instrText xml:space="preserve"> PAGEREF _Toc11147 \h </w:instrText>
      </w:r>
      <w:r>
        <w:fldChar w:fldCharType="separate"/>
      </w:r>
      <w:r>
        <w:t>30</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_Toc11434 </w:instrText>
      </w:r>
      <w:r>
        <w:rPr>
          <w:rFonts w:eastAsia="黑体"/>
        </w:rPr>
        <w:fldChar w:fldCharType="separate"/>
      </w:r>
      <w:r>
        <w:rPr>
          <w:bCs/>
        </w:rPr>
        <w:t>图</w:t>
      </w:r>
      <w:r>
        <w:rPr>
          <w:rFonts w:hint="eastAsia"/>
          <w:bCs/>
        </w:rPr>
        <w:t>3.</w:t>
      </w:r>
      <w:r>
        <w:t>5</w:t>
      </w:r>
      <w:r>
        <w:rPr>
          <w:rFonts w:hint="eastAsia"/>
        </w:rPr>
        <w:t>　本地认证（使用DH密钥交换库）</w:t>
      </w:r>
      <w:r>
        <w:rPr>
          <w:rFonts w:hint="eastAsia"/>
          <w:vertAlign w:val="superscript"/>
        </w:rPr>
        <w:t>[4]</w:t>
      </w:r>
      <w:r>
        <w:tab/>
      </w:r>
      <w:r>
        <w:fldChar w:fldCharType="begin"/>
      </w:r>
      <w:r>
        <w:instrText xml:space="preserve"> PAGEREF _Toc11434 \h </w:instrText>
      </w:r>
      <w:r>
        <w:fldChar w:fldCharType="separate"/>
      </w:r>
      <w:r>
        <w:t>31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_Toc19518 </w:instrText>
      </w:r>
      <w:r>
        <w:rPr>
          <w:rFonts w:eastAsia="黑体"/>
        </w:rPr>
        <w:fldChar w:fldCharType="separate"/>
      </w:r>
      <w:r>
        <w:rPr>
          <w:bCs/>
        </w:rPr>
        <w:t>图</w:t>
      </w:r>
      <w:r>
        <w:rPr>
          <w:rFonts w:hint="eastAsia"/>
          <w:bCs/>
        </w:rPr>
        <w:t>3.</w:t>
      </w:r>
      <w:r>
        <w:t>6</w:t>
      </w:r>
      <w:r>
        <w:rPr>
          <w:rFonts w:hint="eastAsia"/>
        </w:rPr>
        <w:t>　安全信道的建立（使用DH密钥交换库）</w:t>
      </w:r>
      <w:r>
        <w:rPr>
          <w:rFonts w:hint="eastAsia"/>
          <w:vertAlign w:val="superscript"/>
        </w:rPr>
        <w:t>[4]</w:t>
      </w:r>
      <w:r>
        <w:tab/>
      </w:r>
      <w:r>
        <w:fldChar w:fldCharType="begin"/>
      </w:r>
      <w:r>
        <w:instrText xml:space="preserve"> PAGEREF _Toc19518 \h </w:instrText>
      </w:r>
      <w:r>
        <w:fldChar w:fldCharType="separate"/>
      </w:r>
      <w:r>
        <w:t>32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_Toc12737 </w:instrText>
      </w:r>
      <w:r>
        <w:rPr>
          <w:rFonts w:eastAsia="黑体"/>
        </w:rPr>
        <w:fldChar w:fldCharType="separate"/>
      </w:r>
      <w:r>
        <w:rPr>
          <w:bCs/>
        </w:rPr>
        <w:t>图</w:t>
      </w:r>
      <w:r>
        <w:rPr>
          <w:rFonts w:hint="eastAsia"/>
          <w:bCs/>
        </w:rPr>
        <w:t>3.</w:t>
      </w:r>
      <w:r>
        <w:t>7</w:t>
      </w:r>
      <w:r>
        <w:rPr>
          <w:rFonts w:hint="eastAsia"/>
        </w:rPr>
        <w:t>　SGX应用中Ordinary/Switchless ECALL/OCALL线程模型</w:t>
      </w:r>
      <w:r>
        <w:tab/>
      </w:r>
      <w:r>
        <w:fldChar w:fldCharType="begin"/>
      </w:r>
      <w:r>
        <w:instrText xml:space="preserve"> PAGEREF _Toc12737 \h </w:instrText>
      </w:r>
      <w:r>
        <w:fldChar w:fldCharType="separate"/>
      </w:r>
      <w:r>
        <w:t>33</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_Toc24959 </w:instrText>
      </w:r>
      <w:r>
        <w:rPr>
          <w:rFonts w:eastAsia="黑体"/>
        </w:rPr>
        <w:fldChar w:fldCharType="separate"/>
      </w:r>
      <w:r>
        <w:rPr>
          <w:bCs/>
        </w:rPr>
        <w:t>图</w:t>
      </w:r>
      <w:r>
        <w:rPr>
          <w:rFonts w:hint="eastAsia"/>
          <w:bCs/>
        </w:rPr>
        <w:t>4.</w:t>
      </w:r>
      <w:r>
        <w:t>1</w:t>
      </w:r>
      <w:r>
        <w:rPr>
          <w:rFonts w:hint="eastAsia"/>
        </w:rPr>
        <w:t>　插桩方式对比</w:t>
      </w:r>
      <w:r>
        <w:tab/>
      </w:r>
      <w:r>
        <w:fldChar w:fldCharType="begin"/>
      </w:r>
      <w:r>
        <w:instrText xml:space="preserve"> PAGEREF _Toc24959 \h </w:instrText>
      </w:r>
      <w:r>
        <w:fldChar w:fldCharType="separate"/>
      </w:r>
      <w:r>
        <w:t>37</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_Toc30371 </w:instrText>
      </w:r>
      <w:r>
        <w:rPr>
          <w:rFonts w:eastAsia="黑体"/>
        </w:rPr>
        <w:fldChar w:fldCharType="separate"/>
      </w:r>
      <w:r>
        <w:rPr>
          <w:bCs/>
        </w:rPr>
        <w:t>图</w:t>
      </w:r>
      <w:r>
        <w:rPr>
          <w:rFonts w:hint="eastAsia"/>
          <w:bCs/>
        </w:rPr>
        <w:t>4.</w:t>
      </w:r>
      <w:r>
        <w:t>2</w:t>
      </w:r>
      <w:r>
        <w:rPr>
          <w:rFonts w:hint="eastAsia"/>
        </w:rPr>
        <w:t>　OCALL Stub函数示意图</w:t>
      </w:r>
      <w:r>
        <w:tab/>
      </w:r>
      <w:r>
        <w:fldChar w:fldCharType="begin"/>
      </w:r>
      <w:r>
        <w:instrText xml:space="preserve"> PAGEREF _Toc30371 \h </w:instrText>
      </w:r>
      <w:r>
        <w:fldChar w:fldCharType="separate"/>
      </w:r>
      <w:r>
        <w:t>38</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_Toc29830 </w:instrText>
      </w:r>
      <w:r>
        <w:rPr>
          <w:rFonts w:eastAsia="黑体"/>
        </w:rPr>
        <w:fldChar w:fldCharType="separate"/>
      </w:r>
      <w:r>
        <w:rPr>
          <w:bCs/>
        </w:rPr>
        <w:t>图</w:t>
      </w:r>
      <w:r>
        <w:rPr>
          <w:rFonts w:hint="eastAsia"/>
          <w:bCs/>
        </w:rPr>
        <w:t>4.</w:t>
      </w:r>
      <w:r>
        <w:t>3</w:t>
      </w:r>
      <w:r>
        <w:rPr>
          <w:rFonts w:hint="eastAsia"/>
        </w:rPr>
        <w:t>　审计检查点内部架构</w:t>
      </w:r>
      <w:r>
        <w:tab/>
      </w:r>
      <w:r>
        <w:fldChar w:fldCharType="begin"/>
      </w:r>
      <w:r>
        <w:instrText xml:space="preserve"> PAGEREF _Toc29830 \h </w:instrText>
      </w:r>
      <w:r>
        <w:fldChar w:fldCharType="separate"/>
      </w:r>
      <w:r>
        <w:t>40</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_Toc7885 </w:instrText>
      </w:r>
      <w:r>
        <w:rPr>
          <w:rFonts w:eastAsia="黑体"/>
        </w:rPr>
        <w:fldChar w:fldCharType="separate"/>
      </w:r>
      <w:r>
        <w:rPr>
          <w:bCs/>
        </w:rPr>
        <w:t>图</w:t>
      </w:r>
      <w:r>
        <w:rPr>
          <w:rFonts w:hint="eastAsia"/>
          <w:bCs/>
        </w:rPr>
        <w:t>4.</w:t>
      </w:r>
      <w:r>
        <w:t>4</w:t>
      </w:r>
      <w:r>
        <w:rPr>
          <w:rFonts w:hint="eastAsia"/>
        </w:rPr>
        <w:t>　SGX-SEF对SGX软件栈的修改</w:t>
      </w:r>
      <w:r>
        <w:tab/>
      </w:r>
      <w:r>
        <w:fldChar w:fldCharType="begin"/>
      </w:r>
      <w:r>
        <w:instrText xml:space="preserve"> PAGEREF _Toc7885 \h </w:instrText>
      </w:r>
      <w:r>
        <w:fldChar w:fldCharType="separate"/>
      </w:r>
      <w:r>
        <w:t>41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_Toc18243 </w:instrText>
      </w:r>
      <w:r>
        <w:rPr>
          <w:rFonts w:eastAsia="黑体"/>
        </w:rPr>
        <w:fldChar w:fldCharType="separate"/>
      </w:r>
      <w:r>
        <w:rPr>
          <w:bCs/>
        </w:rPr>
        <w:t>图</w:t>
      </w:r>
      <w:r>
        <w:rPr>
          <w:rFonts w:hint="eastAsia"/>
          <w:bCs/>
        </w:rPr>
        <w:t>5.</w:t>
      </w:r>
      <w:r>
        <w:t>1</w:t>
      </w:r>
      <w:r>
        <w:rPr>
          <w:rFonts w:hint="eastAsia"/>
        </w:rPr>
        <w:t>　审计功能的效果</w:t>
      </w:r>
      <w:r>
        <w:tab/>
      </w:r>
      <w:r>
        <w:fldChar w:fldCharType="begin"/>
      </w:r>
      <w:r>
        <w:instrText xml:space="preserve"> PAGEREF _Toc18243 \h </w:instrText>
      </w:r>
      <w:r>
        <w:fldChar w:fldCharType="separate"/>
      </w:r>
      <w:r>
        <w:t>44</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_Toc26580 </w:instrText>
      </w:r>
      <w:r>
        <w:rPr>
          <w:rFonts w:eastAsia="黑体"/>
        </w:rPr>
        <w:fldChar w:fldCharType="separate"/>
      </w:r>
      <w:r>
        <w:rPr>
          <w:bCs/>
        </w:rPr>
        <w:t>图</w:t>
      </w:r>
      <w:r>
        <w:rPr>
          <w:rFonts w:hint="eastAsia"/>
          <w:bCs/>
        </w:rPr>
        <w:t>5.</w:t>
      </w:r>
      <w:r>
        <w:t>2</w:t>
      </w:r>
      <w:r>
        <w:rPr>
          <w:rFonts w:hint="eastAsia"/>
        </w:rPr>
        <w:t>　调用排序攻击之前程序执行结果图</w:t>
      </w:r>
      <w:r>
        <w:tab/>
      </w:r>
      <w:r>
        <w:fldChar w:fldCharType="begin"/>
      </w:r>
      <w:r>
        <w:instrText xml:space="preserve"> PAGEREF _Toc26580 \h </w:instrText>
      </w:r>
      <w:r>
        <w:fldChar w:fldCharType="separate"/>
      </w:r>
      <w:r>
        <w:t>46</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_Toc20756 </w:instrText>
      </w:r>
      <w:r>
        <w:rPr>
          <w:rFonts w:eastAsia="黑体"/>
        </w:rPr>
        <w:fldChar w:fldCharType="separate"/>
      </w:r>
      <w:r>
        <w:rPr>
          <w:bCs/>
        </w:rPr>
        <w:t>图</w:t>
      </w:r>
      <w:r>
        <w:rPr>
          <w:rFonts w:hint="eastAsia"/>
          <w:bCs/>
        </w:rPr>
        <w:t>5.</w:t>
      </w:r>
      <w:r>
        <w:t>3</w:t>
      </w:r>
      <w:r>
        <w:rPr>
          <w:rFonts w:hint="eastAsia"/>
        </w:rPr>
        <w:t>　调用排序攻击之后程序执行结果图</w:t>
      </w:r>
      <w:r>
        <w:tab/>
      </w:r>
      <w:r>
        <w:fldChar w:fldCharType="begin"/>
      </w:r>
      <w:r>
        <w:instrText xml:space="preserve"> PAGEREF _Toc20756 \h </w:instrText>
      </w:r>
      <w:r>
        <w:fldChar w:fldCharType="separate"/>
      </w:r>
      <w:r>
        <w:t>47</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_Toc14895 </w:instrText>
      </w:r>
      <w:r>
        <w:rPr>
          <w:rFonts w:eastAsia="黑体"/>
        </w:rPr>
        <w:fldChar w:fldCharType="separate"/>
      </w:r>
      <w:r>
        <w:rPr>
          <w:bCs/>
        </w:rPr>
        <w:t>图</w:t>
      </w:r>
      <w:r>
        <w:rPr>
          <w:rFonts w:hint="eastAsia"/>
          <w:bCs/>
        </w:rPr>
        <w:t>5.</w:t>
      </w:r>
      <w:r>
        <w:t>4</w:t>
      </w:r>
      <w:r>
        <w:rPr>
          <w:rFonts w:hint="eastAsia"/>
        </w:rPr>
        <w:t>　调用排序攻击检测结果</w:t>
      </w:r>
      <w:r>
        <w:tab/>
      </w:r>
      <w:r>
        <w:fldChar w:fldCharType="begin"/>
      </w:r>
      <w:r>
        <w:instrText xml:space="preserve"> PAGEREF _Toc14895 \h </w:instrText>
      </w:r>
      <w:r>
        <w:fldChar w:fldCharType="separate"/>
      </w:r>
      <w:r>
        <w:t>47</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_Toc9531 </w:instrText>
      </w:r>
      <w:r>
        <w:rPr>
          <w:rFonts w:eastAsia="黑体"/>
        </w:rPr>
        <w:fldChar w:fldCharType="separate"/>
      </w:r>
      <w:r>
        <w:rPr>
          <w:bCs/>
        </w:rPr>
        <w:t>图</w:t>
      </w:r>
      <w:r>
        <w:rPr>
          <w:rFonts w:hint="eastAsia"/>
          <w:bCs/>
          <w:lang w:val="en-US" w:eastAsia="zh-CN"/>
        </w:rPr>
        <w:t>5</w:t>
      </w:r>
      <w:r>
        <w:rPr>
          <w:rFonts w:hint="eastAsia"/>
          <w:bCs/>
          <w:lang w:eastAsia="zh-CN"/>
        </w:rPr>
        <w:t>.</w:t>
      </w:r>
      <w:r>
        <w:t>5</w:t>
      </w:r>
      <w:r>
        <w:rPr>
          <w:rFonts w:hint="eastAsia"/>
        </w:rPr>
        <w:t>　调用排序攻击前</w:t>
      </w:r>
      <w:r>
        <w:rPr>
          <w:rFonts w:hint="eastAsia"/>
          <w:lang w:val="en-US" w:eastAsia="zh-CN"/>
        </w:rPr>
        <w:t>SGX_SQLite</w:t>
      </w:r>
      <w:r>
        <w:rPr>
          <w:rFonts w:hint="eastAsia"/>
        </w:rPr>
        <w:t>执行</w:t>
      </w:r>
      <w:r>
        <w:rPr>
          <w:rFonts w:hint="eastAsia"/>
          <w:lang w:val="en-US" w:eastAsia="zh-CN"/>
        </w:rPr>
        <w:t>情况</w:t>
      </w:r>
      <w:r>
        <w:rPr>
          <w:rFonts w:hint="eastAsia"/>
        </w:rPr>
        <w:t>图</w:t>
      </w:r>
      <w:r>
        <w:tab/>
      </w:r>
      <w:r>
        <w:fldChar w:fldCharType="begin"/>
      </w:r>
      <w:r>
        <w:instrText xml:space="preserve"> PAGEREF _Toc9531 \h </w:instrText>
      </w:r>
      <w:r>
        <w:fldChar w:fldCharType="separate"/>
      </w:r>
      <w:r>
        <w:t>48</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_Toc25414 </w:instrText>
      </w:r>
      <w:r>
        <w:rPr>
          <w:rFonts w:eastAsia="黑体"/>
        </w:rPr>
        <w:fldChar w:fldCharType="separate"/>
      </w:r>
      <w:r>
        <w:rPr>
          <w:bCs/>
        </w:rPr>
        <w:t>图</w:t>
      </w:r>
      <w:r>
        <w:rPr>
          <w:rFonts w:hint="eastAsia"/>
          <w:bCs/>
          <w:lang w:val="en-US" w:eastAsia="zh-CN"/>
        </w:rPr>
        <w:t>5</w:t>
      </w:r>
      <w:r>
        <w:rPr>
          <w:rFonts w:hint="eastAsia"/>
          <w:bCs/>
          <w:lang w:eastAsia="zh-CN"/>
        </w:rPr>
        <w:t>.</w:t>
      </w:r>
      <w:r>
        <w:t>6</w:t>
      </w:r>
      <w:r>
        <w:rPr>
          <w:rFonts w:hint="eastAsia"/>
        </w:rPr>
        <w:t>　</w:t>
      </w:r>
      <w:r>
        <w:rPr>
          <w:rFonts w:hint="eastAsia"/>
          <w:lang w:eastAsia="zh-CN"/>
        </w:rPr>
        <w:t>调用排序攻击</w:t>
      </w:r>
      <w:r>
        <w:rPr>
          <w:rFonts w:hint="eastAsia"/>
          <w:lang w:val="en-US" w:eastAsia="zh-CN"/>
        </w:rPr>
        <w:t>后</w:t>
      </w:r>
      <w:r>
        <w:rPr>
          <w:rFonts w:hint="eastAsia"/>
          <w:lang w:eastAsia="zh-CN"/>
        </w:rPr>
        <w:t>SGX_SQLite执行情况图</w:t>
      </w:r>
      <w:r>
        <w:tab/>
      </w:r>
      <w:r>
        <w:fldChar w:fldCharType="begin"/>
      </w:r>
      <w:r>
        <w:instrText xml:space="preserve"> PAGEREF _Toc25414 \h </w:instrText>
      </w:r>
      <w:r>
        <w:fldChar w:fldCharType="separate"/>
      </w:r>
      <w:r>
        <w:t>48</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_Toc7567 </w:instrText>
      </w:r>
      <w:r>
        <w:rPr>
          <w:rFonts w:eastAsia="黑体"/>
        </w:rPr>
        <w:fldChar w:fldCharType="separate"/>
      </w:r>
      <w:r>
        <w:rPr>
          <w:bCs/>
        </w:rPr>
        <w:t>图</w:t>
      </w:r>
      <w:r>
        <w:rPr>
          <w:rFonts w:hint="eastAsia"/>
          <w:bCs/>
          <w:lang w:val="en-US" w:eastAsia="zh-CN"/>
        </w:rPr>
        <w:t>5</w:t>
      </w:r>
      <w:r>
        <w:rPr>
          <w:rFonts w:hint="eastAsia"/>
          <w:bCs/>
          <w:lang w:eastAsia="zh-CN"/>
        </w:rPr>
        <w:t>.</w:t>
      </w:r>
      <w:r>
        <w:t>7</w:t>
      </w:r>
      <w:r>
        <w:rPr>
          <w:rFonts w:hint="eastAsia"/>
        </w:rPr>
        <w:t>　</w:t>
      </w:r>
      <w:r>
        <w:rPr>
          <w:rFonts w:hint="eastAsia"/>
          <w:lang w:val="en-US" w:eastAsia="zh-CN"/>
        </w:rPr>
        <w:t>SGX_SQLite中</w:t>
      </w:r>
      <w:r>
        <w:rPr>
          <w:rFonts w:hint="eastAsia"/>
          <w:lang w:eastAsia="zh-CN"/>
        </w:rPr>
        <w:t>调用排序攻击检测结果</w:t>
      </w:r>
      <w:r>
        <w:tab/>
      </w:r>
      <w:r>
        <w:fldChar w:fldCharType="begin"/>
      </w:r>
      <w:r>
        <w:instrText xml:space="preserve"> PAGEREF _Toc7567 \h </w:instrText>
      </w:r>
      <w:r>
        <w:fldChar w:fldCharType="separate"/>
      </w:r>
      <w:r>
        <w:t>49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_Toc13772 </w:instrText>
      </w:r>
      <w:r>
        <w:rPr>
          <w:rFonts w:eastAsia="黑体"/>
        </w:rPr>
        <w:fldChar w:fldCharType="separate"/>
      </w:r>
      <w:r>
        <w:rPr>
          <w:bCs/>
        </w:rPr>
        <w:t>图</w:t>
      </w:r>
      <w:r>
        <w:rPr>
          <w:rFonts w:hint="eastAsia"/>
          <w:bCs/>
        </w:rPr>
        <w:t>5.</w:t>
      </w:r>
      <w:r>
        <w:t>8</w:t>
      </w:r>
      <w:r>
        <w:rPr>
          <w:rFonts w:hint="eastAsia"/>
        </w:rPr>
        <w:t>　并发调用攻击之前程序执行结果</w:t>
      </w:r>
      <w:r>
        <w:tab/>
      </w:r>
      <w:r>
        <w:fldChar w:fldCharType="begin"/>
      </w:r>
      <w:r>
        <w:instrText xml:space="preserve"> PAGEREF _Toc13772 \h </w:instrText>
      </w:r>
      <w:r>
        <w:fldChar w:fldCharType="separate"/>
      </w:r>
      <w:r>
        <w:t>49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_Toc7537 </w:instrText>
      </w:r>
      <w:r>
        <w:rPr>
          <w:rFonts w:eastAsia="黑体"/>
        </w:rPr>
        <w:fldChar w:fldCharType="separate"/>
      </w:r>
      <w:r>
        <w:rPr>
          <w:bCs/>
        </w:rPr>
        <w:t>图</w:t>
      </w:r>
      <w:r>
        <w:rPr>
          <w:rFonts w:hint="eastAsia"/>
          <w:bCs/>
        </w:rPr>
        <w:t>5.</w:t>
      </w:r>
      <w:r>
        <w:t>9</w:t>
      </w:r>
      <w:r>
        <w:rPr>
          <w:rFonts w:hint="eastAsia"/>
        </w:rPr>
        <w:t>　恶意篡改并发</w:t>
      </w:r>
      <w:r>
        <w:rPr>
          <w:rFonts w:hint="eastAsia"/>
          <w:lang w:val="en-US" w:eastAsia="zh-CN"/>
        </w:rPr>
        <w:t>调用</w:t>
      </w:r>
      <w:r>
        <w:tab/>
      </w:r>
      <w:r>
        <w:fldChar w:fldCharType="begin"/>
      </w:r>
      <w:r>
        <w:instrText xml:space="preserve"> PAGEREF _Toc7537 \h </w:instrText>
      </w:r>
      <w:r>
        <w:fldChar w:fldCharType="separate"/>
      </w:r>
      <w:r>
        <w:t>50</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_Toc1103 </w:instrText>
      </w:r>
      <w:r>
        <w:rPr>
          <w:rFonts w:eastAsia="黑体"/>
        </w:rPr>
        <w:fldChar w:fldCharType="separate"/>
      </w:r>
      <w:r>
        <w:rPr>
          <w:bCs/>
        </w:rPr>
        <w:t>图</w:t>
      </w:r>
      <w:r>
        <w:rPr>
          <w:rFonts w:hint="eastAsia"/>
          <w:bCs/>
        </w:rPr>
        <w:t>5.</w:t>
      </w:r>
      <w:r>
        <w:t>10</w:t>
      </w:r>
      <w:r>
        <w:rPr>
          <w:rFonts w:hint="eastAsia"/>
        </w:rPr>
        <w:t>　并发调用攻击之后程序执行结果</w:t>
      </w:r>
      <w:r>
        <w:tab/>
      </w:r>
      <w:r>
        <w:fldChar w:fldCharType="begin"/>
      </w:r>
      <w:r>
        <w:instrText xml:space="preserve"> PAGEREF _Toc1103 \h </w:instrText>
      </w:r>
      <w:r>
        <w:fldChar w:fldCharType="separate"/>
      </w:r>
      <w:r>
        <w:t>50</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_Toc258 </w:instrText>
      </w:r>
      <w:r>
        <w:rPr>
          <w:rFonts w:eastAsia="黑体"/>
        </w:rPr>
        <w:fldChar w:fldCharType="separate"/>
      </w:r>
      <w:r>
        <w:rPr>
          <w:bCs/>
        </w:rPr>
        <w:t>图</w:t>
      </w:r>
      <w:r>
        <w:rPr>
          <w:rFonts w:hint="eastAsia"/>
          <w:bCs/>
        </w:rPr>
        <w:t>5.</w:t>
      </w:r>
      <w:r>
        <w:t>11</w:t>
      </w:r>
      <w:r>
        <w:rPr>
          <w:rFonts w:hint="eastAsia"/>
          <w:bCs/>
        </w:rPr>
        <w:t>　</w:t>
      </w:r>
      <w:r>
        <w:rPr>
          <w:rFonts w:hint="eastAsia"/>
        </w:rPr>
        <w:t>并发调用攻击检测结果</w:t>
      </w:r>
      <w:r>
        <w:tab/>
      </w:r>
      <w:r>
        <w:fldChar w:fldCharType="begin"/>
      </w:r>
      <w:r>
        <w:instrText xml:space="preserve"> PAGEREF _Toc258 \h </w:instrText>
      </w:r>
      <w:r>
        <w:fldChar w:fldCharType="separate"/>
      </w:r>
      <w:r>
        <w:t>51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_Toc10765 </w:instrText>
      </w:r>
      <w:r>
        <w:rPr>
          <w:rFonts w:eastAsia="黑体"/>
        </w:rPr>
        <w:fldChar w:fldCharType="separate"/>
      </w:r>
      <w:r>
        <w:rPr>
          <w:bCs/>
        </w:rPr>
        <w:t>图</w:t>
      </w:r>
      <w:r>
        <w:rPr>
          <w:rFonts w:hint="eastAsia"/>
          <w:bCs/>
          <w:lang w:val="en-US" w:eastAsia="zh-CN"/>
        </w:rPr>
        <w:t>5</w:t>
      </w:r>
      <w:r>
        <w:rPr>
          <w:rFonts w:hint="eastAsia"/>
          <w:bCs/>
          <w:lang w:eastAsia="zh-CN"/>
        </w:rPr>
        <w:t>.</w:t>
      </w:r>
      <w:r>
        <w:t>12</w:t>
      </w:r>
      <w:r>
        <w:rPr>
          <w:rFonts w:hint="eastAsia"/>
        </w:rPr>
        <w:t>　</w:t>
      </w:r>
      <w:r>
        <w:rPr>
          <w:rFonts w:hint="eastAsia"/>
          <w:lang w:eastAsia="zh-CN"/>
        </w:rPr>
        <w:t>并发调用攻击前SGX_SQLite执行情况</w:t>
      </w:r>
      <w:r>
        <w:rPr>
          <w:rFonts w:hint="eastAsia"/>
          <w:lang w:val="en-US" w:eastAsia="zh-CN"/>
        </w:rPr>
        <w:t>图</w:t>
      </w:r>
      <w:r>
        <w:tab/>
      </w:r>
      <w:r>
        <w:fldChar w:fldCharType="begin"/>
      </w:r>
      <w:r>
        <w:instrText xml:space="preserve"> PAGEREF _Toc10765 \h </w:instrText>
      </w:r>
      <w:r>
        <w:fldChar w:fldCharType="separate"/>
      </w:r>
      <w:r>
        <w:t>51</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_Toc3220 </w:instrText>
      </w:r>
      <w:r>
        <w:rPr>
          <w:rFonts w:eastAsia="黑体"/>
        </w:rPr>
        <w:fldChar w:fldCharType="separate"/>
      </w:r>
      <w:r>
        <w:rPr>
          <w:bCs/>
        </w:rPr>
        <w:t>图</w:t>
      </w:r>
      <w:r>
        <w:rPr>
          <w:rFonts w:hint="eastAsia"/>
          <w:bCs/>
          <w:lang w:val="en-US" w:eastAsia="zh-CN"/>
        </w:rPr>
        <w:t>5</w:t>
      </w:r>
      <w:r>
        <w:rPr>
          <w:rFonts w:hint="eastAsia"/>
          <w:bCs/>
          <w:lang w:eastAsia="zh-CN"/>
        </w:rPr>
        <w:t>.</w:t>
      </w:r>
      <w:r>
        <w:t>13</w:t>
      </w:r>
      <w:r>
        <w:rPr>
          <w:rFonts w:hint="eastAsia"/>
        </w:rPr>
        <w:t>　</w:t>
      </w:r>
      <w:r>
        <w:rPr>
          <w:rFonts w:hint="eastAsia"/>
          <w:lang w:eastAsia="zh-CN"/>
        </w:rPr>
        <w:t>并发调用攻击</w:t>
      </w:r>
      <w:r>
        <w:rPr>
          <w:rFonts w:hint="eastAsia"/>
          <w:lang w:val="en-US" w:eastAsia="zh-CN"/>
        </w:rPr>
        <w:t>后</w:t>
      </w:r>
      <w:r>
        <w:rPr>
          <w:rFonts w:hint="eastAsia"/>
          <w:lang w:eastAsia="zh-CN"/>
        </w:rPr>
        <w:t>SGX_SQLite执行情况图</w:t>
      </w:r>
      <w:r>
        <w:tab/>
      </w:r>
      <w:r>
        <w:fldChar w:fldCharType="begin"/>
      </w:r>
      <w:r>
        <w:instrText xml:space="preserve"> PAGEREF _Toc3220 \h </w:instrText>
      </w:r>
      <w:r>
        <w:fldChar w:fldCharType="separate"/>
      </w:r>
      <w:r>
        <w:t>52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_Toc5642 </w:instrText>
      </w:r>
      <w:r>
        <w:rPr>
          <w:rFonts w:eastAsia="黑体"/>
        </w:rPr>
        <w:fldChar w:fldCharType="separate"/>
      </w:r>
      <w:r>
        <w:rPr>
          <w:bCs/>
        </w:rPr>
        <w:t>图</w:t>
      </w:r>
      <w:r>
        <w:rPr>
          <w:rFonts w:hint="eastAsia"/>
          <w:bCs/>
          <w:lang w:val="en-US" w:eastAsia="zh-CN"/>
        </w:rPr>
        <w:t>5</w:t>
      </w:r>
      <w:r>
        <w:rPr>
          <w:rFonts w:hint="eastAsia"/>
          <w:bCs/>
          <w:lang w:eastAsia="zh-CN"/>
        </w:rPr>
        <w:t>.</w:t>
      </w:r>
      <w:r>
        <w:t>14</w:t>
      </w:r>
      <w:r>
        <w:rPr>
          <w:rFonts w:hint="eastAsia"/>
        </w:rPr>
        <w:t>　</w:t>
      </w:r>
      <w:r>
        <w:rPr>
          <w:rFonts w:hint="eastAsia"/>
          <w:lang w:eastAsia="zh-CN"/>
        </w:rPr>
        <w:t>SGX_SQLite中</w:t>
      </w:r>
      <w:r>
        <w:rPr>
          <w:rFonts w:hint="eastAsia"/>
          <w:lang w:val="en-US" w:eastAsia="zh-CN"/>
        </w:rPr>
        <w:t>并发</w:t>
      </w:r>
      <w:r>
        <w:rPr>
          <w:rFonts w:hint="eastAsia"/>
          <w:lang w:eastAsia="zh-CN"/>
        </w:rPr>
        <w:t>调用攻击检测结果</w:t>
      </w:r>
      <w:r>
        <w:tab/>
      </w:r>
      <w:r>
        <w:fldChar w:fldCharType="begin"/>
      </w:r>
      <w:r>
        <w:instrText xml:space="preserve"> PAGEREF _Toc5642 \h </w:instrText>
      </w:r>
      <w:r>
        <w:fldChar w:fldCharType="separate"/>
      </w:r>
      <w:r>
        <w:t>52</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_Toc28766 </w:instrText>
      </w:r>
      <w:r>
        <w:rPr>
          <w:rFonts w:eastAsia="黑体"/>
        </w:rPr>
        <w:fldChar w:fldCharType="separate"/>
      </w:r>
      <w:r>
        <w:rPr>
          <w:bCs/>
        </w:rPr>
        <w:t>图</w:t>
      </w:r>
      <w:r>
        <w:rPr>
          <w:rFonts w:hint="eastAsia"/>
          <w:bCs/>
        </w:rPr>
        <w:t>5.</w:t>
      </w:r>
      <w:r>
        <w:t>15</w:t>
      </w:r>
      <w:r>
        <w:rPr>
          <w:rFonts w:hint="eastAsia"/>
        </w:rPr>
        <w:t>　恶意线程调度攻击前程序执行结果</w:t>
      </w:r>
      <w:r>
        <w:tab/>
      </w:r>
      <w:r>
        <w:fldChar w:fldCharType="begin"/>
      </w:r>
      <w:r>
        <w:instrText xml:space="preserve"> PAGEREF _Toc28766 \h </w:instrText>
      </w:r>
      <w:r>
        <w:fldChar w:fldCharType="separate"/>
      </w:r>
      <w:r>
        <w:t>53</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_Toc3167 </w:instrText>
      </w:r>
      <w:r>
        <w:rPr>
          <w:rFonts w:eastAsia="黑体"/>
        </w:rPr>
        <w:fldChar w:fldCharType="separate"/>
      </w:r>
      <w:r>
        <w:rPr>
          <w:bCs/>
        </w:rPr>
        <w:t>图</w:t>
      </w:r>
      <w:r>
        <w:rPr>
          <w:rFonts w:hint="eastAsia"/>
          <w:bCs/>
        </w:rPr>
        <w:t>5.</w:t>
      </w:r>
      <w:r>
        <w:t>16</w:t>
      </w:r>
      <w:r>
        <w:rPr>
          <w:rFonts w:hint="eastAsia"/>
        </w:rPr>
        <w:t>　恶意中断ecall_free_obj1函数</w:t>
      </w:r>
      <w:r>
        <w:tab/>
      </w:r>
      <w:r>
        <w:fldChar w:fldCharType="begin"/>
      </w:r>
      <w:r>
        <w:instrText xml:space="preserve"> PAGEREF _Toc3167 \h </w:instrText>
      </w:r>
      <w:r>
        <w:fldChar w:fldCharType="separate"/>
      </w:r>
      <w:r>
        <w:t>54</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_Toc13427 </w:instrText>
      </w:r>
      <w:r>
        <w:rPr>
          <w:rFonts w:eastAsia="黑体"/>
        </w:rPr>
        <w:fldChar w:fldCharType="separate"/>
      </w:r>
      <w:r>
        <w:rPr>
          <w:bCs/>
        </w:rPr>
        <w:t>图</w:t>
      </w:r>
      <w:r>
        <w:rPr>
          <w:rFonts w:hint="eastAsia"/>
          <w:bCs/>
        </w:rPr>
        <w:t>5.</w:t>
      </w:r>
      <w:r>
        <w:t>17</w:t>
      </w:r>
      <w:r>
        <w:rPr>
          <w:rFonts w:hint="eastAsia"/>
        </w:rPr>
        <w:t>　恶意线程调度攻击后程序执行结果</w:t>
      </w:r>
      <w:r>
        <w:tab/>
      </w:r>
      <w:r>
        <w:fldChar w:fldCharType="begin"/>
      </w:r>
      <w:r>
        <w:instrText xml:space="preserve"> PAGEREF _Toc13427 \h </w:instrText>
      </w:r>
      <w:r>
        <w:fldChar w:fldCharType="separate"/>
      </w:r>
      <w:r>
        <w:t>54</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_Toc4565 </w:instrText>
      </w:r>
      <w:r>
        <w:rPr>
          <w:rFonts w:eastAsia="黑体"/>
        </w:rPr>
        <w:fldChar w:fldCharType="separate"/>
      </w:r>
      <w:r>
        <w:rPr>
          <w:bCs/>
        </w:rPr>
        <w:t>图</w:t>
      </w:r>
      <w:r>
        <w:rPr>
          <w:rFonts w:hint="eastAsia"/>
          <w:bCs/>
        </w:rPr>
        <w:t>5.</w:t>
      </w:r>
      <w:r>
        <w:t>18</w:t>
      </w:r>
      <w:r>
        <w:rPr>
          <w:rFonts w:hint="eastAsia"/>
        </w:rPr>
        <w:t>　使用Kprobe的页错误型Enclave线程暂停原语示意图</w:t>
      </w:r>
      <w:r>
        <w:tab/>
      </w:r>
      <w:r>
        <w:fldChar w:fldCharType="begin"/>
      </w:r>
      <w:r>
        <w:instrText xml:space="preserve"> PAGEREF _Toc4565 \h </w:instrText>
      </w:r>
      <w:r>
        <w:fldChar w:fldCharType="separate"/>
      </w:r>
      <w:r>
        <w:t>55</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_Toc8437 </w:instrText>
      </w:r>
      <w:r>
        <w:rPr>
          <w:rFonts w:eastAsia="黑体"/>
        </w:rPr>
        <w:fldChar w:fldCharType="separate"/>
      </w:r>
      <w:r>
        <w:rPr>
          <w:bCs/>
        </w:rPr>
        <w:t>图</w:t>
      </w:r>
      <w:r>
        <w:rPr>
          <w:rFonts w:hint="eastAsia"/>
          <w:bCs/>
        </w:rPr>
        <w:t>5.</w:t>
      </w:r>
      <w:r>
        <w:t>19</w:t>
      </w:r>
      <w:r>
        <w:rPr>
          <w:rFonts w:hint="eastAsia"/>
        </w:rPr>
        <w:t>　使用SIGSEGV的页错误型Enclave线程暂停原语示意图</w:t>
      </w:r>
      <w:r>
        <w:tab/>
      </w:r>
      <w:r>
        <w:fldChar w:fldCharType="begin"/>
      </w:r>
      <w:r>
        <w:instrText xml:space="preserve"> PAGEREF _Toc8437 \h </w:instrText>
      </w:r>
      <w:r>
        <w:fldChar w:fldCharType="separate"/>
      </w:r>
      <w:r>
        <w:t>55</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_Toc13746 </w:instrText>
      </w:r>
      <w:r>
        <w:rPr>
          <w:rFonts w:eastAsia="黑体"/>
        </w:rPr>
        <w:fldChar w:fldCharType="separate"/>
      </w:r>
      <w:r>
        <w:rPr>
          <w:bCs/>
        </w:rPr>
        <w:t>图</w:t>
      </w:r>
      <w:r>
        <w:rPr>
          <w:rFonts w:hint="eastAsia"/>
          <w:bCs/>
        </w:rPr>
        <w:t>5.</w:t>
      </w:r>
      <w:r>
        <w:t>20</w:t>
      </w:r>
      <w:r>
        <w:rPr>
          <w:rFonts w:hint="eastAsia"/>
        </w:rPr>
        <w:t>　恶意线程调度攻击检测结果</w:t>
      </w:r>
      <w:r>
        <w:tab/>
      </w:r>
      <w:r>
        <w:fldChar w:fldCharType="begin"/>
      </w:r>
      <w:r>
        <w:instrText xml:space="preserve"> PAGEREF _Toc13746 \h </w:instrText>
      </w:r>
      <w:r>
        <w:fldChar w:fldCharType="separate"/>
      </w:r>
      <w:r>
        <w:t>56</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_Toc30341 </w:instrText>
      </w:r>
      <w:r>
        <w:rPr>
          <w:rFonts w:eastAsia="黑体"/>
        </w:rPr>
        <w:fldChar w:fldCharType="separate"/>
      </w:r>
      <w:r>
        <w:rPr>
          <w:bCs/>
        </w:rPr>
        <w:t>图</w:t>
      </w:r>
      <w:r>
        <w:rPr>
          <w:rFonts w:hint="eastAsia"/>
          <w:bCs/>
        </w:rPr>
        <w:t>5.</w:t>
      </w:r>
      <w:r>
        <w:t>21</w:t>
      </w:r>
      <w:r>
        <w:rPr>
          <w:rFonts w:hint="eastAsia"/>
        </w:rPr>
        <w:t>　SGX-Step/Nemesis源码分析流程图</w:t>
      </w:r>
      <w:r>
        <w:tab/>
      </w:r>
      <w:r>
        <w:fldChar w:fldCharType="begin"/>
      </w:r>
      <w:r>
        <w:instrText xml:space="preserve"> PAGEREF _Toc30341 \h </w:instrText>
      </w:r>
      <w:r>
        <w:fldChar w:fldCharType="separate"/>
      </w:r>
      <w:r>
        <w:t>56</w:t>
      </w:r>
      <w:r>
        <w:fldChar w:fldCharType="end"/>
      </w:r>
      <w:r>
        <w:rPr>
          <w:rFonts w:eastAsia="黑体"/>
        </w:rPr>
        <w:fldChar w:fldCharType="end"/>
      </w:r>
    </w:p>
    <w:p>
      <w:pPr>
        <w:spacing w:before="120" w:line="240" w:lineRule="auto"/>
        <w:rPr>
          <w:rFonts w:eastAsia="黑体"/>
        </w:rPr>
      </w:pPr>
      <w:r>
        <w:rPr>
          <w:rFonts w:eastAsia="黑体"/>
        </w:rPr>
        <w:fldChar w:fldCharType="end"/>
      </w:r>
    </w:p>
    <w:p>
      <w:pPr>
        <w:spacing w:before="120" w:line="240" w:lineRule="auto"/>
        <w:rPr>
          <w:rFonts w:eastAsia="黑体"/>
        </w:rPr>
      </w:pPr>
    </w:p>
    <w:p>
      <w:pPr>
        <w:spacing w:before="120" w:line="240" w:lineRule="auto"/>
        <w:rPr>
          <w:rFonts w:eastAsia="黑体"/>
        </w:rPr>
        <w:sectPr>
          <w:headerReference r:id="rId22" w:type="default"/>
          <w:pgSz w:w="11906" w:h="16838"/>
          <w:pgMar w:top="1440" w:right="1800" w:bottom="1440" w:left="1800" w:header="851" w:footer="850" w:gutter="0"/>
          <w:pgNumType w:fmt="upperRoman"/>
          <w:cols w:space="425" w:num="1"/>
          <w:docGrid w:type="lines" w:linePitch="312" w:charSpace="0"/>
        </w:sectPr>
      </w:pPr>
    </w:p>
    <w:p>
      <w:pPr>
        <w:spacing w:before="480" w:after="360" w:line="240" w:lineRule="auto"/>
        <w:ind w:firstLine="562"/>
        <w:jc w:val="center"/>
        <w:outlineLvl w:val="0"/>
        <w:rPr>
          <w:rFonts w:ascii="黑体" w:hAnsi="黑体" w:eastAsia="黑体" w:cs="黑体"/>
          <w:b/>
          <w:bCs/>
          <w:sz w:val="28"/>
          <w:szCs w:val="28"/>
        </w:rPr>
      </w:pPr>
      <w:bookmarkStart w:id="118" w:name="_Toc32109"/>
      <w:bookmarkStart w:id="119" w:name="_Toc7180"/>
      <w:bookmarkStart w:id="120" w:name="_Toc659"/>
      <w:bookmarkStart w:id="121" w:name="_Toc26758"/>
      <w:bookmarkStart w:id="122" w:name="_Toc23124"/>
      <w:bookmarkStart w:id="123" w:name="_Toc9703"/>
      <w:bookmarkStart w:id="124" w:name="_Toc26034"/>
      <w:bookmarkStart w:id="125" w:name="_Toc22057"/>
      <w:bookmarkStart w:id="126" w:name="_Toc10196"/>
      <w:bookmarkStart w:id="127" w:name="_Toc6354"/>
      <w:bookmarkStart w:id="128" w:name="_Toc26250"/>
      <w:bookmarkStart w:id="129" w:name="_Toc25851"/>
      <w:bookmarkStart w:id="130" w:name="_Toc27973"/>
      <w:bookmarkStart w:id="131" w:name="_Toc24690"/>
      <w:bookmarkStart w:id="132" w:name="_Toc8959"/>
      <w:bookmarkStart w:id="133" w:name="_Toc11022"/>
      <w:bookmarkStart w:id="134" w:name="_Toc2830"/>
      <w:bookmarkStart w:id="135" w:name="_Toc23903"/>
      <w:bookmarkStart w:id="136" w:name="_Toc26800"/>
      <w:bookmarkStart w:id="137" w:name="_Toc30126"/>
      <w:bookmarkStart w:id="138" w:name="_Toc32013"/>
      <w:bookmarkStart w:id="139" w:name="_Toc27251"/>
      <w:bookmarkStart w:id="140" w:name="_Toc27108"/>
      <w:r>
        <w:rPr>
          <w:rFonts w:hint="eastAsia" w:ascii="黑体" w:hAnsi="黑体" w:eastAsia="黑体" w:cs="黑体"/>
          <w:b/>
          <w:bCs/>
          <w:sz w:val="28"/>
          <w:szCs w:val="28"/>
        </w:rPr>
        <w:t>表目录</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pPr>
        <w:pStyle w:val="14"/>
        <w:tabs>
          <w:tab w:val="right" w:leader="dot" w:pos="8306"/>
        </w:tabs>
      </w:pPr>
      <w:r>
        <w:fldChar w:fldCharType="begin"/>
      </w:r>
      <w:r>
        <w:instrText xml:space="preserve">TOC \h \c "表"</w:instrText>
      </w:r>
      <w:r>
        <w:fldChar w:fldCharType="separate"/>
      </w:r>
      <w:r>
        <w:fldChar w:fldCharType="begin"/>
      </w:r>
      <w:r>
        <w:instrText xml:space="preserve"> HYPERLINK \l _Toc32403 </w:instrText>
      </w:r>
      <w:r>
        <w:fldChar w:fldCharType="separate"/>
      </w:r>
      <w:r>
        <w:rPr>
          <w:bCs/>
        </w:rPr>
        <w:t>表</w:t>
      </w:r>
      <w:r>
        <w:rPr>
          <w:rFonts w:hint="eastAsia"/>
          <w:bCs/>
        </w:rPr>
        <w:t>2.</w:t>
      </w:r>
      <w:r>
        <w:t>1</w:t>
      </w:r>
      <w:r>
        <w:rPr>
          <w:rFonts w:hint="eastAsia"/>
          <w:bCs/>
        </w:rPr>
        <w:t>　</w:t>
      </w:r>
      <w:r>
        <w:rPr>
          <w:rFonts w:hint="eastAsia"/>
        </w:rPr>
        <w:t>“Enclave接口”攻击表</w:t>
      </w:r>
      <w:r>
        <w:tab/>
      </w:r>
      <w:r>
        <w:fldChar w:fldCharType="begin"/>
      </w:r>
      <w:r>
        <w:instrText xml:space="preserve"> PAGEREF _Toc32403 \h </w:instrText>
      </w:r>
      <w:r>
        <w:fldChar w:fldCharType="separate"/>
      </w:r>
      <w:r>
        <w:t>18</w:t>
      </w:r>
      <w:r>
        <w:fldChar w:fldCharType="end"/>
      </w:r>
      <w:r>
        <w:fldChar w:fldCharType="end"/>
      </w:r>
    </w:p>
    <w:p>
      <w:pPr>
        <w:pStyle w:val="14"/>
        <w:tabs>
          <w:tab w:val="right" w:leader="dot" w:pos="8306"/>
        </w:tabs>
      </w:pPr>
      <w:r>
        <w:rPr>
          <w:rFonts w:eastAsia="黑体"/>
        </w:rPr>
        <w:fldChar w:fldCharType="begin"/>
      </w:r>
      <w:r>
        <w:rPr>
          <w:rFonts w:eastAsia="黑体"/>
        </w:rPr>
        <w:instrText xml:space="preserve"> HYPERLINK \l _Toc22557 </w:instrText>
      </w:r>
      <w:r>
        <w:rPr>
          <w:rFonts w:eastAsia="黑体"/>
        </w:rPr>
        <w:fldChar w:fldCharType="separate"/>
      </w:r>
      <w:r>
        <w:rPr>
          <w:bCs/>
        </w:rPr>
        <w:t>表</w:t>
      </w:r>
      <w:r>
        <w:rPr>
          <w:rFonts w:hint="eastAsia"/>
          <w:bCs/>
        </w:rPr>
        <w:t>2.</w:t>
      </w:r>
      <w:r>
        <w:t>2</w:t>
      </w:r>
      <w:r>
        <w:rPr>
          <w:rFonts w:hint="eastAsia"/>
        </w:rPr>
        <w:t>　“</w:t>
      </w:r>
      <w:r>
        <w:t>微架构共享资源</w:t>
      </w:r>
      <w:r>
        <w:rPr>
          <w:rFonts w:hint="eastAsia"/>
        </w:rPr>
        <w:t>”攻击表</w:t>
      </w:r>
      <w:r>
        <w:tab/>
      </w:r>
      <w:r>
        <w:fldChar w:fldCharType="begin"/>
      </w:r>
      <w:r>
        <w:instrText xml:space="preserve"> PAGEREF _Toc22557 \h </w:instrText>
      </w:r>
      <w:r>
        <w:fldChar w:fldCharType="separate"/>
      </w:r>
      <w:r>
        <w:t>18</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_Toc9500 </w:instrText>
      </w:r>
      <w:r>
        <w:rPr>
          <w:rFonts w:eastAsia="黑体"/>
        </w:rPr>
        <w:fldChar w:fldCharType="separate"/>
      </w:r>
      <w:r>
        <w:rPr>
          <w:bCs/>
        </w:rPr>
        <w:t>表</w:t>
      </w:r>
      <w:r>
        <w:rPr>
          <w:rFonts w:hint="eastAsia"/>
          <w:bCs/>
        </w:rPr>
        <w:t>2.</w:t>
      </w:r>
      <w:r>
        <w:t>3</w:t>
      </w:r>
      <w:r>
        <w:rPr>
          <w:rFonts w:hint="eastAsia"/>
        </w:rPr>
        <w:t>　“</w:t>
      </w:r>
      <w:r>
        <w:t>部分</w:t>
      </w:r>
      <w:r>
        <w:rPr>
          <w:rFonts w:hint="eastAsia"/>
        </w:rPr>
        <w:t>功能</w:t>
      </w:r>
      <w:r>
        <w:t>依赖内核</w:t>
      </w:r>
      <w:r>
        <w:rPr>
          <w:rFonts w:hint="eastAsia"/>
        </w:rPr>
        <w:t>”攻击表</w:t>
      </w:r>
      <w:r>
        <w:tab/>
      </w:r>
      <w:r>
        <w:fldChar w:fldCharType="begin"/>
      </w:r>
      <w:r>
        <w:instrText xml:space="preserve"> PAGEREF _Toc9500 \h </w:instrText>
      </w:r>
      <w:r>
        <w:fldChar w:fldCharType="separate"/>
      </w:r>
      <w:r>
        <w:t>19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_Toc1219 </w:instrText>
      </w:r>
      <w:r>
        <w:rPr>
          <w:rFonts w:eastAsia="黑体"/>
        </w:rPr>
        <w:fldChar w:fldCharType="separate"/>
      </w:r>
      <w:r>
        <w:rPr>
          <w:bCs/>
        </w:rPr>
        <w:t>表</w:t>
      </w:r>
      <w:r>
        <w:rPr>
          <w:rFonts w:hint="eastAsia"/>
          <w:bCs/>
        </w:rPr>
        <w:t>2.</w:t>
      </w:r>
      <w:r>
        <w:t>4</w:t>
      </w:r>
      <w:r>
        <w:rPr>
          <w:rFonts w:hint="eastAsia"/>
          <w:bCs/>
        </w:rPr>
        <w:t>　</w:t>
      </w:r>
      <w:r>
        <w:rPr>
          <w:rFonts w:hint="eastAsia"/>
        </w:rPr>
        <w:t>“可观测的物理信息”攻击表</w:t>
      </w:r>
      <w:r>
        <w:tab/>
      </w:r>
      <w:r>
        <w:fldChar w:fldCharType="begin"/>
      </w:r>
      <w:r>
        <w:instrText xml:space="preserve"> PAGEREF _Toc1219 \h </w:instrText>
      </w:r>
      <w:r>
        <w:fldChar w:fldCharType="separate"/>
      </w:r>
      <w:r>
        <w:t>19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_Toc149 </w:instrText>
      </w:r>
      <w:r>
        <w:rPr>
          <w:rFonts w:eastAsia="黑体"/>
        </w:rPr>
        <w:fldChar w:fldCharType="separate"/>
      </w:r>
      <w:r>
        <w:rPr>
          <w:bCs/>
        </w:rPr>
        <w:t>表</w:t>
      </w:r>
      <w:r>
        <w:rPr>
          <w:rFonts w:hint="eastAsia"/>
          <w:bCs/>
        </w:rPr>
        <w:t>2.</w:t>
      </w:r>
      <w:r>
        <w:t>5</w:t>
      </w:r>
      <w:r>
        <w:rPr>
          <w:rFonts w:hint="eastAsia"/>
        </w:rPr>
        <w:t>　“密封文件”攻击表</w:t>
      </w:r>
      <w:r>
        <w:tab/>
      </w:r>
      <w:r>
        <w:fldChar w:fldCharType="begin"/>
      </w:r>
      <w:r>
        <w:instrText xml:space="preserve"> PAGEREF _Toc149 \h </w:instrText>
      </w:r>
      <w:r>
        <w:fldChar w:fldCharType="separate"/>
      </w:r>
      <w:r>
        <w:t>19</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_Toc992 </w:instrText>
      </w:r>
      <w:r>
        <w:rPr>
          <w:rFonts w:eastAsia="黑体"/>
        </w:rPr>
        <w:fldChar w:fldCharType="separate"/>
      </w:r>
      <w:r>
        <w:rPr>
          <w:bCs/>
        </w:rPr>
        <w:t>表</w:t>
      </w:r>
      <w:r>
        <w:rPr>
          <w:rFonts w:hint="eastAsia"/>
          <w:bCs/>
        </w:rPr>
        <w:t>5.</w:t>
      </w:r>
      <w:r>
        <w:t>1</w:t>
      </w:r>
      <w:r>
        <w:rPr>
          <w:rFonts w:hint="eastAsia"/>
        </w:rPr>
        <w:t>　基于Switchless的审计功能性能开销测量表</w:t>
      </w:r>
      <w:r>
        <w:tab/>
      </w:r>
      <w:r>
        <w:fldChar w:fldCharType="begin"/>
      </w:r>
      <w:r>
        <w:instrText xml:space="preserve"> PAGEREF _Toc992 \h </w:instrText>
      </w:r>
      <w:r>
        <w:fldChar w:fldCharType="separate"/>
      </w:r>
      <w:r>
        <w:t>45</w:t>
      </w:r>
      <w:r>
        <w:fldChar w:fldCharType="end"/>
      </w:r>
      <w:r>
        <w:rPr>
          <w:rFonts w:eastAsia="黑体"/>
        </w:rPr>
        <w:fldChar w:fldCharType="end"/>
      </w:r>
    </w:p>
    <w:p>
      <w:pPr>
        <w:pStyle w:val="14"/>
        <w:tabs>
          <w:tab w:val="right" w:leader="dot" w:pos="8306"/>
        </w:tabs>
      </w:pPr>
      <w:r>
        <w:rPr>
          <w:rFonts w:eastAsia="黑体"/>
        </w:rPr>
        <w:fldChar w:fldCharType="begin"/>
      </w:r>
      <w:r>
        <w:rPr>
          <w:rFonts w:eastAsia="黑体"/>
        </w:rPr>
        <w:instrText xml:space="preserve"> HYPERLINK \l _Toc14416 </w:instrText>
      </w:r>
      <w:r>
        <w:rPr>
          <w:rFonts w:eastAsia="黑体"/>
        </w:rPr>
        <w:fldChar w:fldCharType="separate"/>
      </w:r>
      <w:r>
        <w:rPr>
          <w:bCs/>
        </w:rPr>
        <w:t>表</w:t>
      </w:r>
      <w:r>
        <w:rPr>
          <w:rFonts w:hint="eastAsia"/>
          <w:bCs/>
        </w:rPr>
        <w:t>5.</w:t>
      </w:r>
      <w:r>
        <w:t>2</w:t>
      </w:r>
      <w:r>
        <w:rPr>
          <w:rFonts w:hint="eastAsia"/>
        </w:rPr>
        <w:t>　基于SampleEnclave的审计功能性能开销测量表</w:t>
      </w:r>
      <w:r>
        <w:tab/>
      </w:r>
      <w:r>
        <w:fldChar w:fldCharType="begin"/>
      </w:r>
      <w:r>
        <w:instrText xml:space="preserve"> PAGEREF _Toc14416 \h </w:instrText>
      </w:r>
      <w:r>
        <w:fldChar w:fldCharType="separate"/>
      </w:r>
      <w:r>
        <w:t>46</w:t>
      </w:r>
      <w:r>
        <w:fldChar w:fldCharType="end"/>
      </w:r>
      <w:r>
        <w:rPr>
          <w:rFonts w:eastAsia="黑体"/>
        </w:rPr>
        <w:fldChar w:fldCharType="end"/>
      </w:r>
    </w:p>
    <w:p>
      <w:pPr>
        <w:rPr>
          <w:rFonts w:eastAsia="黑体"/>
        </w:rPr>
      </w:pPr>
      <w:r>
        <w:rPr>
          <w:rFonts w:eastAsia="黑体"/>
        </w:rPr>
        <w:fldChar w:fldCharType="end"/>
      </w:r>
    </w:p>
    <w:p>
      <w:pPr>
        <w:rPr>
          <w:rFonts w:eastAsia="黑体"/>
        </w:rPr>
      </w:pPr>
      <w:r>
        <w:rPr>
          <w:rFonts w:eastAsia="黑体"/>
        </w:rPr>
        <w:br w:type="page"/>
      </w:r>
    </w:p>
    <w:p>
      <w:pPr>
        <w:spacing w:before="120" w:line="240" w:lineRule="auto"/>
        <w:rPr>
          <w:rFonts w:eastAsia="黑体"/>
        </w:rPr>
      </w:pPr>
    </w:p>
    <w:p/>
    <w:p>
      <w:pPr>
        <w:sectPr>
          <w:headerReference r:id="rId23" w:type="default"/>
          <w:pgSz w:w="11906" w:h="16838"/>
          <w:pgMar w:top="1440" w:right="1800" w:bottom="1440" w:left="1800" w:header="851" w:footer="850" w:gutter="0"/>
          <w:pgNumType w:fmt="upperRoman"/>
          <w:cols w:space="425" w:num="1"/>
          <w:docGrid w:type="lines" w:linePitch="312" w:charSpace="0"/>
        </w:sectPr>
      </w:pPr>
    </w:p>
    <w:p>
      <w:pPr>
        <w:pStyle w:val="2"/>
      </w:pPr>
      <w:bookmarkStart w:id="141" w:name="_Toc9161"/>
      <w:bookmarkStart w:id="142" w:name="_Toc9806"/>
      <w:bookmarkStart w:id="143" w:name="_Toc372"/>
      <w:bookmarkStart w:id="144" w:name="_Toc29586"/>
      <w:bookmarkStart w:id="145" w:name="_Toc3045"/>
      <w:bookmarkStart w:id="146" w:name="_Toc32688"/>
      <w:bookmarkStart w:id="147" w:name="_Toc7597"/>
      <w:bookmarkStart w:id="148" w:name="_Toc3721"/>
      <w:bookmarkStart w:id="149" w:name="_Toc18014"/>
      <w:bookmarkStart w:id="150" w:name="_Toc31605"/>
      <w:bookmarkStart w:id="151" w:name="_Toc4865"/>
      <w:bookmarkStart w:id="152" w:name="_Toc2681"/>
      <w:bookmarkStart w:id="153" w:name="_Toc12637"/>
      <w:bookmarkStart w:id="154" w:name="_Toc3670"/>
      <w:bookmarkStart w:id="155" w:name="_Toc20219"/>
      <w:bookmarkStart w:id="156" w:name="_Toc12948"/>
      <w:bookmarkStart w:id="157" w:name="_Toc17661"/>
      <w:bookmarkStart w:id="158" w:name="_Toc27224"/>
      <w:bookmarkStart w:id="159" w:name="_Toc28862"/>
      <w:r>
        <w:rPr>
          <w:rFonts w:hint="eastAsia"/>
        </w:rPr>
        <w:t>第一章　引言</w:t>
      </w:r>
      <w:bookmarkEnd w:id="92"/>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pPr>
        <w:pStyle w:val="3"/>
      </w:pPr>
      <w:bookmarkStart w:id="160" w:name="_Toc3965"/>
      <w:bookmarkStart w:id="161" w:name="_Toc28564"/>
      <w:bookmarkStart w:id="162" w:name="_Toc27567"/>
      <w:bookmarkStart w:id="163" w:name="_Toc29166"/>
      <w:bookmarkStart w:id="164" w:name="_Toc17931"/>
      <w:bookmarkStart w:id="165" w:name="_Toc26312"/>
      <w:bookmarkStart w:id="166" w:name="_Toc31728"/>
      <w:bookmarkStart w:id="167" w:name="_Toc1393"/>
      <w:bookmarkStart w:id="168" w:name="_Toc13435"/>
      <w:bookmarkStart w:id="169" w:name="_Toc23393"/>
      <w:bookmarkStart w:id="170" w:name="_Toc18228"/>
      <w:bookmarkStart w:id="171" w:name="_Toc13200"/>
      <w:bookmarkStart w:id="172" w:name="_Toc2820"/>
      <w:bookmarkStart w:id="173" w:name="_Toc30214"/>
      <w:bookmarkStart w:id="174" w:name="_Toc16817"/>
      <w:bookmarkStart w:id="175" w:name="_Toc29548"/>
      <w:bookmarkStart w:id="176" w:name="_Toc10881"/>
      <w:bookmarkStart w:id="177" w:name="_Toc14211"/>
      <w:bookmarkStart w:id="178" w:name="_Toc19419"/>
      <w:bookmarkStart w:id="179" w:name="_Toc27423"/>
      <w:r>
        <w:rPr>
          <w:rFonts w:hint="eastAsia"/>
        </w:rPr>
        <w:t>1.1　选题背景和意义</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pPr>
        <w:ind w:firstLine="480" w:firstLineChars="200"/>
      </w:pPr>
      <w:r>
        <w:rPr>
          <w:rFonts w:hint="eastAsia"/>
        </w:rPr>
        <w:t>云计算不断发展，吸引越来越多的用户将应用程序部署到云平台。根据Gartner 2019年的报告，全球云计算</w:t>
      </w:r>
      <w:bookmarkStart w:id="1997" w:name="_GoBack"/>
      <w:bookmarkEnd w:id="1997"/>
      <w:r>
        <w:rPr>
          <w:rFonts w:hint="eastAsia"/>
        </w:rPr>
        <w:t>市场</w:t>
      </w:r>
      <w:r>
        <w:rPr>
          <w:rFonts w:hint="eastAsia"/>
          <w:lang w:eastAsia="zh-CN"/>
        </w:rPr>
        <w:t>（</w:t>
      </w:r>
      <w:r>
        <w:rPr>
          <w:rFonts w:hint="eastAsia"/>
          <w:lang w:val="en-US" w:eastAsia="zh-CN"/>
        </w:rPr>
        <w:t>IaaS部分</w:t>
      </w:r>
      <w:r>
        <w:rPr>
          <w:rFonts w:hint="eastAsia"/>
          <w:lang w:eastAsia="zh-CN"/>
        </w:rPr>
        <w:t>）</w:t>
      </w:r>
      <w:r>
        <w:rPr>
          <w:rFonts w:hint="eastAsia"/>
        </w:rPr>
        <w:t>份额达到445亿美元，市场份额前三名的云平台分别为亚马逊AWS、微软Azure和阿里云。部署在云平台上的应用程序（如图1.1所示）包括Facebook（即时通信服务程序）、23andMe（基因技术服务程序）及</w:t>
      </w:r>
      <w:r>
        <w:t>PayPal</w:t>
      </w:r>
      <w:r>
        <w:rPr>
          <w:rFonts w:hint="eastAsia"/>
        </w:rPr>
        <w:t>（网络支付服务程序）等。</w:t>
      </w:r>
    </w:p>
    <w:p>
      <w:pPr>
        <w:jc w:val="center"/>
      </w:pPr>
      <w:r>
        <w:drawing>
          <wp:inline distT="0" distB="0" distL="0" distR="0">
            <wp:extent cx="3884930" cy="3239770"/>
            <wp:effectExtent l="0" t="0" r="1270" b="11430"/>
            <wp:docPr id="10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2"/>
                    <pic:cNvPicPr>
                      <a:picLocks noChangeAspect="1"/>
                    </pic:cNvPicPr>
                  </pic:nvPicPr>
                  <pic:blipFill>
                    <a:blip r:embed="rId37" cstate="print"/>
                    <a:srcRect/>
                    <a:stretch>
                      <a:fillRect/>
                    </a:stretch>
                  </pic:blipFill>
                  <pic:spPr>
                    <a:xfrm>
                      <a:off x="0" y="0"/>
                      <a:ext cx="3884930" cy="3239770"/>
                    </a:xfrm>
                    <a:prstGeom prst="rect">
                      <a:avLst/>
                    </a:prstGeom>
                    <a:ln>
                      <a:noFill/>
                    </a:ln>
                  </pic:spPr>
                </pic:pic>
              </a:graphicData>
            </a:graphic>
          </wp:inline>
        </w:drawing>
      </w:r>
    </w:p>
    <w:p>
      <w:pPr>
        <w:pStyle w:val="6"/>
      </w:pPr>
      <w:r>
        <w:rPr>
          <w:b/>
          <w:bCs/>
        </w:rPr>
        <w:t>图</w:t>
      </w:r>
      <w:r>
        <w:rPr>
          <w:rFonts w:hint="eastAsia"/>
          <w:b/>
          <w:bCs/>
        </w:rPr>
        <w:t>1.</w:t>
      </w:r>
      <w:r>
        <w:rPr>
          <w:b/>
          <w:bCs/>
        </w:rPr>
        <w:fldChar w:fldCharType="begin"/>
      </w:r>
      <w:r>
        <w:rPr>
          <w:b/>
          <w:bCs/>
        </w:rPr>
        <w:instrText xml:space="preserve"> SEQ 图 \* ARABIC \s 1 </w:instrText>
      </w:r>
      <w:r>
        <w:rPr>
          <w:b/>
          <w:bCs/>
        </w:rPr>
        <w:fldChar w:fldCharType="separate"/>
      </w:r>
      <w:r>
        <w:rPr>
          <w:b/>
          <w:bCs/>
        </w:rPr>
        <w:t>1</w:t>
      </w:r>
      <w:r>
        <w:rPr>
          <w:b/>
          <w:bCs/>
        </w:rPr>
        <w:fldChar w:fldCharType="end"/>
      </w:r>
      <w:bookmarkStart w:id="180" w:name="_Toc6737"/>
      <w:bookmarkStart w:id="181" w:name="_Toc14573"/>
      <w:bookmarkStart w:id="182" w:name="_Toc22651"/>
      <w:bookmarkStart w:id="183" w:name="_Toc26106"/>
      <w:bookmarkStart w:id="184" w:name="_Toc17771"/>
      <w:bookmarkStart w:id="185" w:name="_Toc4905"/>
      <w:bookmarkStart w:id="186" w:name="_Toc1966"/>
      <w:bookmarkStart w:id="187" w:name="_Toc14320"/>
      <w:bookmarkStart w:id="188" w:name="_Toc21436"/>
      <w:bookmarkStart w:id="189" w:name="_Toc29367"/>
      <w:bookmarkStart w:id="190" w:name="_Toc26422"/>
      <w:bookmarkStart w:id="191" w:name="_Toc7691"/>
      <w:bookmarkStart w:id="192" w:name="_Toc21782"/>
      <w:bookmarkStart w:id="193" w:name="_Toc154"/>
      <w:bookmarkStart w:id="194" w:name="_Toc15037"/>
      <w:bookmarkStart w:id="195" w:name="_Toc5384"/>
      <w:bookmarkStart w:id="196" w:name="_Toc31403"/>
      <w:bookmarkStart w:id="197" w:name="_Toc32430"/>
      <w:bookmarkStart w:id="198" w:name="_Toc8228"/>
      <w:bookmarkStart w:id="199" w:name="_Toc1342"/>
      <w:bookmarkStart w:id="200" w:name="_Toc2750"/>
      <w:bookmarkStart w:id="201" w:name="_Toc25470"/>
      <w:bookmarkStart w:id="202" w:name="_Toc21006"/>
      <w:bookmarkStart w:id="203" w:name="_Toc25385"/>
      <w:bookmarkStart w:id="204" w:name="_Toc24417"/>
      <w:bookmarkStart w:id="205" w:name="_Toc12324"/>
      <w:r>
        <w:rPr>
          <w:rFonts w:hint="eastAsia"/>
        </w:rPr>
        <w:t>　云平台上部署的服务</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pPr>
        <w:pStyle w:val="6"/>
      </w:pPr>
      <w:bookmarkStart w:id="206" w:name="OLE_LINK17"/>
      <w:r>
        <w:rPr>
          <w:rFonts w:hint="eastAsia"/>
          <w:b/>
          <w:bCs/>
        </w:rPr>
        <w:t>Figure1.1</w:t>
      </w:r>
      <w:r>
        <w:rPr>
          <w:rFonts w:hint="eastAsia"/>
        </w:rPr>
        <w:t>　Services deployed on the cloud platform</w:t>
      </w:r>
    </w:p>
    <w:bookmarkEnd w:id="206"/>
    <w:p>
      <w:pPr>
        <w:ind w:firstLine="480" w:firstLineChars="200"/>
      </w:pPr>
      <w:r>
        <w:rPr>
          <w:rFonts w:hint="eastAsia"/>
        </w:rPr>
        <w:t>云平台上的大量应用程序对安全敏感。尽管云平台已经部署了Web应用防火墙和DDOS防御系统等，针对云平台上应用程序的攻击事件依然频发。黑客能够构建提权攻击，云平台管理员能够直接访问云用户内容，使得云用户无法完全信任云平台。</w:t>
      </w:r>
      <w:r>
        <w:rPr>
          <w:rFonts w:hint="eastAsia"/>
          <w:lang w:val="en-US" w:eastAsia="zh-CN"/>
        </w:rPr>
        <w:t>如何保护远程计算（如云平台上程序的计算过程及计算内容）安全性的</w:t>
      </w:r>
      <w:r>
        <w:rPr>
          <w:rFonts w:hint="eastAsia"/>
        </w:rPr>
        <w:t>问题被论文</w:t>
      </w:r>
      <w:r>
        <w:rPr>
          <w:rFonts w:hint="eastAsia"/>
          <w:vertAlign w:val="superscript"/>
        </w:rPr>
        <w:t>[1]</w:t>
      </w:r>
      <w:r>
        <w:rPr>
          <w:rFonts w:hint="eastAsia"/>
        </w:rPr>
        <w:t>总结为远程计算安全问题。Intel Software Guard Extensions（简称SGX）能够有效解决远程计算安全问题，保护远程计算安全性。SGX构建了用户态可信执行环境Enclave，通过密码学方法和访问控制保护Enclave免受Ring0权限攻击。云平台上的应用程序可以使用SGX保护其安全（图1.2）。</w:t>
      </w:r>
    </w:p>
    <w:p>
      <w:pPr>
        <w:jc w:val="center"/>
      </w:pPr>
      <w:r>
        <w:drawing>
          <wp:inline distT="0" distB="0" distL="114300" distR="114300">
            <wp:extent cx="4297045" cy="3239770"/>
            <wp:effectExtent l="0" t="0" r="8255" b="1143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8"/>
                    <a:stretch>
                      <a:fillRect/>
                    </a:stretch>
                  </pic:blipFill>
                  <pic:spPr>
                    <a:xfrm>
                      <a:off x="0" y="0"/>
                      <a:ext cx="4297045" cy="3239770"/>
                    </a:xfrm>
                    <a:prstGeom prst="rect">
                      <a:avLst/>
                    </a:prstGeom>
                    <a:noFill/>
                    <a:ln>
                      <a:noFill/>
                    </a:ln>
                  </pic:spPr>
                </pic:pic>
              </a:graphicData>
            </a:graphic>
          </wp:inline>
        </w:drawing>
      </w:r>
    </w:p>
    <w:p>
      <w:pPr>
        <w:pStyle w:val="6"/>
      </w:pPr>
      <w:r>
        <w:rPr>
          <w:b/>
          <w:bCs/>
        </w:rPr>
        <w:t>图</w:t>
      </w:r>
      <w:r>
        <w:rPr>
          <w:rFonts w:hint="eastAsia"/>
          <w:b/>
          <w:bCs/>
        </w:rPr>
        <w:t>1.</w:t>
      </w:r>
      <w:r>
        <w:rPr>
          <w:b/>
          <w:bCs/>
        </w:rPr>
        <w:fldChar w:fldCharType="begin"/>
      </w:r>
      <w:r>
        <w:rPr>
          <w:b/>
          <w:bCs/>
        </w:rPr>
        <w:instrText xml:space="preserve"> SEQ 图 \* ARABIC \s 1 </w:instrText>
      </w:r>
      <w:r>
        <w:rPr>
          <w:b/>
          <w:bCs/>
        </w:rPr>
        <w:fldChar w:fldCharType="separate"/>
      </w:r>
      <w:r>
        <w:rPr>
          <w:b/>
          <w:bCs/>
        </w:rPr>
        <w:t>2</w:t>
      </w:r>
      <w:r>
        <w:rPr>
          <w:b/>
          <w:bCs/>
        </w:rPr>
        <w:fldChar w:fldCharType="end"/>
      </w:r>
      <w:bookmarkStart w:id="207" w:name="_Toc29134"/>
      <w:bookmarkStart w:id="208" w:name="_Toc24355"/>
      <w:bookmarkStart w:id="209" w:name="_Toc26523"/>
      <w:bookmarkStart w:id="210" w:name="_Toc17157"/>
      <w:bookmarkStart w:id="211" w:name="_Toc14298"/>
      <w:bookmarkStart w:id="212" w:name="_Toc11623"/>
      <w:bookmarkStart w:id="213" w:name="_Toc25733"/>
      <w:bookmarkStart w:id="214" w:name="_Toc18333"/>
      <w:bookmarkStart w:id="215" w:name="_Toc22477"/>
      <w:bookmarkStart w:id="216" w:name="_Toc9376"/>
      <w:bookmarkStart w:id="217" w:name="_Toc18819"/>
      <w:bookmarkStart w:id="218" w:name="_Toc21945"/>
      <w:bookmarkStart w:id="219" w:name="_Toc7609"/>
      <w:bookmarkStart w:id="220" w:name="_Toc28967"/>
      <w:bookmarkStart w:id="221" w:name="_Toc15619"/>
      <w:bookmarkStart w:id="222" w:name="_Toc3077"/>
      <w:bookmarkStart w:id="223" w:name="_Toc1566"/>
      <w:bookmarkStart w:id="224" w:name="_Toc31593"/>
      <w:bookmarkStart w:id="225" w:name="_Toc29075"/>
      <w:bookmarkStart w:id="226" w:name="_Toc12243"/>
      <w:bookmarkStart w:id="227" w:name="_Toc7176"/>
      <w:bookmarkStart w:id="228" w:name="_Toc9997"/>
      <w:bookmarkStart w:id="229" w:name="_Toc25650"/>
      <w:bookmarkStart w:id="230" w:name="_Toc32385"/>
      <w:bookmarkStart w:id="231" w:name="_Toc18509"/>
      <w:bookmarkStart w:id="232" w:name="_Toc28979"/>
      <w:r>
        <w:rPr>
          <w:rFonts w:hint="eastAsia"/>
          <w:b/>
          <w:bCs/>
        </w:rPr>
        <w:t>　</w:t>
      </w:r>
      <w:r>
        <w:rPr>
          <w:rFonts w:hint="eastAsia"/>
        </w:rPr>
        <w:t>Intel SGX保护云平台上服务程序安全</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pPr>
        <w:pStyle w:val="6"/>
      </w:pPr>
      <w:r>
        <w:rPr>
          <w:rFonts w:hint="eastAsia"/>
          <w:b/>
          <w:bCs/>
        </w:rPr>
        <w:t>Figure1.2　</w:t>
      </w:r>
      <w:r>
        <w:rPr>
          <w:rFonts w:hint="eastAsia"/>
        </w:rPr>
        <w:t>Intel SGX protects the security of service</w:t>
      </w:r>
      <w:r>
        <w:rPr>
          <w:rFonts w:hint="eastAsia"/>
          <w:lang w:val="en-US" w:eastAsia="zh-CN"/>
        </w:rPr>
        <w:t xml:space="preserve"> program</w:t>
      </w:r>
      <w:r>
        <w:rPr>
          <w:rFonts w:hint="eastAsia"/>
        </w:rPr>
        <w:t>s on the cloud platform</w:t>
      </w:r>
    </w:p>
    <w:p>
      <w:pPr>
        <w:ind w:firstLine="480" w:firstLineChars="200"/>
      </w:pPr>
      <w:r>
        <w:rPr>
          <w:rFonts w:hint="eastAsia"/>
        </w:rPr>
        <w:t>阿里云研发了“基于SGX2.0和TPM的虚拟化实例”和“系统可信解决方案”，标志着阿里云具备提供完整云可信产品的能力。其它云平台（如亚马逊AWS和微软Azure）也应用Intel SGX增强云安全能力，达到企业及国家法规要求（如中国国标等保2.0）。</w:t>
      </w:r>
    </w:p>
    <w:p>
      <w:pPr>
        <w:ind w:firstLine="480" w:firstLineChars="200"/>
      </w:pPr>
      <w:r>
        <w:rPr>
          <w:rFonts w:hint="eastAsia"/>
        </w:rPr>
        <w:t>2013年SGX概念被提出，2015年SGX在Intel Skylake架构CPU中得到部署。此后，SGX在云安全、网络通信和本地应用中被大量应用，多方计算、机器学习、区块链、人工智能和生物识别技术保护等场景逐渐使用SGX解决其问题</w:t>
      </w:r>
      <w:r>
        <w:rPr>
          <w:rFonts w:hint="eastAsia"/>
          <w:vertAlign w:val="superscript"/>
        </w:rPr>
        <w:t>[2]</w:t>
      </w:r>
      <w:r>
        <w:rPr>
          <w:rFonts w:hint="eastAsia"/>
        </w:rPr>
        <w:t>。但最近研究表明，Enclave开发过程存在诸多安全问题，SGX</w:t>
      </w:r>
      <w:r>
        <w:rPr>
          <w:rFonts w:hint="eastAsia"/>
          <w:lang w:val="en-US" w:eastAsia="zh-CN"/>
        </w:rPr>
        <w:t>设计</w:t>
      </w:r>
      <w:r>
        <w:rPr>
          <w:rFonts w:hint="eastAsia"/>
        </w:rPr>
        <w:t>存在安全缺陷，攻击者针对这些安全问题透过SGX攻击面利用各种攻击向量破坏SGX安全性。对此，本文旨在提出一种框架性的防御方案全面加固SGX。</w:t>
      </w:r>
    </w:p>
    <w:p>
      <w:pPr>
        <w:pStyle w:val="3"/>
      </w:pPr>
      <w:bookmarkStart w:id="233" w:name="_Toc3445"/>
      <w:bookmarkStart w:id="234" w:name="_Toc24279"/>
      <w:bookmarkStart w:id="235" w:name="_Toc1039"/>
      <w:bookmarkStart w:id="236" w:name="_Toc20890"/>
      <w:bookmarkStart w:id="237" w:name="_Toc23779"/>
      <w:bookmarkStart w:id="238" w:name="_Toc12406"/>
      <w:bookmarkStart w:id="239" w:name="_Toc11202"/>
      <w:bookmarkStart w:id="240" w:name="_Toc28340"/>
      <w:bookmarkStart w:id="241" w:name="_Toc27344"/>
      <w:bookmarkStart w:id="242" w:name="_Toc20820"/>
      <w:bookmarkStart w:id="243" w:name="_Toc5264"/>
      <w:bookmarkStart w:id="244" w:name="_Toc10505"/>
      <w:bookmarkStart w:id="245" w:name="_Toc16328"/>
      <w:bookmarkStart w:id="246" w:name="_Toc14427"/>
      <w:bookmarkStart w:id="247" w:name="_Toc8822"/>
      <w:bookmarkStart w:id="248" w:name="_Toc19809"/>
      <w:bookmarkStart w:id="249" w:name="_Toc19398"/>
      <w:bookmarkStart w:id="250" w:name="_Toc21891"/>
      <w:bookmarkStart w:id="251" w:name="_Toc4321"/>
      <w:bookmarkStart w:id="252" w:name="_Toc17022"/>
      <w:r>
        <w:rPr>
          <w:rFonts w:hint="eastAsia"/>
        </w:rPr>
        <w:t>1.2　相关研究概述</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pPr>
        <w:ind w:firstLine="480" w:firstLineChars="200"/>
      </w:pPr>
      <w:r>
        <w:rPr>
          <w:rFonts w:hint="eastAsia"/>
        </w:rPr>
        <w:t>Intel SGX</w:t>
      </w:r>
      <w:r>
        <w:rPr>
          <w:rFonts w:hint="eastAsia"/>
          <w:vertAlign w:val="superscript"/>
        </w:rPr>
        <w:t>[3-5]</w:t>
      </w:r>
      <w:r>
        <w:rPr>
          <w:rFonts w:hint="eastAsia"/>
          <w:vertAlign w:val="baseline"/>
          <w:lang w:val="en-US" w:eastAsia="zh-CN"/>
        </w:rPr>
        <w:t>旨在</w:t>
      </w:r>
      <w:r>
        <w:rPr>
          <w:rFonts w:hint="eastAsia"/>
        </w:rPr>
        <w:t>提供</w:t>
      </w:r>
      <w:r>
        <w:rPr>
          <w:rFonts w:hint="eastAsia"/>
          <w:lang w:val="en-US" w:eastAsia="zh-CN"/>
        </w:rPr>
        <w:t>用户态的</w:t>
      </w:r>
      <w:bookmarkStart w:id="253" w:name="OLE_LINK24"/>
      <w:r>
        <w:rPr>
          <w:rFonts w:hint="eastAsia"/>
        </w:rPr>
        <w:t>可信执行环境</w:t>
      </w:r>
      <w:bookmarkEnd w:id="253"/>
      <w:r>
        <w:rPr>
          <w:rFonts w:hint="eastAsia"/>
        </w:rPr>
        <w:t>（</w:t>
      </w:r>
      <w:r>
        <w:rPr>
          <w:rFonts w:hint="eastAsia"/>
          <w:lang w:val="en-US" w:eastAsia="zh-CN"/>
        </w:rPr>
        <w:t>Trusted Execution Environment，缩写为</w:t>
      </w:r>
      <w:r>
        <w:rPr>
          <w:rFonts w:hint="eastAsia"/>
        </w:rPr>
        <w:t>TEE），保护并证明计算过程</w:t>
      </w:r>
      <w:r>
        <w:rPr>
          <w:rFonts w:hint="eastAsia"/>
          <w:lang w:val="en-US" w:eastAsia="zh-CN"/>
        </w:rPr>
        <w:t>及计算内容</w:t>
      </w:r>
      <w:r>
        <w:rPr>
          <w:rFonts w:hint="eastAsia"/>
        </w:rPr>
        <w:t>可信。</w:t>
      </w:r>
      <w:r>
        <w:rPr>
          <w:rFonts w:hint="eastAsia"/>
          <w:lang w:val="en-US" w:eastAsia="zh-CN"/>
        </w:rPr>
        <w:t>TEE技术是可信计算技术的发展，基于隔离技术保护程序敏感内容。TEE技术实现上可分为基于软件的和基于硬件的，</w:t>
      </w:r>
      <w:r>
        <w:rPr>
          <w:rFonts w:hint="eastAsia"/>
        </w:rPr>
        <w:t>基于CPU</w:t>
      </w:r>
      <w:r>
        <w:rPr>
          <w:rFonts w:hint="eastAsia"/>
          <w:lang w:val="en-US" w:eastAsia="zh-CN"/>
        </w:rPr>
        <w:t>硬件</w:t>
      </w:r>
      <w:r>
        <w:rPr>
          <w:rFonts w:hint="eastAsia"/>
        </w:rPr>
        <w:t>的除Intel SGX外还包括ARM TrustZone、RISC-V Keystone、AMD SEV，基于GPU</w:t>
      </w:r>
      <w:r>
        <w:rPr>
          <w:rFonts w:hint="eastAsia"/>
          <w:lang w:val="en-US" w:eastAsia="zh-CN"/>
        </w:rPr>
        <w:t>硬件</w:t>
      </w:r>
      <w:r>
        <w:rPr>
          <w:rFonts w:hint="eastAsia"/>
        </w:rPr>
        <w:t>的包括论文</w:t>
      </w:r>
      <w:r>
        <w:rPr>
          <w:rFonts w:hint="eastAsia"/>
          <w:vertAlign w:val="superscript"/>
        </w:rPr>
        <w:t>[6,7]</w:t>
      </w:r>
      <w:r>
        <w:rPr>
          <w:rFonts w:hint="eastAsia"/>
        </w:rPr>
        <w:t>等，基于软件的包括Virtual Ghost</w:t>
      </w:r>
      <w:r>
        <w:rPr>
          <w:rFonts w:hint="eastAsia"/>
          <w:vertAlign w:val="superscript"/>
        </w:rPr>
        <w:t>[8]</w:t>
      </w:r>
      <w:r>
        <w:rPr>
          <w:rFonts w:hint="eastAsia"/>
        </w:rPr>
        <w:t>等</w:t>
      </w:r>
      <w:r>
        <w:rPr>
          <w:rFonts w:hint="eastAsia"/>
          <w:lang w:eastAsia="zh-CN"/>
        </w:rPr>
        <w:t>。</w:t>
      </w:r>
      <w:r>
        <w:rPr>
          <w:rFonts w:hint="eastAsia"/>
          <w:lang w:val="en-US" w:eastAsia="zh-CN"/>
        </w:rPr>
        <w:t>基于软件的TEE能快速形成原型系统，基于硬件的TEE性能得到提升</w:t>
      </w:r>
      <w:r>
        <w:rPr>
          <w:rFonts w:hint="eastAsia"/>
        </w:rPr>
        <w:t>。</w:t>
      </w:r>
      <w:r>
        <w:rPr>
          <w:rFonts w:hint="eastAsia"/>
          <w:lang w:val="en-US" w:eastAsia="zh-CN"/>
        </w:rPr>
        <w:t>TEE技术根据架构</w:t>
      </w:r>
      <w:r>
        <w:rPr>
          <w:rFonts w:hint="eastAsia"/>
        </w:rPr>
        <w:t>可分为全栈式</w:t>
      </w:r>
      <w:r>
        <w:rPr>
          <w:rFonts w:hint="eastAsia"/>
          <w:lang w:val="en-US" w:eastAsia="zh-CN"/>
        </w:rPr>
        <w:t>TEE</w:t>
      </w:r>
      <w:r>
        <w:rPr>
          <w:rFonts w:hint="eastAsia"/>
        </w:rPr>
        <w:t>和用户态</w:t>
      </w:r>
      <w:r>
        <w:rPr>
          <w:rFonts w:hint="eastAsia"/>
          <w:lang w:val="en-US" w:eastAsia="zh-CN"/>
        </w:rPr>
        <w:t>TEE（常称为Enclave）</w:t>
      </w:r>
      <w:r>
        <w:rPr>
          <w:rFonts w:hint="eastAsia"/>
          <w:lang w:eastAsia="zh-CN"/>
        </w:rPr>
        <w:t>，</w:t>
      </w:r>
      <w:r>
        <w:rPr>
          <w:rFonts w:hint="eastAsia"/>
          <w:lang w:val="en-US" w:eastAsia="zh-CN"/>
        </w:rPr>
        <w:t>前者</w:t>
      </w:r>
      <w:r>
        <w:rPr>
          <w:rFonts w:hint="eastAsia"/>
        </w:rPr>
        <w:t>将计算资源划分为安全世界和非安全世界，</w:t>
      </w:r>
      <w:r>
        <w:rPr>
          <w:rFonts w:hint="eastAsia"/>
          <w:lang w:val="en-US" w:eastAsia="zh-CN"/>
        </w:rPr>
        <w:t>两者均包含</w:t>
      </w:r>
      <w:r>
        <w:rPr>
          <w:rFonts w:hint="eastAsia"/>
        </w:rPr>
        <w:t>用户态和内核态架构但彼此隔离</w:t>
      </w:r>
      <w:r>
        <w:rPr>
          <w:rFonts w:hint="eastAsia"/>
          <w:lang w:eastAsia="zh-CN"/>
        </w:rPr>
        <w:t>，</w:t>
      </w:r>
      <w:r>
        <w:rPr>
          <w:rFonts w:hint="eastAsia"/>
        </w:rPr>
        <w:t>SGX等提供的用户态可信执行环境</w:t>
      </w:r>
      <w:r>
        <w:rPr>
          <w:rFonts w:hint="eastAsia"/>
          <w:lang w:val="en-US" w:eastAsia="zh-CN"/>
        </w:rPr>
        <w:t>更着重于</w:t>
      </w:r>
      <w:r>
        <w:rPr>
          <w:rFonts w:hint="eastAsia"/>
        </w:rPr>
        <w:t>保护用户态应用程序的敏感内容。</w:t>
      </w:r>
    </w:p>
    <w:p>
      <w:pPr>
        <w:ind w:firstLine="480" w:firstLineChars="200"/>
      </w:pPr>
      <w:r>
        <w:rPr>
          <w:rFonts w:hint="eastAsia"/>
        </w:rPr>
        <w:t>本文关注的SGX主要通过密码学方法和访问控制保护用户态可信执行环境Enclave免受Ring0权限攻击</w:t>
      </w:r>
      <w:r>
        <w:rPr>
          <w:rFonts w:hint="eastAsia"/>
          <w:vertAlign w:val="superscript"/>
        </w:rPr>
        <w:t>[1,9,10]</w:t>
      </w:r>
      <w:r>
        <w:rPr>
          <w:rFonts w:hint="eastAsia"/>
        </w:rPr>
        <w:t>。但最近研究表明，开发者开发Enclave过程中未严格遵循SGX开发规范滋生安全问题，SGX设计中对安全场景考虑不充分存在安全缺陷，攻击者针对安全问题利用“缓存侧信道”、“页表攻击”、“影子分支攻击”及“调用排序攻击”等攻击向量开展攻击</w:t>
      </w:r>
      <w:r>
        <w:rPr>
          <w:rFonts w:hint="eastAsia"/>
          <w:vertAlign w:val="superscript"/>
        </w:rPr>
        <w:t>[11-25]</w:t>
      </w:r>
      <w:r>
        <w:rPr>
          <w:rFonts w:hint="eastAsia"/>
        </w:rPr>
        <w:t>，严重破坏SGX Enclave的安全性。这些攻击向量主要透过</w:t>
      </w:r>
      <w:r>
        <w:t>Enclave</w:t>
      </w:r>
      <w:r>
        <w:rPr>
          <w:rFonts w:hint="eastAsia"/>
        </w:rPr>
        <w:t>接口和共享资源攻击面。</w:t>
      </w:r>
      <w:r>
        <w:t>Enclave</w:t>
      </w:r>
      <w:r>
        <w:rPr>
          <w:rFonts w:hint="eastAsia"/>
        </w:rPr>
        <w:t>接口是指Enclave向外暴露的接口，攻击者能够轻易操控</w:t>
      </w:r>
      <w:r>
        <w:t>Enclave</w:t>
      </w:r>
      <w:r>
        <w:rPr>
          <w:rFonts w:hint="eastAsia"/>
        </w:rPr>
        <w:t>接口攻击面展开攻击。而共享资源是指Enclave内外软硬件层面的共享资源，攻击者观察共享资源上的信息变化推测Enclave内的执行流或数据流，但共享资源攻击面难以</w:t>
      </w:r>
      <w:r>
        <w:rPr>
          <w:rFonts w:hint="eastAsia"/>
          <w:lang w:val="en-US" w:eastAsia="zh-CN"/>
        </w:rPr>
        <w:t>被</w:t>
      </w:r>
      <w:r>
        <w:rPr>
          <w:rFonts w:hint="eastAsia"/>
        </w:rPr>
        <w:t>发现且难以</w:t>
      </w:r>
      <w:r>
        <w:rPr>
          <w:rFonts w:hint="eastAsia"/>
          <w:lang w:val="en-US" w:eastAsia="zh-CN"/>
        </w:rPr>
        <w:t>被</w:t>
      </w:r>
      <w:r>
        <w:rPr>
          <w:rFonts w:hint="eastAsia"/>
        </w:rPr>
        <w:t>有效利用。</w:t>
      </w:r>
    </w:p>
    <w:p>
      <w:pPr>
        <w:ind w:firstLine="480" w:firstLineChars="200"/>
      </w:pPr>
      <w:r>
        <w:rPr>
          <w:rFonts w:hint="eastAsia"/>
        </w:rPr>
        <w:t>针对SGX攻击，有若干防御方案被提出</w:t>
      </w:r>
      <w:r>
        <w:rPr>
          <w:rFonts w:hint="eastAsia"/>
          <w:vertAlign w:val="superscript"/>
        </w:rPr>
        <w:t>[26-38]</w:t>
      </w:r>
      <w:r>
        <w:rPr>
          <w:rFonts w:hint="eastAsia"/>
        </w:rPr>
        <w:t>，它们在Enclave代码中对Enclave接口进行消毒，将Enclave内外共享资源用更彻底的隔离机制进行隔离避免Enclave内将状态等信息</w:t>
      </w:r>
      <w:bookmarkStart w:id="254" w:name="OLE_LINK49"/>
      <w:r>
        <w:rPr>
          <w:rFonts w:hint="eastAsia"/>
        </w:rPr>
        <w:t>泄露</w:t>
      </w:r>
      <w:bookmarkEnd w:id="254"/>
      <w:r>
        <w:rPr>
          <w:rFonts w:hint="eastAsia"/>
        </w:rPr>
        <w:t>到Enclave内外共享资源，检测攻击代码在Enclave内留下的痕迹。但分析发现各个防御方案所遵循的安全准则不统一，难以被SGX架构同时兼容。至今没有防御方案深入刻画</w:t>
      </w:r>
      <w:r>
        <w:t>SGX</w:t>
      </w:r>
      <w:r>
        <w:rPr>
          <w:rFonts w:hint="eastAsia"/>
        </w:rPr>
        <w:t>架构，全面加固</w:t>
      </w:r>
      <w:r>
        <w:t>SGX</w:t>
      </w:r>
      <w:r>
        <w:rPr>
          <w:rFonts w:hint="eastAsia"/>
        </w:rPr>
        <w:t>。</w:t>
      </w:r>
    </w:p>
    <w:p>
      <w:pPr>
        <w:pStyle w:val="3"/>
        <w:rPr>
          <w:szCs w:val="24"/>
        </w:rPr>
      </w:pPr>
      <w:bookmarkStart w:id="255" w:name="_Toc12514"/>
      <w:bookmarkStart w:id="256" w:name="_Toc32698"/>
      <w:bookmarkStart w:id="257" w:name="_Toc31159"/>
      <w:bookmarkStart w:id="258" w:name="_Toc19891"/>
      <w:bookmarkStart w:id="259" w:name="_Toc28324"/>
      <w:bookmarkStart w:id="260" w:name="_Toc30233"/>
      <w:bookmarkStart w:id="261" w:name="_Toc27301"/>
      <w:bookmarkStart w:id="262" w:name="_Toc2482"/>
      <w:bookmarkStart w:id="263" w:name="_Toc12751"/>
      <w:bookmarkStart w:id="264" w:name="_Toc11723"/>
      <w:bookmarkStart w:id="265" w:name="_Toc20674"/>
      <w:bookmarkStart w:id="266" w:name="_Toc30793"/>
      <w:bookmarkStart w:id="267" w:name="_Toc26423"/>
      <w:bookmarkStart w:id="268" w:name="_Toc7896"/>
      <w:bookmarkStart w:id="269" w:name="_Toc15989"/>
      <w:bookmarkStart w:id="270" w:name="_Toc16026"/>
      <w:bookmarkStart w:id="271" w:name="_Toc18687"/>
      <w:bookmarkStart w:id="272" w:name="_Toc9831"/>
      <w:r>
        <w:rPr>
          <w:rFonts w:hint="eastAsia"/>
        </w:rPr>
        <w:t>1.3　主要研究内容和</w:t>
      </w:r>
      <w:bookmarkEnd w:id="251"/>
      <w:bookmarkEnd w:id="252"/>
      <w:bookmarkEnd w:id="255"/>
      <w:bookmarkEnd w:id="256"/>
      <w:bookmarkEnd w:id="257"/>
      <w:bookmarkEnd w:id="258"/>
      <w:bookmarkEnd w:id="259"/>
      <w:bookmarkEnd w:id="260"/>
      <w:bookmarkEnd w:id="261"/>
      <w:bookmarkEnd w:id="262"/>
      <w:bookmarkEnd w:id="263"/>
      <w:r>
        <w:rPr>
          <w:rFonts w:hint="eastAsia"/>
        </w:rPr>
        <w:t>贡献</w:t>
      </w:r>
      <w:bookmarkEnd w:id="264"/>
      <w:bookmarkEnd w:id="265"/>
      <w:bookmarkEnd w:id="266"/>
      <w:bookmarkEnd w:id="267"/>
      <w:bookmarkEnd w:id="268"/>
      <w:bookmarkEnd w:id="269"/>
      <w:bookmarkEnd w:id="270"/>
      <w:bookmarkEnd w:id="271"/>
      <w:bookmarkEnd w:id="272"/>
    </w:p>
    <w:p>
      <w:pPr>
        <w:ind w:firstLine="480" w:firstLineChars="200"/>
      </w:pPr>
      <w:r>
        <w:t>SGX安全</w:t>
      </w:r>
      <w:r>
        <w:rPr>
          <w:rFonts w:hint="eastAsia"/>
        </w:rPr>
        <w:t>问题深刻影响SGX实际应用，本文为了系统分析SGX架构，增强SGX安全性，展开了如下研究：</w:t>
      </w:r>
    </w:p>
    <w:p>
      <w:pPr>
        <w:numPr>
          <w:ilvl w:val="0"/>
          <w:numId w:val="3"/>
        </w:numPr>
        <w:ind w:left="845"/>
      </w:pPr>
      <w:r>
        <w:rPr>
          <w:rFonts w:hint="eastAsia"/>
        </w:rPr>
        <w:t>Intel SGX关键执行路径及安全关键点分析。归纳现有SGX攻击所</w:t>
      </w:r>
      <w:r>
        <w:rPr>
          <w:rFonts w:hint="eastAsia"/>
          <w:lang w:val="en-US" w:eastAsia="zh-CN"/>
        </w:rPr>
        <w:t>针对</w:t>
      </w:r>
      <w:r>
        <w:rPr>
          <w:rFonts w:hint="eastAsia"/>
        </w:rPr>
        <w:t>的安全问题</w:t>
      </w:r>
      <w:r>
        <w:rPr>
          <w:rFonts w:hint="eastAsia"/>
          <w:lang w:eastAsia="zh-CN"/>
        </w:rPr>
        <w:t>、</w:t>
      </w:r>
      <w:r>
        <w:rPr>
          <w:rFonts w:hint="eastAsia"/>
        </w:rPr>
        <w:t>所利用的攻击向量及所涉及的攻击面，分析SGX架构关键执行路径及安全关键点位，加固SGX安全关键点以提升SGX自身安全性。</w:t>
      </w:r>
    </w:p>
    <w:p>
      <w:pPr>
        <w:numPr>
          <w:ilvl w:val="0"/>
          <w:numId w:val="3"/>
        </w:numPr>
        <w:ind w:left="845"/>
      </w:pPr>
      <w:r>
        <w:rPr>
          <w:rFonts w:hint="eastAsia"/>
        </w:rPr>
        <w:t>针对Intel SGX SDK的安全增强框架设计。本文基于SGX原生架构设计针对Intel SGX SDK的安全增强框架（简称SGX-SEF），以审计检查关键执行路径及安全关键点，记录安全事件，兼容多种安全策略防御多种攻击向量。</w:t>
      </w:r>
    </w:p>
    <w:p>
      <w:pPr>
        <w:numPr>
          <w:ilvl w:val="0"/>
          <w:numId w:val="3"/>
        </w:numPr>
        <w:ind w:left="845"/>
      </w:pPr>
      <w:r>
        <w:rPr>
          <w:rFonts w:hint="eastAsia"/>
        </w:rPr>
        <w:t>针对Intel SGX SDK的安全增强框架</w:t>
      </w:r>
      <w:r>
        <w:rPr>
          <w:rFonts w:hint="eastAsia"/>
          <w:lang w:val="en-US" w:eastAsia="zh-CN"/>
        </w:rPr>
        <w:t>验证</w:t>
      </w:r>
      <w:r>
        <w:rPr>
          <w:rFonts w:hint="eastAsia"/>
        </w:rPr>
        <w:t>。本文实验验证SGX-SEF对关键执行路径和安全关键点的审计效果，评估SGX-SEF审计功能引起的性能开销，分析引起性能开销的原因</w:t>
      </w:r>
      <w:r>
        <w:rPr>
          <w:rFonts w:hint="eastAsia"/>
          <w:lang w:eastAsia="zh-CN"/>
        </w:rPr>
        <w:t>，</w:t>
      </w:r>
      <w:r>
        <w:rPr>
          <w:rFonts w:hint="eastAsia"/>
        </w:rPr>
        <w:t>实验验证SGX-SEF兼容多种安全策略防御多种攻击向量的能力。</w:t>
      </w:r>
    </w:p>
    <w:p>
      <w:pPr>
        <w:ind w:firstLine="480" w:firstLineChars="200"/>
      </w:pPr>
      <w:r>
        <w:rPr>
          <w:rFonts w:hint="eastAsia"/>
        </w:rPr>
        <w:t>本文主要贡献包括：</w:t>
      </w:r>
    </w:p>
    <w:p>
      <w:pPr>
        <w:numPr>
          <w:ilvl w:val="0"/>
          <w:numId w:val="4"/>
        </w:numPr>
      </w:pPr>
      <w:r>
        <w:rPr>
          <w:rFonts w:hint="eastAsia"/>
        </w:rPr>
        <w:t>现有SGX攻击向量能够破坏SGX安全性，但已有防御方案针对性地防御特定SGX攻击向量或攻击面，各个方案遵循的安全准则不统一，至今没有一个方案对SGX安全关键点进行全面分析，导致现有SGX架构难以有效兼容这些防御方案。针对上述问题，本文以SGX软件栈为主刻画了SGX架构及其关键执行路径，总结了其中的安全关键点。</w:t>
      </w:r>
    </w:p>
    <w:p>
      <w:pPr>
        <w:numPr>
          <w:ilvl w:val="0"/>
          <w:numId w:val="4"/>
        </w:numPr>
      </w:pPr>
      <w:r>
        <w:rPr>
          <w:rFonts w:hint="eastAsia"/>
        </w:rPr>
        <w:t>针对利用SGX SDK无法管控Enclave线程执行序及无法审计安全/非安全上下文切换事件等安全问题透过Enclave接口及共享资源等攻击面的多种SGX攻击向量，本文设计实现了针对Intel SGX SDK的安全增强框架（SGX-SEF），审计SGX关键执行路径，兼容已有安全准则防御多种攻击向量。</w:t>
      </w:r>
    </w:p>
    <w:p>
      <w:pPr>
        <w:numPr>
          <w:ilvl w:val="0"/>
          <w:numId w:val="4"/>
        </w:numPr>
      </w:pPr>
      <w:r>
        <w:rPr>
          <w:rFonts w:hint="eastAsia"/>
        </w:rPr>
        <w:t>针对恶意篡改Enclave代码调用顺序的调用排序和并发调用攻击向量，本文提出了“调用顺序白名单”安全策略，基于此策略审计检查关键执行路径，判断调用顺序是否符合安全策略。</w:t>
      </w:r>
    </w:p>
    <w:p>
      <w:pPr>
        <w:numPr>
          <w:ilvl w:val="0"/>
          <w:numId w:val="4"/>
        </w:numPr>
      </w:pPr>
      <w:r>
        <w:rPr>
          <w:rFonts w:hint="eastAsia"/>
        </w:rPr>
        <w:t>实验</w:t>
      </w:r>
      <w:r>
        <w:rPr>
          <w:rFonts w:hint="eastAsia"/>
          <w:lang w:val="en-US" w:eastAsia="zh-CN"/>
        </w:rPr>
        <w:t>验证</w:t>
      </w:r>
      <w:r>
        <w:rPr>
          <w:rFonts w:hint="eastAsia"/>
        </w:rPr>
        <w:t>了SGX-SEF能有效审计SGX关键执行路径，评估了SGX-SEF审计功能引起的性能开销，分析了引起性能开销的原因。</w:t>
      </w:r>
      <w:r>
        <w:rPr>
          <w:rFonts w:hint="eastAsia"/>
          <w:lang w:val="en-US" w:eastAsia="zh-CN"/>
        </w:rPr>
        <w:t>审计功能开销随</w:t>
      </w:r>
      <w:r>
        <w:rPr>
          <w:rFonts w:hint="eastAsia"/>
        </w:rPr>
        <w:t>日志容量</w:t>
      </w:r>
      <w:r>
        <w:rPr>
          <w:rFonts w:hint="eastAsia"/>
          <w:lang w:val="en-US" w:eastAsia="zh-CN"/>
        </w:rPr>
        <w:t>增大而增大</w:t>
      </w:r>
      <w:r>
        <w:rPr>
          <w:rFonts w:hint="eastAsia"/>
        </w:rPr>
        <w:t>，开销包括日志使用维护开销</w:t>
      </w:r>
      <w:r>
        <w:rPr>
          <w:rFonts w:hint="eastAsia"/>
          <w:lang w:val="en-US" w:eastAsia="zh-CN"/>
        </w:rPr>
        <w:t>及</w:t>
      </w:r>
      <w:r>
        <w:rPr>
          <w:rFonts w:hint="eastAsia"/>
        </w:rPr>
        <w:t>缓存未命中开销</w:t>
      </w:r>
      <w:r>
        <w:rPr>
          <w:rFonts w:hint="eastAsia"/>
          <w:lang w:eastAsia="zh-CN"/>
        </w:rPr>
        <w:t>。</w:t>
      </w:r>
      <w:r>
        <w:rPr>
          <w:rFonts w:hint="eastAsia"/>
          <w:lang w:val="en-US" w:eastAsia="zh-CN"/>
        </w:rPr>
        <w:t>当日志大小100项时，审计功能对各种调用方式引起的开销增幅不明显，100项大小的日志足够记录最近的安全事件用于审计检查功能</w:t>
      </w:r>
      <w:r>
        <w:rPr>
          <w:rFonts w:hint="eastAsia"/>
          <w:lang w:eastAsia="zh-CN"/>
        </w:rPr>
        <w:t>。</w:t>
      </w:r>
      <w:r>
        <w:rPr>
          <w:rFonts w:hint="eastAsia"/>
        </w:rPr>
        <w:t>日志容量为100项时</w:t>
      </w:r>
      <w:r>
        <w:rPr>
          <w:rFonts w:hint="eastAsia"/>
          <w:lang w:eastAsia="zh-CN"/>
        </w:rPr>
        <w:t>，</w:t>
      </w:r>
      <w:r>
        <w:rPr>
          <w:rFonts w:hint="eastAsia"/>
          <w:lang w:val="en-US" w:eastAsia="zh-CN"/>
        </w:rPr>
        <w:t>开销</w:t>
      </w:r>
      <w:r>
        <w:rPr>
          <w:rFonts w:hint="eastAsia"/>
        </w:rPr>
        <w:t>增幅在最优情况</w:t>
      </w:r>
      <w:r>
        <w:rPr>
          <w:rFonts w:hint="eastAsia"/>
          <w:lang w:eastAsia="zh-CN"/>
        </w:rPr>
        <w:t>（</w:t>
      </w:r>
      <w:r>
        <w:rPr>
          <w:rFonts w:hint="eastAsia"/>
          <w:lang w:val="en-US" w:eastAsia="zh-CN"/>
        </w:rPr>
        <w:t>Ordinary调用方式</w:t>
      </w:r>
      <w:r>
        <w:rPr>
          <w:rFonts w:hint="eastAsia"/>
          <w:lang w:eastAsia="zh-CN"/>
        </w:rPr>
        <w:t>）</w:t>
      </w:r>
      <w:r>
        <w:rPr>
          <w:rFonts w:hint="eastAsia"/>
        </w:rPr>
        <w:t>下为13%~18%</w:t>
      </w:r>
      <w:r>
        <w:rPr>
          <w:rFonts w:hint="eastAsia"/>
          <w:lang w:eastAsia="zh-CN"/>
        </w:rPr>
        <w:t>。</w:t>
      </w:r>
      <w:r>
        <w:rPr>
          <w:rFonts w:hint="eastAsia"/>
          <w:lang w:val="en-US" w:eastAsia="zh-CN"/>
        </w:rPr>
        <w:t>实验验证</w:t>
      </w:r>
      <w:r>
        <w:rPr>
          <w:rFonts w:hint="eastAsia"/>
        </w:rPr>
        <w:t>了防御者可以在SGX-SEF中灵活部署安全策略以抵御多类攻击向量。</w:t>
      </w:r>
    </w:p>
    <w:p>
      <w:pPr>
        <w:pStyle w:val="3"/>
        <w:rPr>
          <w:szCs w:val="24"/>
        </w:rPr>
      </w:pPr>
      <w:bookmarkStart w:id="273" w:name="_Toc22249"/>
      <w:bookmarkStart w:id="274" w:name="_Toc19906"/>
      <w:bookmarkStart w:id="275" w:name="_Toc2596"/>
      <w:bookmarkStart w:id="276" w:name="_Toc16348"/>
      <w:bookmarkStart w:id="277" w:name="_Toc29271"/>
      <w:bookmarkStart w:id="278" w:name="_Toc10792"/>
      <w:bookmarkStart w:id="279" w:name="_Toc1032"/>
      <w:bookmarkStart w:id="280" w:name="_Toc13910"/>
      <w:bookmarkStart w:id="281" w:name="_Toc334"/>
      <w:bookmarkStart w:id="282" w:name="_Toc5753"/>
      <w:bookmarkStart w:id="283" w:name="_Toc5528"/>
      <w:bookmarkStart w:id="284" w:name="_Toc19510"/>
      <w:bookmarkStart w:id="285" w:name="_Toc24428"/>
      <w:bookmarkStart w:id="286" w:name="_Toc5656"/>
      <w:bookmarkStart w:id="287" w:name="_Toc6196"/>
      <w:bookmarkStart w:id="288" w:name="_Toc10172"/>
      <w:bookmarkStart w:id="289" w:name="_Toc27637"/>
      <w:bookmarkStart w:id="290" w:name="_Toc20623"/>
      <w:bookmarkStart w:id="291" w:name="_Toc24937"/>
      <w:bookmarkStart w:id="292" w:name="_Toc30291"/>
      <w:r>
        <w:rPr>
          <w:rFonts w:hint="eastAsia"/>
          <w:szCs w:val="24"/>
        </w:rPr>
        <w:t>1.4</w:t>
      </w:r>
      <w:r>
        <w:rPr>
          <w:rFonts w:hint="eastAsia"/>
        </w:rPr>
        <w:t>　</w:t>
      </w:r>
      <w:r>
        <w:rPr>
          <w:rFonts w:hint="eastAsia"/>
          <w:szCs w:val="24"/>
        </w:rPr>
        <w:t>论文结构</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pPr>
        <w:ind w:firstLine="480" w:firstLineChars="200"/>
      </w:pPr>
      <w:r>
        <w:rPr>
          <w:rFonts w:hint="eastAsia"/>
        </w:rPr>
        <w:t>本论文共分为六章，各章内容组织如下：</w:t>
      </w:r>
    </w:p>
    <w:p>
      <w:pPr>
        <w:ind w:firstLine="480" w:firstLineChars="200"/>
      </w:pPr>
      <w:r>
        <w:rPr>
          <w:rFonts w:hint="eastAsia"/>
        </w:rPr>
        <w:t>第一章是引言。该章阐述了选题的出发点及意义，总结了相关研究现状，提出了本研究课题的主要研究内容及贡献。</w:t>
      </w:r>
    </w:p>
    <w:p>
      <w:pPr>
        <w:ind w:firstLine="480" w:firstLineChars="200"/>
      </w:pPr>
      <w:r>
        <w:rPr>
          <w:rFonts w:hint="eastAsia"/>
        </w:rPr>
        <w:t>第二章是国内外相关研究现状。该章分析了SGX的编程模型、软硬件架构及安全</w:t>
      </w:r>
      <w:r>
        <w:rPr>
          <w:rFonts w:hint="eastAsia"/>
          <w:lang w:val="en-US" w:eastAsia="zh-CN"/>
        </w:rPr>
        <w:t>机制</w:t>
      </w:r>
      <w:r>
        <w:rPr>
          <w:rFonts w:hint="eastAsia"/>
        </w:rPr>
        <w:t>，总结了SGX的安全问题、攻击向量及攻击面，借鉴传统防御方案</w:t>
      </w:r>
      <w:r>
        <w:rPr>
          <w:rFonts w:hint="eastAsia"/>
          <w:lang w:val="en-US" w:eastAsia="zh-CN"/>
        </w:rPr>
        <w:t>思路，</w:t>
      </w:r>
      <w:r>
        <w:rPr>
          <w:rFonts w:hint="eastAsia"/>
        </w:rPr>
        <w:t>分析SGX防御的不足。</w:t>
      </w:r>
    </w:p>
    <w:p>
      <w:pPr>
        <w:ind w:firstLine="480" w:firstLineChars="200"/>
      </w:pPr>
      <w:r>
        <w:rPr>
          <w:rFonts w:hint="eastAsia"/>
        </w:rPr>
        <w:t>第三章是Intel SGX</w:t>
      </w:r>
      <w:r>
        <w:rPr>
          <w:rFonts w:hint="eastAsia"/>
          <w:lang w:val="en-US" w:eastAsia="zh-CN"/>
        </w:rPr>
        <w:t>关键执行路径</w:t>
      </w:r>
      <w:r>
        <w:rPr>
          <w:rFonts w:hint="eastAsia"/>
        </w:rPr>
        <w:t>及安全关键点分析。该章分析了SGX架构、关键执行路径</w:t>
      </w:r>
      <w:bookmarkStart w:id="293" w:name="OLE_LINK20"/>
      <w:r>
        <w:rPr>
          <w:rFonts w:hint="eastAsia"/>
        </w:rPr>
        <w:t>，总结了SGX安全关键点</w:t>
      </w:r>
      <w:bookmarkEnd w:id="293"/>
      <w:r>
        <w:rPr>
          <w:rFonts w:hint="eastAsia"/>
        </w:rPr>
        <w:t>位。</w:t>
      </w:r>
    </w:p>
    <w:p>
      <w:pPr>
        <w:ind w:firstLine="480" w:firstLineChars="200"/>
      </w:pPr>
      <w:r>
        <w:rPr>
          <w:rFonts w:hint="eastAsia"/>
        </w:rPr>
        <w:t>第四章是针对Intel SGX SDK的安全增强框架设计。该章</w:t>
      </w:r>
      <w:r>
        <w:rPr>
          <w:rFonts w:hint="eastAsia"/>
          <w:lang w:val="en-US" w:eastAsia="zh-CN"/>
        </w:rPr>
        <w:t>设计</w:t>
      </w:r>
      <w:r>
        <w:rPr>
          <w:rFonts w:hint="eastAsia"/>
        </w:rPr>
        <w:t>了针对安全关键点</w:t>
      </w:r>
      <w:r>
        <w:rPr>
          <w:rFonts w:hint="eastAsia"/>
          <w:lang w:val="en-US" w:eastAsia="zh-CN"/>
        </w:rPr>
        <w:t>的</w:t>
      </w:r>
      <w:r>
        <w:rPr>
          <w:rFonts w:hint="eastAsia"/>
        </w:rPr>
        <w:t>审计检查代码插桩方式</w:t>
      </w:r>
      <w:r>
        <w:rPr>
          <w:rFonts w:hint="eastAsia"/>
          <w:lang w:val="en-US" w:eastAsia="zh-CN"/>
        </w:rPr>
        <w:t>及</w:t>
      </w:r>
      <w:r>
        <w:rPr>
          <w:rFonts w:hint="eastAsia"/>
        </w:rPr>
        <w:t>插桩位置，设计实现了安全事件审计检查功能，全面提升SGX架构安全性。</w:t>
      </w:r>
    </w:p>
    <w:p>
      <w:pPr>
        <w:ind w:firstLine="480" w:firstLineChars="200"/>
      </w:pPr>
      <w:r>
        <w:rPr>
          <w:rFonts w:hint="eastAsia"/>
        </w:rPr>
        <w:t>第五章是针对Intel SGX SDK的安全增强框架</w:t>
      </w:r>
      <w:r>
        <w:rPr>
          <w:rFonts w:hint="eastAsia"/>
          <w:lang w:val="en-US" w:eastAsia="zh-CN"/>
        </w:rPr>
        <w:t>验证</w:t>
      </w:r>
      <w:r>
        <w:rPr>
          <w:rFonts w:hint="eastAsia"/>
        </w:rPr>
        <w:t>。该章实验验证了SGX-SEF审计关键执行路径及安全关键点的效果，通过实验评估了SGX-SEF审计功能的性能开销，分析了引起性能开销的原因，验证了SGX-SEF兼容多种安全策略防御多种攻击向量的能力。</w:t>
      </w:r>
    </w:p>
    <w:p>
      <w:pPr>
        <w:ind w:firstLine="480" w:firstLineChars="200"/>
      </w:pPr>
      <w:r>
        <w:rPr>
          <w:rFonts w:hint="eastAsia"/>
        </w:rPr>
        <w:t>第六章是总结与展望。该章总结了本文的主要内容及成果，指出了后续可研究的方向。</w:t>
      </w:r>
    </w:p>
    <w:p>
      <w:r>
        <w:br w:type="page"/>
      </w:r>
    </w:p>
    <w:p/>
    <w:p/>
    <w:p>
      <w:pPr>
        <w:sectPr>
          <w:headerReference r:id="rId24" w:type="default"/>
          <w:footerReference r:id="rId25" w:type="default"/>
          <w:footerReference r:id="rId26" w:type="even"/>
          <w:pgSz w:w="11906" w:h="16838"/>
          <w:pgMar w:top="1440" w:right="1800" w:bottom="1440" w:left="1800" w:header="851" w:footer="850" w:gutter="0"/>
          <w:pgNumType w:start="1"/>
          <w:cols w:space="425" w:num="1"/>
          <w:docGrid w:type="lines" w:linePitch="312" w:charSpace="0"/>
        </w:sectPr>
      </w:pPr>
    </w:p>
    <w:p>
      <w:pPr>
        <w:pStyle w:val="2"/>
      </w:pPr>
      <w:bookmarkStart w:id="294" w:name="_Toc19275"/>
      <w:bookmarkStart w:id="295" w:name="_Toc14592"/>
      <w:bookmarkStart w:id="296" w:name="_Toc21593"/>
      <w:bookmarkStart w:id="297" w:name="_Toc5054"/>
      <w:bookmarkStart w:id="298" w:name="_Toc19039"/>
      <w:bookmarkStart w:id="299" w:name="_Toc27055"/>
      <w:bookmarkStart w:id="300" w:name="_Toc17165"/>
      <w:bookmarkStart w:id="301" w:name="_Toc15410"/>
      <w:bookmarkStart w:id="302" w:name="_Toc26576"/>
      <w:bookmarkStart w:id="303" w:name="_Toc21225"/>
      <w:bookmarkStart w:id="304" w:name="_Toc28618"/>
      <w:bookmarkStart w:id="305" w:name="_Toc3501"/>
      <w:bookmarkStart w:id="306" w:name="_Toc28150"/>
      <w:bookmarkStart w:id="307" w:name="_Toc14397"/>
      <w:bookmarkStart w:id="308" w:name="_Toc2511"/>
      <w:bookmarkStart w:id="309" w:name="_Toc29167"/>
      <w:bookmarkStart w:id="310" w:name="_Toc23840"/>
      <w:bookmarkStart w:id="311" w:name="_Toc15862"/>
      <w:bookmarkStart w:id="312" w:name="_Toc25400"/>
      <w:bookmarkStart w:id="313" w:name="_Toc20014"/>
      <w:r>
        <w:rPr>
          <w:rFonts w:hint="eastAsia"/>
        </w:rPr>
        <w:t>第二章　</w:t>
      </w:r>
      <w:r>
        <w:t>国内外相关研究</w:t>
      </w:r>
      <w:r>
        <w:rPr>
          <w:rFonts w:hint="eastAsia"/>
        </w:rPr>
        <w:t>现状</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pPr>
        <w:ind w:firstLine="480" w:firstLineChars="200"/>
      </w:pPr>
      <w:r>
        <w:rPr>
          <w:rFonts w:hint="eastAsia"/>
        </w:rPr>
        <w:t>本研究课题围绕SGX安全性展开研究，本章针对SGX阐述其编程模型、软硬件架构和安全机制并总结SGX特点，分析现有SGX攻击并指出SGX安全问题、攻击面和攻击向量，分析传统防御方案及现有SGX防御方案，对比传统防御方案思路指出现有SGX防御方案不足。</w:t>
      </w:r>
    </w:p>
    <w:p>
      <w:pPr>
        <w:pStyle w:val="3"/>
      </w:pPr>
      <w:bookmarkStart w:id="314" w:name="_Toc5779"/>
      <w:bookmarkStart w:id="315" w:name="_Toc27415"/>
      <w:bookmarkStart w:id="316" w:name="_Toc30599"/>
      <w:bookmarkStart w:id="317" w:name="_Toc25121"/>
      <w:bookmarkStart w:id="318" w:name="_Toc8687"/>
      <w:bookmarkStart w:id="319" w:name="_Toc10051"/>
      <w:bookmarkStart w:id="320" w:name="_Toc31963"/>
      <w:bookmarkStart w:id="321" w:name="_Toc813"/>
      <w:bookmarkStart w:id="322" w:name="_Toc28209"/>
      <w:bookmarkStart w:id="323" w:name="_Toc16337"/>
      <w:bookmarkStart w:id="324" w:name="_Toc19699"/>
      <w:bookmarkStart w:id="325" w:name="_Toc16717"/>
      <w:bookmarkStart w:id="326" w:name="_Toc24193"/>
      <w:bookmarkStart w:id="327" w:name="_Toc28805"/>
      <w:bookmarkStart w:id="328" w:name="_Toc25741"/>
      <w:bookmarkStart w:id="329" w:name="_Toc9323"/>
      <w:bookmarkStart w:id="330" w:name="_Toc24440"/>
      <w:bookmarkStart w:id="331" w:name="_Toc15894"/>
      <w:bookmarkStart w:id="332" w:name="_Toc3032"/>
      <w:bookmarkStart w:id="333" w:name="_Toc16153"/>
      <w:r>
        <w:rPr>
          <w:rFonts w:hint="eastAsia"/>
        </w:rPr>
        <w:t xml:space="preserve">2.1　Intel </w:t>
      </w:r>
      <w:r>
        <w:rPr>
          <w:rFonts w:hint="eastAsia"/>
          <w:lang w:val="en-US" w:eastAsia="zh-CN"/>
        </w:rPr>
        <w:t>SGX</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pPr>
        <w:ind w:firstLine="480" w:firstLineChars="200"/>
      </w:pPr>
      <w:r>
        <w:rPr>
          <w:rFonts w:hint="eastAsia"/>
        </w:rPr>
        <w:t>Intel SGX</w:t>
      </w:r>
      <w:r>
        <w:rPr>
          <w:rFonts w:hint="eastAsia"/>
          <w:vertAlign w:val="superscript"/>
        </w:rPr>
        <w:t>[3-5]</w:t>
      </w:r>
      <w:r>
        <w:rPr>
          <w:rFonts w:hint="eastAsia"/>
          <w:lang w:val="en-US" w:eastAsia="zh-CN"/>
        </w:rPr>
        <w:t>全称为Intel Software Guard Extension，SGX</w:t>
      </w:r>
      <w:r>
        <w:rPr>
          <w:rFonts w:hint="eastAsia"/>
        </w:rPr>
        <w:t>提供了用户态的可信执行环境（TEE），通过密码学方法和访问控制保护并证明计算过程</w:t>
      </w:r>
      <w:r>
        <w:rPr>
          <w:rFonts w:hint="eastAsia"/>
          <w:lang w:val="en-US" w:eastAsia="zh-CN"/>
        </w:rPr>
        <w:t>及计算内容</w:t>
      </w:r>
      <w:r>
        <w:rPr>
          <w:rFonts w:hint="eastAsia"/>
        </w:rPr>
        <w:t>可信。基于CPU实现的可信执行环境技术除Intel SGX外还包括ARM TrustZone、RISC-V Keystone、AMD SEV（Secure Encrypted Virtualization），基于GPU实现的可信执行环境技术包括论文</w:t>
      </w:r>
      <w:r>
        <w:rPr>
          <w:rFonts w:hint="eastAsia"/>
          <w:vertAlign w:val="superscript"/>
        </w:rPr>
        <w:t>[6,7]</w:t>
      </w:r>
      <w:r>
        <w:rPr>
          <w:rFonts w:hint="eastAsia"/>
        </w:rPr>
        <w:t>等，基于软件实现的可信执行环境技术包括Virtual Ghost</w:t>
      </w:r>
      <w:r>
        <w:rPr>
          <w:rFonts w:hint="eastAsia"/>
          <w:vertAlign w:val="superscript"/>
        </w:rPr>
        <w:t>[8]</w:t>
      </w:r>
      <w:r>
        <w:rPr>
          <w:rFonts w:hint="eastAsia"/>
        </w:rPr>
        <w:t>等。研究人员最早使用高权限或运行时检查技术基于软件构建可信执行环境，软件TEE的优势在于能够快速生成原型系统，但与部分硬件架构不兼容且性能较差。随后CPU厂商基于硬件实现可信执行环境，</w:t>
      </w:r>
      <w:r>
        <w:rPr>
          <w:rFonts w:hint="eastAsia"/>
          <w:lang w:val="en-US" w:eastAsia="zh-CN"/>
        </w:rPr>
        <w:t>TEE</w:t>
      </w:r>
      <w:r>
        <w:rPr>
          <w:rFonts w:hint="eastAsia"/>
        </w:rPr>
        <w:t>性能得到提升，但仅能保护CPU中的计算过程</w:t>
      </w:r>
      <w:r>
        <w:rPr>
          <w:rFonts w:hint="eastAsia"/>
          <w:lang w:val="en-US" w:eastAsia="zh-CN"/>
        </w:rPr>
        <w:t>及计算内容</w:t>
      </w:r>
      <w:r>
        <w:rPr>
          <w:rFonts w:hint="eastAsia"/>
        </w:rPr>
        <w:t>。人工智能运用GPU及硬件加速器加速模型训练过程，研究人员为了保护GPU中的计算过程</w:t>
      </w:r>
      <w:r>
        <w:rPr>
          <w:rFonts w:hint="eastAsia"/>
          <w:lang w:val="en-US" w:eastAsia="zh-CN"/>
        </w:rPr>
        <w:t>及计算内容</w:t>
      </w:r>
      <w:r>
        <w:rPr>
          <w:rFonts w:hint="eastAsia"/>
        </w:rPr>
        <w:t>，提出了若干种GPU TEE技术，并结合CPU TEE技术保护CPU和GPU中的计算过程</w:t>
      </w:r>
      <w:r>
        <w:rPr>
          <w:rFonts w:hint="eastAsia"/>
          <w:lang w:val="en-US" w:eastAsia="zh-CN"/>
        </w:rPr>
        <w:t>及计算内容</w:t>
      </w:r>
      <w:r>
        <w:rPr>
          <w:rFonts w:hint="eastAsia"/>
        </w:rPr>
        <w:t>。</w:t>
      </w:r>
    </w:p>
    <w:p>
      <w:pPr>
        <w:ind w:firstLine="480" w:firstLineChars="200"/>
      </w:pPr>
      <w:r>
        <w:rPr>
          <w:rFonts w:hint="eastAsia"/>
        </w:rPr>
        <w:t>可信执行环境可分为全栈式可信执行环境和用户态可信执行环境。全栈式可信执行环境将计算资源划分为安全世界和非安全世界，安全世界</w:t>
      </w:r>
      <w:r>
        <w:rPr>
          <w:rFonts w:hint="eastAsia"/>
          <w:lang w:val="en-US" w:eastAsia="zh-CN"/>
        </w:rPr>
        <w:t>及</w:t>
      </w:r>
      <w:r>
        <w:rPr>
          <w:rFonts w:hint="eastAsia"/>
        </w:rPr>
        <w:t>非安全世界</w:t>
      </w:r>
      <w:r>
        <w:rPr>
          <w:rFonts w:hint="eastAsia"/>
          <w:lang w:val="en-US" w:eastAsia="zh-CN"/>
        </w:rPr>
        <w:t>各自均包含</w:t>
      </w:r>
      <w:r>
        <w:rPr>
          <w:rFonts w:hint="eastAsia"/>
        </w:rPr>
        <w:t>用户态和内核态架构</w:t>
      </w:r>
      <w:r>
        <w:rPr>
          <w:rFonts w:hint="eastAsia"/>
          <w:lang w:val="en-US" w:eastAsia="zh-CN"/>
        </w:rPr>
        <w:t>等，</w:t>
      </w:r>
      <w:r>
        <w:rPr>
          <w:rFonts w:hint="eastAsia"/>
        </w:rPr>
        <w:t>但两者彼此隔离。而SGX等技术提供的用户态可信执行环境只在用户态构建可信执行环境保护用户态应用程序的敏感内容。可信执行环境技术是可信计算技术的发展，可信计算技术（如TPM）中通过单独的硬件模块保护BIOS、操作系统等上层架构可信，而可信执行环境技术保护程序执行过程中的敏感代码数据，更加</w:t>
      </w:r>
      <w:r>
        <w:rPr>
          <w:rFonts w:hint="eastAsia"/>
          <w:lang w:val="en-US" w:eastAsia="zh-CN"/>
        </w:rPr>
        <w:t>适合</w:t>
      </w:r>
      <w:r>
        <w:rPr>
          <w:rFonts w:hint="eastAsia"/>
        </w:rPr>
        <w:t>保护应用程序级敏感内容。</w:t>
      </w:r>
    </w:p>
    <w:p>
      <w:pPr>
        <w:pStyle w:val="4"/>
      </w:pPr>
      <w:bookmarkStart w:id="334" w:name="_Toc21129"/>
      <w:bookmarkStart w:id="335" w:name="_Toc14815"/>
      <w:bookmarkStart w:id="336" w:name="_Toc6336"/>
      <w:bookmarkStart w:id="337" w:name="_Toc24717"/>
      <w:bookmarkStart w:id="338" w:name="_Toc19181"/>
      <w:bookmarkStart w:id="339" w:name="_Toc27972"/>
      <w:bookmarkStart w:id="340" w:name="_Toc26433"/>
      <w:bookmarkStart w:id="341" w:name="_Toc3788"/>
      <w:bookmarkStart w:id="342" w:name="_Toc5933"/>
      <w:bookmarkStart w:id="343" w:name="_Toc27159"/>
      <w:bookmarkStart w:id="344" w:name="_Toc10055"/>
      <w:bookmarkStart w:id="345" w:name="_Toc32447"/>
      <w:bookmarkStart w:id="346" w:name="_Toc10621"/>
      <w:bookmarkStart w:id="347" w:name="_Toc7026"/>
      <w:bookmarkStart w:id="348" w:name="_Toc17375"/>
      <w:bookmarkStart w:id="349" w:name="_Toc27583"/>
      <w:bookmarkStart w:id="350" w:name="_Toc26477"/>
      <w:bookmarkStart w:id="351" w:name="_Toc3601"/>
      <w:bookmarkStart w:id="352" w:name="_Toc13231"/>
      <w:bookmarkStart w:id="353" w:name="_Toc8060"/>
      <w:bookmarkStart w:id="354" w:name="_Toc11959"/>
      <w:bookmarkStart w:id="355" w:name="_Toc21189"/>
      <w:bookmarkStart w:id="356" w:name="_Toc18021"/>
      <w:bookmarkStart w:id="357" w:name="_Toc20775"/>
      <w:r>
        <w:rPr>
          <w:rFonts w:hint="eastAsia"/>
        </w:rPr>
        <w:t>2.1.1　Intel SGX编程模型</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pPr>
        <w:ind w:firstLine="480" w:firstLineChars="200"/>
      </w:pPr>
      <w:r>
        <w:rPr>
          <w:rFonts w:hint="eastAsia"/>
        </w:rPr>
        <w:t>Intel SGX建议仅将用户态应用程序中敏感内容放到用户态可信执行环境Enclave中，以减少Enclave内的可信计算基（Trusted Computing Base，缩写</w:t>
      </w:r>
      <w:r>
        <w:rPr>
          <w:rFonts w:hint="eastAsia"/>
          <w:lang w:val="en-US" w:eastAsia="zh-CN"/>
        </w:rPr>
        <w:t>为</w:t>
      </w:r>
      <w:r>
        <w:rPr>
          <w:rFonts w:hint="eastAsia"/>
        </w:rPr>
        <w:t>TCB）大小。Enclave中过大的TCB会导致Enclave漏洞多，安全性差。</w:t>
      </w:r>
    </w:p>
    <w:p>
      <w:pPr>
        <w:ind w:firstLine="480" w:firstLineChars="200"/>
      </w:pPr>
      <w:r>
        <w:rPr>
          <w:rFonts w:hint="eastAsia"/>
        </w:rPr>
        <w:t>SGX编程模型中，SGX应用被分为不可信部分和Enclave。Enclave通过密码学方式和访问控制抵御Ring0权限攻击（包括</w:t>
      </w:r>
      <w:r>
        <w:rPr>
          <w:rFonts w:hint="eastAsia"/>
          <w:lang w:val="en-US" w:eastAsia="zh-CN"/>
        </w:rPr>
        <w:t>来自</w:t>
      </w:r>
      <w:r>
        <w:rPr>
          <w:rFonts w:hint="eastAsia"/>
        </w:rPr>
        <w:t>操作系统和虚拟机监控程序等</w:t>
      </w:r>
      <w:r>
        <w:rPr>
          <w:rFonts w:hint="eastAsia"/>
          <w:lang w:val="en-US" w:eastAsia="zh-CN"/>
        </w:rPr>
        <w:t>的攻击</w:t>
      </w:r>
      <w:r>
        <w:rPr>
          <w:rFonts w:hint="eastAsia"/>
        </w:rPr>
        <w:t>，如图2.1下方所示）。简化的SGX应用执行流程及Enclave生命周期：（1）不可信部分显式创建（及销毁）Enclave，（2）不可信部分调用ECALL（全</w:t>
      </w:r>
      <w:bookmarkStart w:id="358" w:name="OLE_LINK25"/>
      <w:r>
        <w:rPr>
          <w:rFonts w:hint="eastAsia"/>
        </w:rPr>
        <w:t>称</w:t>
      </w:r>
      <w:bookmarkEnd w:id="358"/>
      <w:r>
        <w:rPr>
          <w:rFonts w:hint="eastAsia"/>
          <w:lang w:val="en-US" w:eastAsia="zh-CN"/>
        </w:rPr>
        <w:t>为</w:t>
      </w:r>
      <w:r>
        <w:rPr>
          <w:rFonts w:hint="eastAsia"/>
        </w:rPr>
        <w:t>Enclave Call，即可信函数的入口）进入Enclave，（3）执行可信函数，（4）可信函数调用OCALL（全称</w:t>
      </w:r>
      <w:r>
        <w:rPr>
          <w:rFonts w:hint="eastAsia"/>
          <w:lang w:val="en-US" w:eastAsia="zh-CN"/>
        </w:rPr>
        <w:t>为</w:t>
      </w:r>
      <w:r>
        <w:rPr>
          <w:rFonts w:hint="eastAsia"/>
        </w:rPr>
        <w:t>Outside Call）暂退到不可信部分并执行Enclave内无法实现的功能，（5）可信函数执行完成返回到不可信部分。</w:t>
      </w:r>
    </w:p>
    <w:p>
      <w:pPr>
        <w:jc w:val="center"/>
      </w:pPr>
      <w:r>
        <w:drawing>
          <wp:inline distT="0" distB="0" distL="0" distR="0">
            <wp:extent cx="4296410" cy="3239770"/>
            <wp:effectExtent l="0" t="0" r="8890" b="11430"/>
            <wp:docPr id="1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
                    <pic:cNvPicPr>
                      <a:picLocks noChangeAspect="1"/>
                    </pic:cNvPicPr>
                  </pic:nvPicPr>
                  <pic:blipFill>
                    <a:blip r:embed="rId39" cstate="print"/>
                    <a:srcRect/>
                    <a:stretch>
                      <a:fillRect/>
                    </a:stretch>
                  </pic:blipFill>
                  <pic:spPr>
                    <a:xfrm>
                      <a:off x="0" y="0"/>
                      <a:ext cx="4296410" cy="3239770"/>
                    </a:xfrm>
                    <a:prstGeom prst="rect">
                      <a:avLst/>
                    </a:prstGeom>
                    <a:ln>
                      <a:noFill/>
                    </a:ln>
                  </pic:spPr>
                </pic:pic>
              </a:graphicData>
            </a:graphic>
          </wp:inline>
        </w:drawing>
      </w:r>
    </w:p>
    <w:p>
      <w:pPr>
        <w:pStyle w:val="6"/>
        <w:rPr>
          <w:vertAlign w:val="superscript"/>
        </w:rPr>
      </w:pPr>
      <w:r>
        <w:rPr>
          <w:b/>
          <w:bCs/>
        </w:rPr>
        <w:t>图</w:t>
      </w:r>
      <w:r>
        <w:rPr>
          <w:rFonts w:hint="eastAsia"/>
          <w:b/>
          <w:bCs/>
        </w:rPr>
        <w:t>2.</w:t>
      </w:r>
      <w:r>
        <w:rPr>
          <w:b/>
          <w:bCs/>
        </w:rPr>
        <w:fldChar w:fldCharType="begin"/>
      </w:r>
      <w:r>
        <w:rPr>
          <w:b/>
          <w:bCs/>
        </w:rPr>
        <w:instrText xml:space="preserve"> SEQ 图 \* ARABIC \s 1 </w:instrText>
      </w:r>
      <w:r>
        <w:rPr>
          <w:b/>
          <w:bCs/>
        </w:rPr>
        <w:fldChar w:fldCharType="separate"/>
      </w:r>
      <w:r>
        <w:rPr>
          <w:b/>
          <w:bCs/>
        </w:rPr>
        <w:t>1</w:t>
      </w:r>
      <w:r>
        <w:rPr>
          <w:b/>
          <w:bCs/>
        </w:rPr>
        <w:fldChar w:fldCharType="end"/>
      </w:r>
      <w:bookmarkStart w:id="359" w:name="_Toc11220"/>
      <w:bookmarkStart w:id="360" w:name="_Toc17128"/>
      <w:bookmarkStart w:id="361" w:name="_Toc14206"/>
      <w:bookmarkStart w:id="362" w:name="_Toc4887"/>
      <w:bookmarkStart w:id="363" w:name="_Toc14636"/>
      <w:bookmarkStart w:id="364" w:name="_Toc5089"/>
      <w:bookmarkStart w:id="365" w:name="_Toc26869"/>
      <w:bookmarkStart w:id="366" w:name="_Toc10184"/>
      <w:bookmarkStart w:id="367" w:name="_Toc13884"/>
      <w:bookmarkStart w:id="368" w:name="_Toc30483"/>
      <w:bookmarkStart w:id="369" w:name="_Toc10795"/>
      <w:bookmarkStart w:id="370" w:name="_Toc7891"/>
      <w:bookmarkStart w:id="371" w:name="_Toc4928"/>
      <w:bookmarkStart w:id="372" w:name="_Toc27373"/>
      <w:bookmarkStart w:id="373" w:name="_Toc25490"/>
      <w:bookmarkStart w:id="374" w:name="_Toc18262"/>
      <w:bookmarkStart w:id="375" w:name="_Toc11921"/>
      <w:bookmarkStart w:id="376" w:name="_Toc1416"/>
      <w:bookmarkStart w:id="377" w:name="_Toc9162"/>
      <w:bookmarkStart w:id="378" w:name="_Toc12186"/>
      <w:bookmarkStart w:id="379" w:name="_Toc7758"/>
      <w:bookmarkStart w:id="380" w:name="_Toc19905"/>
      <w:bookmarkStart w:id="381" w:name="_Toc22821"/>
      <w:bookmarkStart w:id="382" w:name="_Toc20795"/>
      <w:bookmarkStart w:id="383" w:name="_Toc27893"/>
      <w:bookmarkStart w:id="384" w:name="_Toc2091"/>
      <w:r>
        <w:rPr>
          <w:rFonts w:hint="eastAsia"/>
        </w:rPr>
        <w:t>　Enclave应用生命周期</w:t>
      </w:r>
      <w:r>
        <w:rPr>
          <w:rFonts w:hint="eastAsia"/>
          <w:vertAlign w:val="superscript"/>
        </w:rPr>
        <w:t>[30]</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pPr>
        <w:pStyle w:val="6"/>
      </w:pPr>
      <w:r>
        <w:rPr>
          <w:rFonts w:hint="eastAsia"/>
          <w:b/>
          <w:bCs/>
        </w:rPr>
        <w:t>Figure2.1</w:t>
      </w:r>
      <w:r>
        <w:rPr>
          <w:rFonts w:hint="eastAsia"/>
        </w:rPr>
        <w:t>　Enclave application lifecycle</w:t>
      </w:r>
      <w:r>
        <w:rPr>
          <w:rFonts w:hint="eastAsia"/>
          <w:vertAlign w:val="superscript"/>
        </w:rPr>
        <w:t>[30]</w:t>
      </w:r>
    </w:p>
    <w:p>
      <w:pPr>
        <w:pStyle w:val="4"/>
      </w:pPr>
      <w:bookmarkStart w:id="385" w:name="_Toc53"/>
      <w:bookmarkStart w:id="386" w:name="_Toc21670"/>
      <w:bookmarkStart w:id="387" w:name="_Toc24310"/>
      <w:bookmarkStart w:id="388" w:name="_Toc19414"/>
      <w:bookmarkStart w:id="389" w:name="_Toc1122"/>
      <w:bookmarkStart w:id="390" w:name="_Toc28109"/>
      <w:bookmarkStart w:id="391" w:name="_Toc8039"/>
      <w:bookmarkStart w:id="392" w:name="_Toc6085"/>
      <w:bookmarkStart w:id="393" w:name="_Toc12208"/>
      <w:bookmarkStart w:id="394" w:name="_Toc15488"/>
      <w:bookmarkStart w:id="395" w:name="_Toc28393"/>
      <w:bookmarkStart w:id="396" w:name="_Toc15572"/>
      <w:bookmarkStart w:id="397" w:name="_Toc25249"/>
      <w:bookmarkStart w:id="398" w:name="_Toc29091"/>
      <w:bookmarkStart w:id="399" w:name="_Toc31234"/>
      <w:bookmarkStart w:id="400" w:name="_Toc7752"/>
      <w:bookmarkStart w:id="401" w:name="_Toc3876"/>
      <w:bookmarkStart w:id="402" w:name="_Toc4260"/>
      <w:r>
        <w:rPr>
          <w:rFonts w:hint="eastAsia"/>
        </w:rPr>
        <w:t>2.1.2　Intel SGX软硬件架构</w:t>
      </w:r>
      <w:bookmarkEnd w:id="354"/>
      <w:bookmarkEnd w:id="355"/>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pPr>
        <w:ind w:firstLine="480" w:firstLineChars="200"/>
      </w:pPr>
      <w:r>
        <w:rPr>
          <w:rFonts w:hint="eastAsia"/>
        </w:rPr>
        <w:t>Intel SGX狭义上是Intel CPU提供的一套扩展指令集，包括Ring0和Ring3权限指令。广义上还包括SGX软件栈，方便开发者使用硬件功能，SGX软件栈包括Intel SGX PSW（Platform Software）、Intel SGX SDK（Software Development Kit）和Intel SGX Driver。Intel SGX软硬件</w:t>
      </w:r>
      <w:r>
        <w:rPr>
          <w:rFonts w:hint="eastAsia"/>
          <w:lang w:val="en-US" w:eastAsia="zh-CN"/>
        </w:rPr>
        <w:t>架构</w:t>
      </w:r>
      <w:r>
        <w:rPr>
          <w:rFonts w:hint="eastAsia"/>
        </w:rPr>
        <w:t>（包括SGX硬件及SGX软件栈）的架构如图2.2所示。</w:t>
      </w:r>
    </w:p>
    <w:p>
      <w:pPr>
        <w:jc w:val="center"/>
      </w:pPr>
      <w:r>
        <w:drawing>
          <wp:inline distT="0" distB="0" distL="0" distR="0">
            <wp:extent cx="5057775" cy="3780155"/>
            <wp:effectExtent l="0" t="0" r="9525" b="4445"/>
            <wp:docPr id="103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图片 38"/>
                    <pic:cNvPicPr>
                      <a:picLocks noChangeAspect="1"/>
                    </pic:cNvPicPr>
                  </pic:nvPicPr>
                  <pic:blipFill>
                    <a:blip r:embed="rId40" cstate="print"/>
                    <a:srcRect/>
                    <a:stretch>
                      <a:fillRect/>
                    </a:stretch>
                  </pic:blipFill>
                  <pic:spPr>
                    <a:xfrm>
                      <a:off x="0" y="0"/>
                      <a:ext cx="5057775" cy="3780155"/>
                    </a:xfrm>
                    <a:prstGeom prst="rect">
                      <a:avLst/>
                    </a:prstGeom>
                    <a:ln>
                      <a:noFill/>
                    </a:ln>
                  </pic:spPr>
                </pic:pic>
              </a:graphicData>
            </a:graphic>
          </wp:inline>
        </w:drawing>
      </w:r>
    </w:p>
    <w:p>
      <w:pPr>
        <w:pStyle w:val="6"/>
      </w:pPr>
      <w:r>
        <w:rPr>
          <w:b/>
          <w:bCs/>
        </w:rPr>
        <w:t>图</w:t>
      </w:r>
      <w:r>
        <w:rPr>
          <w:rFonts w:hint="eastAsia"/>
          <w:b/>
          <w:bCs/>
        </w:rPr>
        <w:t>2.</w:t>
      </w:r>
      <w:r>
        <w:rPr>
          <w:b/>
          <w:bCs/>
        </w:rPr>
        <w:fldChar w:fldCharType="begin"/>
      </w:r>
      <w:r>
        <w:rPr>
          <w:b/>
          <w:bCs/>
        </w:rPr>
        <w:instrText xml:space="preserve"> SEQ 图 \* ARABIC \s 1 </w:instrText>
      </w:r>
      <w:r>
        <w:rPr>
          <w:b/>
          <w:bCs/>
        </w:rPr>
        <w:fldChar w:fldCharType="separate"/>
      </w:r>
      <w:r>
        <w:rPr>
          <w:b/>
          <w:bCs/>
        </w:rPr>
        <w:t>2</w:t>
      </w:r>
      <w:r>
        <w:rPr>
          <w:b/>
          <w:bCs/>
        </w:rPr>
        <w:fldChar w:fldCharType="end"/>
      </w:r>
      <w:bookmarkStart w:id="403" w:name="_Toc19747"/>
      <w:bookmarkStart w:id="404" w:name="_Toc17704"/>
      <w:bookmarkStart w:id="405" w:name="_Toc25079"/>
      <w:bookmarkStart w:id="406" w:name="_Toc31745"/>
      <w:bookmarkStart w:id="407" w:name="_Toc24138"/>
      <w:bookmarkStart w:id="408" w:name="_Toc7286"/>
      <w:bookmarkStart w:id="409" w:name="_Toc10451"/>
      <w:bookmarkStart w:id="410" w:name="_Toc17599"/>
      <w:bookmarkStart w:id="411" w:name="_Toc27718"/>
      <w:bookmarkStart w:id="412" w:name="_Toc14692"/>
      <w:bookmarkStart w:id="413" w:name="_Toc9552"/>
      <w:bookmarkStart w:id="414" w:name="_Toc23297"/>
      <w:bookmarkStart w:id="415" w:name="_Toc30719"/>
      <w:bookmarkStart w:id="416" w:name="_Toc11201"/>
      <w:bookmarkStart w:id="417" w:name="_Toc18179"/>
      <w:bookmarkStart w:id="418" w:name="_Toc843"/>
      <w:bookmarkStart w:id="419" w:name="_Toc23189"/>
      <w:bookmarkStart w:id="420" w:name="_Toc1400"/>
      <w:bookmarkStart w:id="421" w:name="_Toc6197"/>
      <w:bookmarkStart w:id="422" w:name="_Toc23828"/>
      <w:bookmarkStart w:id="423" w:name="_Toc30203"/>
      <w:bookmarkStart w:id="424" w:name="_Toc546"/>
      <w:bookmarkStart w:id="425" w:name="_Toc27275"/>
      <w:bookmarkStart w:id="426" w:name="_Toc15547"/>
      <w:bookmarkStart w:id="427" w:name="_Toc4559"/>
      <w:bookmarkStart w:id="428" w:name="_Toc1258"/>
      <w:r>
        <w:rPr>
          <w:rFonts w:hint="eastAsia"/>
          <w:b/>
          <w:bCs/>
        </w:rPr>
        <w:t>　</w:t>
      </w:r>
      <w:r>
        <w:rPr>
          <w:rFonts w:hint="eastAsia"/>
        </w:rPr>
        <w:t>SGX软硬件</w:t>
      </w:r>
      <w:r>
        <w:rPr>
          <w:rFonts w:hint="eastAsia"/>
          <w:lang w:val="en-US" w:eastAsia="zh-CN"/>
        </w:rPr>
        <w:t>架构</w:t>
      </w:r>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pPr>
        <w:pStyle w:val="6"/>
      </w:pPr>
      <w:r>
        <w:rPr>
          <w:rFonts w:hint="eastAsia"/>
          <w:b/>
          <w:bCs/>
        </w:rPr>
        <w:t>Figure2.2　</w:t>
      </w:r>
      <w:r>
        <w:rPr>
          <w:rFonts w:hint="eastAsia"/>
        </w:rPr>
        <w:t>SGX software and hardware architecture</w:t>
      </w:r>
    </w:p>
    <w:p>
      <w:pPr>
        <w:ind w:firstLine="480" w:firstLineChars="200"/>
      </w:pPr>
      <w:r>
        <w:rPr>
          <w:rFonts w:hint="eastAsia"/>
        </w:rPr>
        <w:t>Intel SGX提供了Ring0指令ENCLS（S</w:t>
      </w:r>
      <w:bookmarkStart w:id="429" w:name="OLE_LINK42"/>
      <w:r>
        <w:rPr>
          <w:rFonts w:hint="eastAsia"/>
        </w:rPr>
        <w:t>指</w:t>
      </w:r>
      <w:bookmarkEnd w:id="429"/>
      <w:r>
        <w:rPr>
          <w:rFonts w:hint="eastAsia"/>
        </w:rPr>
        <w:t>Supervisor模式），对ENCLS指令指定不同的EAX寄存器值调用不同的叶功能（Leaf Function，SGX手册中也将叶功能直接称为指令）。ENCLS指令被内核态的（不可信）SGX驱动调用，以提供Enclave实例生命周期管理等功能。如ECREATE指令（ENCLS.00H，EAX值为00H）主要用于创建Enclave实例的SGX Enclave控制结构体（SGX Enclave Control Structure，缩写</w:t>
      </w:r>
      <w:bookmarkStart w:id="430" w:name="OLE_LINK33"/>
      <w:r>
        <w:rPr>
          <w:rFonts w:hint="eastAsia"/>
          <w:lang w:val="en-US" w:eastAsia="zh-CN"/>
        </w:rPr>
        <w:t>为</w:t>
      </w:r>
      <w:r>
        <w:rPr>
          <w:rFonts w:hint="eastAsia"/>
        </w:rPr>
        <w:t>SECS</w:t>
      </w:r>
      <w:bookmarkEnd w:id="430"/>
      <w:r>
        <w:rPr>
          <w:rFonts w:hint="eastAsia"/>
        </w:rPr>
        <w:t>，每个SECS唯一标识一个Enclave实例）。</w:t>
      </w:r>
    </w:p>
    <w:p>
      <w:pPr>
        <w:ind w:firstLine="480" w:firstLineChars="200"/>
      </w:pPr>
      <w:r>
        <w:rPr>
          <w:rFonts w:hint="eastAsia"/>
        </w:rPr>
        <w:t>Intel SGX还提供了Ring3指令ENCLU（U指User模式），提供CPU模式（普通模式或Enclave模式）切换等功能。ENCLU的叶功能可划分为两部分：</w:t>
      </w:r>
    </w:p>
    <w:p>
      <w:pPr>
        <w:numPr>
          <w:ilvl w:val="0"/>
          <w:numId w:val="5"/>
        </w:numPr>
        <w:ind w:left="845"/>
      </w:pPr>
      <w:r>
        <w:rPr>
          <w:rFonts w:hint="eastAsia"/>
        </w:rPr>
        <w:t>用户态的SGX应用不可信代码和uRTS（untrusted Run-Time System）调用的叶功能。如EENTER指令（ENCLU.02H）将CPU模式从普通模式切换成Enclave模式（CR_ENCLAVE_MODE寄存器置1），标识CPU能访问指定Enclave实例的资源（CR_ACTIVE_SECS置为目标Enclave实例的SECS）。</w:t>
      </w:r>
    </w:p>
    <w:p>
      <w:pPr>
        <w:numPr>
          <w:ilvl w:val="0"/>
          <w:numId w:val="5"/>
        </w:numPr>
        <w:ind w:left="845"/>
      </w:pPr>
      <w:r>
        <w:rPr>
          <w:rFonts w:hint="eastAsia"/>
        </w:rPr>
        <w:t>用户态的Enclave代码和tRTS（trusted Run-Time System）调用的叶功能。如EEXIT指令（ENCLU.04H）将CPU模式从Enclave模式切换成普通模式（CR_ENCLAVE_MODE寄存器置0），CPU不能再访问任何Enclave实例的资源。</w:t>
      </w:r>
    </w:p>
    <w:p>
      <w:pPr>
        <w:ind w:firstLine="480" w:firstLineChars="200"/>
      </w:pPr>
      <w:r>
        <w:rPr>
          <w:rFonts w:hint="eastAsia"/>
        </w:rPr>
        <w:t>SGX SDK（也称为tRTS）向Enclave开发人员提供经过安全审计的静态链接库（如ENCLU部分叶功能的封装函数、经过安全审计的C/C++库子集等），方便开发人员编写Enclave代码。静态链接的目的是确保Enclave代码均存储于安全内存中。</w:t>
      </w:r>
    </w:p>
    <w:p>
      <w:pPr>
        <w:ind w:firstLine="480" w:firstLineChars="200"/>
      </w:pPr>
      <w:r>
        <w:rPr>
          <w:rFonts w:hint="eastAsia"/>
        </w:rPr>
        <w:t>通过SGX PSW（也称为uRTS），</w:t>
      </w:r>
      <w:bookmarkStart w:id="431" w:name="OLE_LINK22"/>
      <w:r>
        <w:rPr>
          <w:rFonts w:hint="eastAsia"/>
        </w:rPr>
        <w:t>SGX应用不可信部分</w:t>
      </w:r>
      <w:bookmarkEnd w:id="431"/>
      <w:r>
        <w:rPr>
          <w:rFonts w:hint="eastAsia"/>
        </w:rPr>
        <w:t>可以调用部分ENCLU指令，并利用IOCTL</w:t>
      </w:r>
      <w:r>
        <w:rPr>
          <w:rFonts w:hint="eastAsia"/>
          <w:lang w:val="en-US" w:eastAsia="zh-CN"/>
        </w:rPr>
        <w:t>通告</w:t>
      </w:r>
      <w:r>
        <w:rPr>
          <w:rFonts w:hint="eastAsia"/>
        </w:rPr>
        <w:t>SGX驱动调用ENCLS指令。SGX应用不可信部分还可以调用其他常规函数库。</w:t>
      </w:r>
    </w:p>
    <w:p>
      <w:pPr>
        <w:ind w:firstLine="480" w:firstLineChars="200"/>
      </w:pPr>
      <w:r>
        <w:rPr>
          <w:rFonts w:hint="eastAsia"/>
        </w:rPr>
        <w:t>SGX应用开发方式比较特殊。开发过程中，开发人员需要将敏感代码数据统一编写成Enclave。SGX应用不可信部分与Enclave边界处的代码（简称边界代码，也称为Stub）由SGX EDGER8R工具依据开发者编写的EDL（Enclave Definition Language）文件自动生成。</w:t>
      </w:r>
    </w:p>
    <w:p>
      <w:pPr>
        <w:ind w:firstLine="480" w:firstLineChars="200"/>
      </w:pPr>
      <w:r>
        <w:rPr>
          <w:rFonts w:hint="eastAsia"/>
        </w:rPr>
        <w:t>SGX假设除Enclave外均是不可信的。SGX应用不可信部分可以被攻击者攻占，并以任意顺序调用Enclave接口。</w:t>
      </w:r>
    </w:p>
    <w:p>
      <w:pPr>
        <w:pStyle w:val="4"/>
      </w:pPr>
      <w:bookmarkStart w:id="432" w:name="_Toc8988"/>
      <w:bookmarkStart w:id="433" w:name="_Toc25845"/>
      <w:bookmarkStart w:id="434" w:name="_Toc31763"/>
      <w:bookmarkStart w:id="435" w:name="_Toc20987"/>
      <w:bookmarkStart w:id="436" w:name="_Toc2708"/>
      <w:bookmarkStart w:id="437" w:name="_Toc23133"/>
      <w:bookmarkStart w:id="438" w:name="_Toc13500"/>
      <w:bookmarkStart w:id="439" w:name="_Toc15898"/>
      <w:bookmarkStart w:id="440" w:name="_Toc3144"/>
      <w:bookmarkStart w:id="441" w:name="_Toc21085"/>
      <w:bookmarkStart w:id="442" w:name="_Toc25266"/>
      <w:bookmarkStart w:id="443" w:name="_Toc14347"/>
      <w:bookmarkStart w:id="444" w:name="_Toc26611"/>
      <w:bookmarkStart w:id="445" w:name="_Toc1893"/>
      <w:bookmarkStart w:id="446" w:name="_Toc2737"/>
      <w:bookmarkStart w:id="447" w:name="_Toc14303"/>
      <w:bookmarkStart w:id="448" w:name="_Toc28104"/>
      <w:bookmarkStart w:id="449" w:name="_Toc28237"/>
      <w:r>
        <w:rPr>
          <w:rFonts w:hint="eastAsia"/>
        </w:rPr>
        <w:t>2.1.3</w:t>
      </w:r>
      <w:bookmarkStart w:id="450" w:name="OLE_LINK23"/>
      <w:r>
        <w:rPr>
          <w:rFonts w:hint="eastAsia"/>
        </w:rPr>
        <w:t>　</w:t>
      </w:r>
      <w:bookmarkEnd w:id="450"/>
      <w:r>
        <w:rPr>
          <w:rFonts w:hint="eastAsia"/>
        </w:rPr>
        <w:t>SGX Enclave安全</w:t>
      </w:r>
      <w:bookmarkEnd w:id="356"/>
      <w:bookmarkEnd w:id="357"/>
      <w:bookmarkEnd w:id="432"/>
      <w:bookmarkEnd w:id="433"/>
      <w:bookmarkEnd w:id="434"/>
      <w:bookmarkEnd w:id="435"/>
      <w:bookmarkEnd w:id="436"/>
      <w:bookmarkEnd w:id="437"/>
      <w:bookmarkEnd w:id="438"/>
      <w:bookmarkEnd w:id="439"/>
      <w:bookmarkEnd w:id="440"/>
      <w:bookmarkEnd w:id="441"/>
      <w:bookmarkEnd w:id="442"/>
      <w:bookmarkEnd w:id="443"/>
      <w:r>
        <w:rPr>
          <w:rFonts w:hint="eastAsia"/>
        </w:rPr>
        <w:t>机制</w:t>
      </w:r>
      <w:bookmarkEnd w:id="444"/>
      <w:bookmarkEnd w:id="445"/>
      <w:bookmarkEnd w:id="446"/>
      <w:bookmarkEnd w:id="447"/>
      <w:bookmarkEnd w:id="448"/>
      <w:bookmarkEnd w:id="449"/>
    </w:p>
    <w:p>
      <w:pPr>
        <w:ind w:firstLine="480" w:firstLineChars="200"/>
      </w:pPr>
      <w:r>
        <w:rPr>
          <w:rFonts w:hint="eastAsia"/>
        </w:rPr>
        <w:t>SGX通过密码学方法和访问控制等安全机制保护Enclave的机密性、完整性、新鲜度（Freshness）和真实性（Authenticity）等，抵御Ring0攻击</w:t>
      </w:r>
      <w:r>
        <w:rPr>
          <w:rFonts w:hint="eastAsia"/>
          <w:vertAlign w:val="superscript"/>
        </w:rPr>
        <w:t>[1,9,10]</w:t>
      </w:r>
      <w:r>
        <w:rPr>
          <w:rFonts w:hint="eastAsia"/>
        </w:rPr>
        <w:t>。SGX 1代提供的安全机制包括EPC（全称为Enclave Page Cache）访问控制机制、EPC机密性保护</w:t>
      </w:r>
      <w:bookmarkStart w:id="451" w:name="OLE_LINK47"/>
      <w:r>
        <w:rPr>
          <w:rFonts w:hint="eastAsia"/>
        </w:rPr>
        <w:t>机制</w:t>
      </w:r>
      <w:bookmarkEnd w:id="451"/>
      <w:r>
        <w:rPr>
          <w:rFonts w:hint="eastAsia"/>
        </w:rPr>
        <w:t>、EPC完整性保护机制、EPC新鲜度保障机制、Enclave真实性保障机制和Enclave实例可信建立机制。EPC是处理器保留内存（Processor Reserved Memory，缩写为PRM，位于DRAM起始位置，无法被系统软件及外设DMA直接访问）中的64M/128M/256M大小的物理内存。Enclave实例的虚拟内存（即ELRANGE）以动态库形式位于SGX应用的进程地址空间中，ELRANGE的虚拟页映射EPC中的物理页。</w:t>
      </w:r>
    </w:p>
    <w:p>
      <w:pPr>
        <w:numPr>
          <w:ilvl w:val="255"/>
          <w:numId w:val="0"/>
        </w:numPr>
        <w:ind w:firstLine="480" w:firstLineChars="200"/>
      </w:pPr>
      <w:r>
        <w:rPr>
          <w:rFonts w:hint="eastAsia"/>
        </w:rPr>
        <w:t>EPC访问控制机制确保CPU在普通模式下无法直接访问EPC，被EENTER</w:t>
      </w:r>
      <w:r>
        <w:rPr>
          <w:rFonts w:hint="eastAsia"/>
          <w:lang w:val="en-US" w:eastAsia="zh-CN"/>
        </w:rPr>
        <w:t>指令</w:t>
      </w:r>
      <w:r>
        <w:rPr>
          <w:rFonts w:hint="eastAsia"/>
        </w:rPr>
        <w:t>切换为Enclave模式后才能访问特定Enclave实例的资源，包括：</w:t>
      </w:r>
    </w:p>
    <w:p>
      <w:pPr>
        <w:numPr>
          <w:ilvl w:val="0"/>
          <w:numId w:val="6"/>
        </w:numPr>
        <w:tabs>
          <w:tab w:val="clear" w:pos="0"/>
        </w:tabs>
        <w:ind w:left="845"/>
      </w:pPr>
      <w:r>
        <w:rPr>
          <w:rFonts w:hint="eastAsia"/>
        </w:rPr>
        <w:t>内核段页机制中的访问控制。</w:t>
      </w:r>
    </w:p>
    <w:p>
      <w:pPr>
        <w:numPr>
          <w:ilvl w:val="0"/>
          <w:numId w:val="6"/>
        </w:numPr>
        <w:tabs>
          <w:tab w:val="clear" w:pos="0"/>
        </w:tabs>
        <w:ind w:left="845"/>
      </w:pPr>
      <w:r>
        <w:rPr>
          <w:rFonts w:hint="eastAsia"/>
        </w:rPr>
        <w:t>EPC无法被系统软件及外设DMA直接访问。</w:t>
      </w:r>
    </w:p>
    <w:p>
      <w:pPr>
        <w:numPr>
          <w:ilvl w:val="0"/>
          <w:numId w:val="6"/>
        </w:numPr>
        <w:tabs>
          <w:tab w:val="clear" w:pos="0"/>
        </w:tabs>
        <w:ind w:left="845"/>
      </w:pPr>
      <w:r>
        <w:rPr>
          <w:rFonts w:hint="eastAsia"/>
        </w:rPr>
        <w:t>Page Miss Handler硬件查询SGX独自维护的EPCM（EPC Map），在代码非法访问EPC时触发中止页面语义。</w:t>
      </w:r>
    </w:p>
    <w:p>
      <w:pPr>
        <w:numPr>
          <w:ilvl w:val="255"/>
          <w:numId w:val="0"/>
        </w:numPr>
        <w:ind w:firstLine="480" w:firstLineChars="200"/>
      </w:pPr>
      <w:r>
        <w:rPr>
          <w:rFonts w:hint="eastAsia"/>
        </w:rPr>
        <w:t>EPC机密性保护机制确保Enclave内容在CPU中明文存在，在物理内存（包括EPC部分和非EPC部分）和硬盘中密文存在，包括：</w:t>
      </w:r>
    </w:p>
    <w:p>
      <w:pPr>
        <w:numPr>
          <w:ilvl w:val="0"/>
          <w:numId w:val="7"/>
        </w:numPr>
        <w:ind w:left="845"/>
      </w:pPr>
      <w:r>
        <w:rPr>
          <w:rFonts w:hint="eastAsia"/>
        </w:rPr>
        <w:t>内存加密引擎（Memory Encryption Engine，缩写为MEE）使用SGX在计算机启动时生成的密钥将CPU中的明文加密存储于EPC。</w:t>
      </w:r>
    </w:p>
    <w:p>
      <w:pPr>
        <w:numPr>
          <w:ilvl w:val="0"/>
          <w:numId w:val="7"/>
        </w:numPr>
        <w:ind w:left="845"/>
      </w:pPr>
      <w:r>
        <w:rPr>
          <w:rFonts w:hint="eastAsia"/>
        </w:rPr>
        <w:t>将EPC内容改用Enclave实例特定密钥加密存储到普通内存。</w:t>
      </w:r>
    </w:p>
    <w:p>
      <w:pPr>
        <w:numPr>
          <w:ilvl w:val="0"/>
          <w:numId w:val="7"/>
        </w:numPr>
        <w:ind w:left="845"/>
      </w:pPr>
      <w:r>
        <w:rPr>
          <w:rFonts w:hint="eastAsia"/>
        </w:rPr>
        <w:t>文件密封：Enclave内操作的文件加密存储于不可信外存中。</w:t>
      </w:r>
    </w:p>
    <w:p>
      <w:pPr>
        <w:numPr>
          <w:ilvl w:val="255"/>
          <w:numId w:val="0"/>
        </w:numPr>
        <w:ind w:firstLine="480" w:firstLineChars="200"/>
      </w:pPr>
      <w:r>
        <w:rPr>
          <w:rFonts w:hint="eastAsia"/>
        </w:rPr>
        <w:t>EPC完整性保护机制中，MEE构建哈希树保护EPC完整性。哈希树维护开销大，只能保护较小尺寸（64M/128M/256M）的EPC。</w:t>
      </w:r>
    </w:p>
    <w:p>
      <w:pPr>
        <w:numPr>
          <w:ilvl w:val="255"/>
          <w:numId w:val="0"/>
        </w:numPr>
        <w:ind w:firstLine="480" w:firstLineChars="200"/>
      </w:pPr>
      <w:r>
        <w:rPr>
          <w:rFonts w:hint="eastAsia"/>
        </w:rPr>
        <w:t>EPC新鲜度保障机制。为了抵御针对EPC的重放攻击（Replay Attack），MEE在哈希树中加入Nonce，</w:t>
      </w:r>
      <w:r>
        <w:rPr>
          <w:rFonts w:hint="eastAsia"/>
          <w:lang w:val="en-US" w:eastAsia="zh-CN"/>
        </w:rPr>
        <w:t>在</w:t>
      </w:r>
      <w:r>
        <w:rPr>
          <w:rFonts w:hint="eastAsia"/>
        </w:rPr>
        <w:t>加密数据时使用包含地址时间信息的Version Nonce。</w:t>
      </w:r>
    </w:p>
    <w:p>
      <w:pPr>
        <w:numPr>
          <w:ilvl w:val="255"/>
          <w:numId w:val="0"/>
        </w:numPr>
        <w:ind w:firstLine="480" w:firstLineChars="200"/>
      </w:pPr>
      <w:r>
        <w:rPr>
          <w:rFonts w:hint="eastAsia"/>
        </w:rPr>
        <w:t>Enclave真实性保障机制包括本地认证和远程认证等。</w:t>
      </w:r>
    </w:p>
    <w:p>
      <w:pPr>
        <w:ind w:firstLine="480" w:firstLineChars="200"/>
      </w:pPr>
      <w:r>
        <w:rPr>
          <w:rFonts w:hint="eastAsia"/>
        </w:rPr>
        <w:t>Enclave实例可信建立机制。Enclave实例建立过程中，EINIT指令验证Enclave文件签名及Enclave实例建立过程度量值的有效性。</w:t>
      </w:r>
    </w:p>
    <w:p>
      <w:pPr>
        <w:pStyle w:val="3"/>
        <w:rPr>
          <w:szCs w:val="24"/>
        </w:rPr>
      </w:pPr>
      <w:bookmarkStart w:id="452" w:name="_Toc17843"/>
      <w:bookmarkStart w:id="453" w:name="_Toc22905"/>
      <w:bookmarkStart w:id="454" w:name="_Toc1251"/>
      <w:bookmarkStart w:id="455" w:name="_Toc9351"/>
      <w:bookmarkStart w:id="456" w:name="_Toc14441"/>
      <w:bookmarkStart w:id="457" w:name="_Toc14597"/>
      <w:bookmarkStart w:id="458" w:name="_Toc18838"/>
      <w:bookmarkStart w:id="459" w:name="_Toc21495"/>
      <w:bookmarkStart w:id="460" w:name="_Toc23437"/>
      <w:bookmarkStart w:id="461" w:name="_Toc12550"/>
      <w:bookmarkStart w:id="462" w:name="_Toc17159"/>
      <w:bookmarkStart w:id="463" w:name="_Toc23620"/>
      <w:bookmarkStart w:id="464" w:name="_Toc8427"/>
      <w:bookmarkStart w:id="465" w:name="_Toc5741"/>
      <w:bookmarkStart w:id="466" w:name="_Toc29590"/>
      <w:bookmarkStart w:id="467" w:name="_Toc23875"/>
      <w:bookmarkStart w:id="468" w:name="_Toc7422"/>
      <w:bookmarkStart w:id="469" w:name="_Toc23909"/>
      <w:bookmarkStart w:id="470" w:name="_Toc9954"/>
      <w:bookmarkStart w:id="471" w:name="_Toc19130"/>
      <w:r>
        <w:rPr>
          <w:rFonts w:hint="eastAsia"/>
          <w:szCs w:val="24"/>
        </w:rPr>
        <w:t>2.2</w:t>
      </w:r>
      <w:r>
        <w:rPr>
          <w:rFonts w:hint="eastAsia"/>
        </w:rPr>
        <w:t>　SGX攻击</w:t>
      </w:r>
      <w:r>
        <w:rPr>
          <w:rFonts w:hint="eastAsia"/>
          <w:szCs w:val="24"/>
        </w:rPr>
        <w:t>现状</w:t>
      </w:r>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pPr>
        <w:ind w:firstLine="480" w:firstLineChars="200"/>
      </w:pPr>
      <w:r>
        <w:rPr>
          <w:rFonts w:hint="eastAsia"/>
        </w:rPr>
        <w:t>现有攻击表明，由于Enclave开发过程存在安全问题，SGX设计存在安全缺陷，2.1.3节中的安全保护机制不足以全面保护SGX。攻击者针对安全问题利用各类攻击向量（指攻击者为了触发攻击所具体采用的方法）如缓存侧信道、内存安全问题、弱缓解技术、EDL中未初始化的填充数据、页表攻击、影子分支攻击、针对SGX的Row-hammer、并发调用攻击、调用排序攻击、恶意输入和嵌套调用攻击</w:t>
      </w:r>
      <w:r>
        <w:rPr>
          <w:rFonts w:hint="eastAsia"/>
          <w:vertAlign w:val="superscript"/>
        </w:rPr>
        <w:t>[11,15]</w:t>
      </w:r>
      <w:r>
        <w:rPr>
          <w:rFonts w:hint="eastAsia"/>
        </w:rPr>
        <w:t>，透过Enclave接口、Enclave内外共享资源等攻击面（指系统中可以被攻击者输入或提取数据造成攻击的点位）破坏Enclave安全性。（如图2.3所示）</w:t>
      </w:r>
    </w:p>
    <w:p>
      <w:pPr>
        <w:jc w:val="center"/>
      </w:pPr>
      <w:r>
        <w:rPr>
          <w:rFonts w:hint="eastAsia"/>
        </w:rPr>
        <w:drawing>
          <wp:inline distT="0" distB="0" distL="114300" distR="114300">
            <wp:extent cx="4602480" cy="3239770"/>
            <wp:effectExtent l="0" t="0" r="7620" b="11430"/>
            <wp:docPr id="43" name="图片 43" descr="1617961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617961660(1)"/>
                    <pic:cNvPicPr>
                      <a:picLocks noChangeAspect="1"/>
                    </pic:cNvPicPr>
                  </pic:nvPicPr>
                  <pic:blipFill>
                    <a:blip r:embed="rId41"/>
                    <a:stretch>
                      <a:fillRect/>
                    </a:stretch>
                  </pic:blipFill>
                  <pic:spPr>
                    <a:xfrm>
                      <a:off x="0" y="0"/>
                      <a:ext cx="4602480" cy="3239770"/>
                    </a:xfrm>
                    <a:prstGeom prst="rect">
                      <a:avLst/>
                    </a:prstGeom>
                  </pic:spPr>
                </pic:pic>
              </a:graphicData>
            </a:graphic>
          </wp:inline>
        </w:drawing>
      </w:r>
    </w:p>
    <w:p>
      <w:pPr>
        <w:pStyle w:val="6"/>
      </w:pPr>
      <w:r>
        <w:rPr>
          <w:b/>
          <w:bCs/>
        </w:rPr>
        <w:t>图</w:t>
      </w:r>
      <w:r>
        <w:rPr>
          <w:rFonts w:hint="eastAsia"/>
          <w:b/>
          <w:bCs/>
        </w:rPr>
        <w:t>2.</w:t>
      </w:r>
      <w:r>
        <w:rPr>
          <w:b/>
          <w:bCs/>
        </w:rPr>
        <w:fldChar w:fldCharType="begin"/>
      </w:r>
      <w:r>
        <w:rPr>
          <w:b/>
          <w:bCs/>
        </w:rPr>
        <w:instrText xml:space="preserve"> SEQ 图 \* ARABIC \s 1 </w:instrText>
      </w:r>
      <w:r>
        <w:rPr>
          <w:b/>
          <w:bCs/>
        </w:rPr>
        <w:fldChar w:fldCharType="separate"/>
      </w:r>
      <w:r>
        <w:rPr>
          <w:b/>
          <w:bCs/>
        </w:rPr>
        <w:t>3</w:t>
      </w:r>
      <w:r>
        <w:rPr>
          <w:b/>
          <w:bCs/>
        </w:rPr>
        <w:fldChar w:fldCharType="end"/>
      </w:r>
      <w:bookmarkStart w:id="472" w:name="_Toc9447"/>
      <w:bookmarkStart w:id="473" w:name="_Toc16869"/>
      <w:bookmarkStart w:id="474" w:name="_Toc18786"/>
      <w:bookmarkStart w:id="475" w:name="_Toc25914"/>
      <w:bookmarkStart w:id="476" w:name="_Toc1941"/>
      <w:bookmarkStart w:id="477" w:name="_Toc23135"/>
      <w:bookmarkStart w:id="478" w:name="_Toc18694"/>
      <w:bookmarkStart w:id="479" w:name="_Toc21004"/>
      <w:bookmarkStart w:id="480" w:name="_Toc15275"/>
      <w:bookmarkStart w:id="481" w:name="_Toc9776"/>
      <w:bookmarkStart w:id="482" w:name="_Toc22840"/>
      <w:bookmarkStart w:id="483" w:name="_Toc12657"/>
      <w:bookmarkStart w:id="484" w:name="_Toc15925"/>
      <w:bookmarkStart w:id="485" w:name="_Toc10450"/>
      <w:bookmarkStart w:id="486" w:name="_Toc14219"/>
      <w:bookmarkStart w:id="487" w:name="_Toc5817"/>
      <w:bookmarkStart w:id="488" w:name="_Toc27036"/>
      <w:bookmarkStart w:id="489" w:name="_Toc1767"/>
      <w:bookmarkStart w:id="490" w:name="_Toc16034"/>
      <w:bookmarkStart w:id="491" w:name="_Toc5776"/>
      <w:bookmarkStart w:id="492" w:name="_Toc2284"/>
      <w:bookmarkStart w:id="493" w:name="_Toc14446"/>
      <w:bookmarkStart w:id="494" w:name="_Toc12196"/>
      <w:bookmarkStart w:id="495" w:name="_Toc22619"/>
      <w:bookmarkStart w:id="496" w:name="_Toc4130"/>
      <w:r>
        <w:rPr>
          <w:rFonts w:hint="eastAsia"/>
        </w:rPr>
        <w:t>　</w:t>
      </w:r>
      <w:bookmarkStart w:id="497" w:name="OLE_LINK48"/>
      <w:r>
        <w:rPr>
          <w:rFonts w:hint="eastAsia"/>
        </w:rPr>
        <w:t>SGX Enclave安全问题、攻击面和攻击向量</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pPr>
        <w:pStyle w:val="6"/>
      </w:pPr>
      <w:r>
        <w:rPr>
          <w:rFonts w:hint="eastAsia"/>
          <w:b/>
          <w:bCs/>
        </w:rPr>
        <w:t>Figure2.3</w:t>
      </w:r>
      <w:r>
        <w:rPr>
          <w:rFonts w:hint="eastAsia"/>
        </w:rPr>
        <w:t>　SGX Enclave security issues, attack surfaces and attack vectors</w:t>
      </w:r>
    </w:p>
    <w:p>
      <w:pPr>
        <w:pStyle w:val="4"/>
      </w:pPr>
      <w:bookmarkStart w:id="498" w:name="_Toc21417"/>
      <w:bookmarkStart w:id="499" w:name="_Toc7712"/>
      <w:bookmarkStart w:id="500" w:name="_Toc26359"/>
      <w:bookmarkStart w:id="501" w:name="_Toc4761"/>
      <w:bookmarkStart w:id="502" w:name="_Toc9092"/>
      <w:bookmarkStart w:id="503" w:name="_Toc10982"/>
      <w:bookmarkStart w:id="504" w:name="_Toc20410"/>
      <w:bookmarkStart w:id="505" w:name="_Toc26285"/>
      <w:bookmarkStart w:id="506" w:name="_Toc2227"/>
      <w:bookmarkStart w:id="507" w:name="_Toc10315"/>
      <w:bookmarkStart w:id="508" w:name="_Toc32151"/>
      <w:bookmarkStart w:id="509" w:name="_Toc14299"/>
      <w:bookmarkStart w:id="510" w:name="_Toc20287"/>
      <w:bookmarkStart w:id="511" w:name="_Toc6150"/>
      <w:bookmarkStart w:id="512" w:name="_Toc994"/>
      <w:bookmarkStart w:id="513" w:name="_Toc18085"/>
      <w:bookmarkStart w:id="514" w:name="_Toc22880"/>
      <w:bookmarkStart w:id="515" w:name="_Toc22948"/>
      <w:bookmarkStart w:id="516" w:name="_Toc10486"/>
      <w:bookmarkStart w:id="517" w:name="_Toc24963"/>
      <w:r>
        <w:rPr>
          <w:rFonts w:hint="eastAsia"/>
        </w:rPr>
        <w:t>2.2.1　源于</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Start w:id="518" w:name="OLE_LINK60"/>
      <w:r>
        <w:rPr>
          <w:rFonts w:hint="eastAsia"/>
        </w:rPr>
        <w:t>Enclave开发中的安全问题</w:t>
      </w:r>
      <w:bookmarkEnd w:id="512"/>
      <w:bookmarkEnd w:id="513"/>
      <w:bookmarkEnd w:id="514"/>
      <w:bookmarkEnd w:id="515"/>
      <w:bookmarkEnd w:id="516"/>
      <w:bookmarkEnd w:id="517"/>
      <w:bookmarkEnd w:id="518"/>
    </w:p>
    <w:p>
      <w:pPr>
        <w:ind w:firstLine="480" w:firstLineChars="200"/>
      </w:pPr>
      <w:r>
        <w:rPr>
          <w:rFonts w:hint="eastAsia"/>
        </w:rPr>
        <w:t>SGX假设除Enclave外均是不可信的，SGX应用不可信部分可以被攻击者攻占，并以任意顺序调用Enclave可信函数。但开发者在开发过程中会忽视这个情况，产生的安全问题被攻击者频繁利用，SGX未对此提供安全服务功能。</w:t>
      </w:r>
    </w:p>
    <w:p>
      <w:pPr>
        <w:ind w:firstLine="480" w:firstLineChars="200"/>
      </w:pPr>
      <w:r>
        <w:rPr>
          <w:rFonts w:hint="eastAsia"/>
        </w:rPr>
        <w:t>Coin Attack</w:t>
      </w:r>
      <w:r>
        <w:rPr>
          <w:rFonts w:hint="eastAsia"/>
          <w:vertAlign w:val="superscript"/>
        </w:rPr>
        <w:t>[15]</w:t>
      </w:r>
      <w:r>
        <w:rPr>
          <w:rFonts w:hint="eastAsia"/>
        </w:rPr>
        <w:t>归纳了并发调用攻击、调用排序攻击和嵌套调用攻击三种攻击向量。这些攻击向量主要源于开发者忽视SGX开发特点，未限制不可信代码对Enclave的调用逻辑。它们主要透过Enclave接口攻击面展开攻击，具体描述如下：</w:t>
      </w:r>
    </w:p>
    <w:p>
      <w:pPr>
        <w:numPr>
          <w:ilvl w:val="0"/>
          <w:numId w:val="8"/>
        </w:numPr>
        <w:ind w:left="845"/>
      </w:pPr>
      <w:r>
        <w:rPr>
          <w:rFonts w:hint="eastAsia"/>
        </w:rPr>
        <w:t>调用排序攻击（Call Permutation）。SGX编程模型中，不可信代码可以任意顺序调用Enclave函数，但是Enclave开发人员未做出限制，使得攻击者能够恶意顺序调用Enclave函数绕过特定接口检查。</w:t>
      </w:r>
    </w:p>
    <w:p>
      <w:pPr>
        <w:numPr>
          <w:ilvl w:val="0"/>
          <w:numId w:val="8"/>
        </w:numPr>
        <w:ind w:left="845"/>
      </w:pPr>
      <w:r>
        <w:rPr>
          <w:rFonts w:hint="eastAsia"/>
        </w:rPr>
        <w:t>并发调用攻击（Concurrent Calls）。不可信代码可以并发调用多个Enclave函数，触发Enclave并发错误，如Enclave内的Race Condition。</w:t>
      </w:r>
    </w:p>
    <w:p>
      <w:pPr>
        <w:numPr>
          <w:ilvl w:val="0"/>
          <w:numId w:val="8"/>
        </w:numPr>
        <w:ind w:left="845"/>
      </w:pPr>
      <w:r>
        <w:rPr>
          <w:rFonts w:hint="eastAsia"/>
        </w:rPr>
        <w:t>嵌套调用攻击（Nested Calls）。嵌套ECALL和OCALL构建非预期的控制流，进而形成攻击。</w:t>
      </w:r>
    </w:p>
    <w:p>
      <w:pPr>
        <w:numPr>
          <w:ilvl w:val="255"/>
          <w:numId w:val="0"/>
        </w:numPr>
        <w:ind w:firstLine="480" w:firstLineChars="200"/>
      </w:pPr>
      <w:bookmarkStart w:id="519" w:name="_Toc12565"/>
      <w:bookmarkStart w:id="520" w:name="_Toc14433"/>
      <w:bookmarkStart w:id="521" w:name="_Toc17438"/>
      <w:r>
        <w:rPr>
          <w:rFonts w:hint="eastAsia"/>
        </w:rPr>
        <w:t>SGX要求开发者基于先验知识针对Enclave接口进行安全检查，SGX只向开发者提供基础性的接口安全检查功能。开发者编写Enclave代码时，对Enclave接口检查不充分，产生安全问题被多类攻击向量利用。针对此安全问题的攻击向量包括：</w:t>
      </w:r>
    </w:p>
    <w:p>
      <w:pPr>
        <w:numPr>
          <w:ilvl w:val="0"/>
          <w:numId w:val="9"/>
        </w:numPr>
      </w:pPr>
      <w:r>
        <w:rPr>
          <w:rFonts w:hint="eastAsia"/>
        </w:rPr>
        <w:t>恶意篡改输入（Input Manipulation）。攻击者在Enclave接口处输入非预期值，影响Enclave内状态，形成攻击。SGX tRTS（trusted Run-Time System）无法先验地知道输入数据的处理方法，只能提供安全能力有限的接口消毒功能（如EDL关键字）。</w:t>
      </w:r>
    </w:p>
    <w:p>
      <w:pPr>
        <w:numPr>
          <w:ilvl w:val="0"/>
          <w:numId w:val="9"/>
        </w:numPr>
      </w:pPr>
      <w:r>
        <w:rPr>
          <w:rFonts w:hint="eastAsia"/>
        </w:rPr>
        <w:t>EDL中未重新初始化的填充数据（Uninitialized Padding In EDL）。传入传出Enclave的数据结构内存在用于保证数据结构正确对齐的填充数据，填充数据可能携带残留的敏感信息，使得Enclave敏感信息泄露，Enclave外非法输入恶意数据影响Enclave状态。</w:t>
      </w:r>
    </w:p>
    <w:p>
      <w:pPr>
        <w:pStyle w:val="4"/>
      </w:pPr>
      <w:bookmarkStart w:id="522" w:name="_Toc11272"/>
      <w:bookmarkStart w:id="523" w:name="_Toc29698"/>
      <w:bookmarkStart w:id="524" w:name="_Toc20960"/>
      <w:bookmarkStart w:id="525" w:name="_Toc2022"/>
      <w:bookmarkStart w:id="526" w:name="_Toc5677"/>
      <w:bookmarkStart w:id="527" w:name="_Toc10141"/>
      <w:bookmarkStart w:id="528" w:name="_Toc30106"/>
      <w:bookmarkStart w:id="529" w:name="_Toc14690"/>
      <w:bookmarkStart w:id="530" w:name="_Toc20564"/>
      <w:bookmarkStart w:id="531" w:name="_Toc17755"/>
      <w:bookmarkStart w:id="532" w:name="_Toc8324"/>
      <w:bookmarkStart w:id="533" w:name="_Toc22271"/>
      <w:bookmarkStart w:id="534" w:name="_Toc1906"/>
      <w:bookmarkStart w:id="535" w:name="_Toc12830"/>
      <w:bookmarkStart w:id="536" w:name="_Toc26223"/>
      <w:bookmarkStart w:id="537" w:name="_Toc17076"/>
      <w:bookmarkStart w:id="538" w:name="_Toc9538"/>
      <w:r>
        <w:rPr>
          <w:rFonts w:hint="eastAsia"/>
        </w:rPr>
        <w:t>2.2.2　源于</w:t>
      </w:r>
      <w:bookmarkEnd w:id="519"/>
      <w:bookmarkEnd w:id="520"/>
      <w:bookmarkEnd w:id="521"/>
      <w:r>
        <w:rPr>
          <w:rFonts w:hint="eastAsia"/>
        </w:rPr>
        <w:t>SGX设计存在安全缺陷</w:t>
      </w:r>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pPr>
        <w:ind w:firstLine="480" w:firstLineChars="200"/>
      </w:pPr>
      <w:r>
        <w:rPr>
          <w:rFonts w:hint="eastAsia"/>
        </w:rPr>
        <w:t>研究表明SGX提供的安全机制存在缺陷。CPU资源隔离机制中对资源隔离不充分，形成Enclave内外共享资源攻击面，被大量侧信道攻击利用</w:t>
      </w:r>
      <w:r>
        <w:rPr>
          <w:rFonts w:hint="eastAsia"/>
          <w:vertAlign w:val="superscript"/>
        </w:rPr>
        <w:t>[1,10]</w:t>
      </w:r>
      <w:r>
        <w:rPr>
          <w:rFonts w:hint="eastAsia"/>
        </w:rPr>
        <w:t>。Enclave内外共享资源包括：</w:t>
      </w:r>
    </w:p>
    <w:p>
      <w:pPr>
        <w:numPr>
          <w:ilvl w:val="0"/>
          <w:numId w:val="10"/>
        </w:numPr>
        <w:ind w:left="845"/>
      </w:pPr>
      <w:r>
        <w:rPr>
          <w:rFonts w:hint="eastAsia"/>
        </w:rPr>
        <w:t>微架构共享资源。Enclave内外存在微架构层面的共享资源，如缓存、分支预测器和TLB。</w:t>
      </w:r>
    </w:p>
    <w:p>
      <w:pPr>
        <w:numPr>
          <w:ilvl w:val="0"/>
          <w:numId w:val="10"/>
        </w:numPr>
        <w:ind w:left="845"/>
      </w:pPr>
      <w:r>
        <w:rPr>
          <w:rFonts w:hint="eastAsia"/>
        </w:rPr>
        <w:t>部分功能依赖不可信内核。用户态Enclave部分功能依赖于不可信内核，如页错误处理和线程调度。</w:t>
      </w:r>
    </w:p>
    <w:p>
      <w:pPr>
        <w:numPr>
          <w:ilvl w:val="0"/>
          <w:numId w:val="10"/>
        </w:numPr>
        <w:ind w:left="845"/>
      </w:pPr>
      <w:r>
        <w:rPr>
          <w:rFonts w:hint="eastAsia"/>
        </w:rPr>
        <w:t>可观测的物理信息。Enclave内的物理信息如执行时间可被Enclave外感知。</w:t>
      </w:r>
    </w:p>
    <w:p>
      <w:pPr>
        <w:ind w:firstLine="480" w:firstLineChars="200"/>
      </w:pPr>
      <w:r>
        <w:rPr>
          <w:rFonts w:hint="eastAsia"/>
        </w:rPr>
        <w:t>针对此安全问题的攻击向量包括：</w:t>
      </w:r>
    </w:p>
    <w:p>
      <w:pPr>
        <w:numPr>
          <w:ilvl w:val="0"/>
          <w:numId w:val="11"/>
        </w:numPr>
        <w:ind w:left="845"/>
      </w:pPr>
      <w:r>
        <w:rPr>
          <w:rFonts w:hint="eastAsia"/>
        </w:rPr>
        <w:t>接口侧信道。攻击者观察Enclave在接口处所泄露的侧信道信息构建攻击。</w:t>
      </w:r>
    </w:p>
    <w:p>
      <w:pPr>
        <w:numPr>
          <w:ilvl w:val="0"/>
          <w:numId w:val="11"/>
        </w:numPr>
        <w:ind w:left="845"/>
      </w:pPr>
      <w:r>
        <w:rPr>
          <w:rFonts w:hint="eastAsia"/>
        </w:rPr>
        <w:t>缓存侧信道。攻击者观察Enclave在Enclave内外共享缓存（L1、L2和LLC）中泄露的信息，推测Enclave内容。</w:t>
      </w:r>
    </w:p>
    <w:p>
      <w:pPr>
        <w:numPr>
          <w:ilvl w:val="0"/>
          <w:numId w:val="11"/>
        </w:numPr>
        <w:ind w:left="845"/>
      </w:pPr>
      <w:r>
        <w:rPr>
          <w:rFonts w:hint="eastAsia"/>
        </w:rPr>
        <w:t>分支预测器侧信道。攻击者观察Enclave在Enclave内外共享分支预测器（Branch Predictor）中泄露的信息，推测Enclave内容。</w:t>
      </w:r>
    </w:p>
    <w:p>
      <w:pPr>
        <w:numPr>
          <w:ilvl w:val="0"/>
          <w:numId w:val="11"/>
        </w:numPr>
        <w:ind w:left="845"/>
      </w:pPr>
      <w:r>
        <w:rPr>
          <w:rFonts w:hint="eastAsia"/>
        </w:rPr>
        <w:t>影子分支攻击（Branch Shadowing Attack）。该攻击向量类似于分支预测器侧信道，但它使用影子分支提取被泄露的信息，传统分支预测器侧信道使用缓存侧信道提取被泄露的信息。</w:t>
      </w:r>
    </w:p>
    <w:p>
      <w:pPr>
        <w:numPr>
          <w:ilvl w:val="0"/>
          <w:numId w:val="11"/>
        </w:numPr>
        <w:ind w:left="845"/>
      </w:pPr>
      <w:r>
        <w:rPr>
          <w:rFonts w:hint="eastAsia"/>
        </w:rPr>
        <w:t>页表攻击。攻击者观察Enclave在内核页表中泄露的信息（如页错误时会泄露页地址），推测Enclave内容。</w:t>
      </w:r>
    </w:p>
    <w:p>
      <w:pPr>
        <w:numPr>
          <w:ilvl w:val="0"/>
          <w:numId w:val="11"/>
        </w:numPr>
        <w:ind w:left="845"/>
      </w:pPr>
      <w:r>
        <w:rPr>
          <w:rFonts w:hint="eastAsia"/>
        </w:rPr>
        <w:t>恶意线程调度。攻击者利用Ring0权限恶意调度（暂停及恢复）Enclave线程执行，触发非预期并发状态并形成攻击。</w:t>
      </w:r>
    </w:p>
    <w:p>
      <w:pPr>
        <w:numPr>
          <w:ilvl w:val="0"/>
          <w:numId w:val="11"/>
        </w:numPr>
        <w:ind w:left="845"/>
      </w:pPr>
      <w:r>
        <w:rPr>
          <w:rFonts w:hint="eastAsia"/>
        </w:rPr>
        <w:t>时间侧信道。攻击者观察Enclave执行过程中不同粒度的时延信息，推测Enclave内容。</w:t>
      </w:r>
    </w:p>
    <w:p>
      <w:pPr>
        <w:ind w:firstLine="480" w:firstLineChars="200"/>
      </w:pPr>
      <w:r>
        <w:rPr>
          <w:rFonts w:hint="eastAsia"/>
        </w:rPr>
        <w:t>密封文件等安全机制对安全场景考虑不充分，存在安全缺陷，向攻击者暴露攻击面。相关攻击向量如文件回滚攻击：当Enclave操作密封文件时，不可信环境向Enclave内提供旧文件，将Enclave状态回滚到旧状态，形成攻击。</w:t>
      </w:r>
    </w:p>
    <w:p>
      <w:pPr>
        <w:pStyle w:val="4"/>
      </w:pPr>
      <w:bookmarkStart w:id="539" w:name="_Toc23069"/>
      <w:bookmarkStart w:id="540" w:name="_Toc6846"/>
      <w:bookmarkStart w:id="541" w:name="_Toc21556"/>
      <w:bookmarkStart w:id="542" w:name="_Toc29363"/>
      <w:bookmarkStart w:id="543" w:name="_Toc28200"/>
      <w:bookmarkStart w:id="544" w:name="_Toc27617"/>
      <w:bookmarkStart w:id="545" w:name="_Toc13208"/>
      <w:bookmarkStart w:id="546" w:name="_Toc7434"/>
      <w:bookmarkStart w:id="547" w:name="_Toc29152"/>
      <w:bookmarkStart w:id="548" w:name="_Toc5657"/>
      <w:bookmarkStart w:id="549" w:name="_Toc9515"/>
      <w:bookmarkStart w:id="550" w:name="_Toc8782"/>
      <w:bookmarkStart w:id="551" w:name="_Toc12876"/>
      <w:bookmarkStart w:id="552" w:name="_Toc21306"/>
      <w:bookmarkStart w:id="553" w:name="_Toc26877"/>
      <w:bookmarkStart w:id="554" w:name="_Toc2402"/>
      <w:bookmarkStart w:id="555" w:name="_Toc26217"/>
      <w:bookmarkStart w:id="556" w:name="_Toc3044"/>
      <w:bookmarkStart w:id="557" w:name="_Toc409"/>
      <w:bookmarkStart w:id="558" w:name="_Toc15333"/>
      <w:r>
        <w:rPr>
          <w:rFonts w:hint="eastAsia"/>
        </w:rPr>
        <w:t>2.2.</w:t>
      </w:r>
      <w:bookmarkStart w:id="559" w:name="OLE_LINK26"/>
      <w:r>
        <w:rPr>
          <w:rFonts w:hint="eastAsia"/>
        </w:rPr>
        <w:t>3　</w:t>
      </w:r>
      <w:bookmarkEnd w:id="559"/>
      <w:r>
        <w:rPr>
          <w:rFonts w:hint="eastAsia"/>
        </w:rPr>
        <w:t>代表</w:t>
      </w:r>
      <w:bookmarkEnd w:id="539"/>
      <w:bookmarkEnd w:id="540"/>
      <w:r>
        <w:rPr>
          <w:rFonts w:hint="eastAsia"/>
        </w:rPr>
        <w:t>性攻击</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pPr>
        <w:ind w:firstLine="480" w:firstLineChars="200"/>
      </w:pPr>
      <w:r>
        <w:rPr>
          <w:rFonts w:hint="eastAsia"/>
        </w:rPr>
        <w:t>本小节阐述代表性攻击，指出每个代表性攻击所针对的安全问题、所利用的攻击向量及所涉及的攻击面。</w:t>
      </w:r>
    </w:p>
    <w:p>
      <w:pPr>
        <w:ind w:firstLine="480" w:firstLineChars="200"/>
      </w:pPr>
      <w:r>
        <w:rPr>
          <w:rFonts w:hint="eastAsia"/>
        </w:rPr>
        <w:t>Iago attacks</w:t>
      </w:r>
      <w:r>
        <w:rPr>
          <w:rFonts w:hint="eastAsia"/>
          <w:vertAlign w:val="superscript"/>
        </w:rPr>
        <w:t>[12]</w:t>
      </w:r>
      <w:r>
        <w:rPr>
          <w:rFonts w:hint="eastAsia"/>
        </w:rPr>
        <w:t>中，攻击者恶意构造系统调用OCALL（Enclave无法提供系统调用）返回值影响Enclave状态，形成攻击。</w:t>
      </w:r>
      <w:bookmarkStart w:id="560" w:name="OLE_LINK1"/>
      <w:r>
        <w:rPr>
          <w:rFonts w:hint="eastAsia"/>
        </w:rPr>
        <w:t>针对</w:t>
      </w:r>
      <w:bookmarkEnd w:id="560"/>
      <w:r>
        <w:rPr>
          <w:rFonts w:hint="eastAsia"/>
        </w:rPr>
        <w:t>“Enclave开发中的安全问题”，用到“恶意篡改输入”攻击向量，</w:t>
      </w:r>
      <w:r>
        <w:t>涉及</w:t>
      </w:r>
      <w:r>
        <w:rPr>
          <w:rFonts w:hint="eastAsia"/>
        </w:rPr>
        <w:t>“Enclave接口”攻击面。</w:t>
      </w:r>
    </w:p>
    <w:p>
      <w:pPr>
        <w:ind w:firstLine="480" w:firstLineChars="200"/>
      </w:pPr>
      <w:r>
        <w:rPr>
          <w:rFonts w:hint="eastAsia"/>
        </w:rPr>
        <w:t>Lee S等人的工作</w:t>
      </w:r>
      <w:r>
        <w:rPr>
          <w:rFonts w:hint="eastAsia"/>
          <w:vertAlign w:val="superscript"/>
        </w:rPr>
        <w:t>[13]</w:t>
      </w:r>
      <w:r>
        <w:rPr>
          <w:rFonts w:hint="eastAsia"/>
        </w:rPr>
        <w:t>中，攻击者观察Enclave内传出的数据结构中未初始化的填充数据，获得残留的敏感数据。针对“Enclave开发中的安全问题”，用到“EDL中未初始化填充数据”攻击向量，涉及“Enclave接口”攻击面。</w:t>
      </w:r>
    </w:p>
    <w:p>
      <w:pPr>
        <w:ind w:firstLine="480" w:firstLineChars="200"/>
      </w:pPr>
      <w:r>
        <w:rPr>
          <w:rFonts w:hint="eastAsia"/>
        </w:rPr>
        <w:t>A Tale of Two Worlds</w:t>
      </w:r>
      <w:r>
        <w:rPr>
          <w:rFonts w:hint="eastAsia"/>
          <w:vertAlign w:val="superscript"/>
        </w:rPr>
        <w:t>[14]</w:t>
      </w:r>
      <w:r>
        <w:rPr>
          <w:rFonts w:hint="eastAsia"/>
        </w:rPr>
        <w:t>总结了针对SGX软件栈的ABI和API攻击，实现了新型的ABI攻击（通过修改标志寄存器）及API攻击（对SGX帮助性函数进行时间侧信道）。针对“Enclave开发中的安全问题”和“SGX设计存在安全缺陷”，用到“恶意篡改输入”和“时间侧信道”等攻击向量，涉及“Enclave接口”和“可观测的物理信息”等攻击面。</w:t>
      </w:r>
    </w:p>
    <w:p>
      <w:pPr>
        <w:ind w:firstLine="480" w:firstLineChars="200"/>
      </w:pPr>
      <w:r>
        <w:rPr>
          <w:rFonts w:hint="eastAsia"/>
        </w:rPr>
        <w:t>COIN Attacks</w:t>
      </w:r>
      <w:r>
        <w:rPr>
          <w:rFonts w:hint="eastAsia"/>
          <w:vertAlign w:val="superscript"/>
        </w:rPr>
        <w:t>[15]</w:t>
      </w:r>
      <w:r>
        <w:rPr>
          <w:rFonts w:hint="eastAsia"/>
        </w:rPr>
        <w:t>归纳了并发调用攻击、调用排序攻击、恶意篡改输入和嵌套调用攻击这四种透过Enclave接口攻击面的攻击向量，基于此开发了SGX应用漏洞自动挖掘工具。这些攻击向量针对“Enclave开发中的安全问题”，</w:t>
      </w:r>
      <w:r>
        <w:t>涉及</w:t>
      </w:r>
      <w:r>
        <w:rPr>
          <w:rFonts w:hint="eastAsia"/>
        </w:rPr>
        <w:t>“Enclave接口”攻击面。“调用排序”攻击向量如图2.4所示，攻击者攻占SGX应用不可信部分，恶意顺序调用ECALL以绕过特定接口检查，触发非预期的控制流。如攻击者利用ECALL C中的状态设置操作绕过ECALL B的状态检查。</w:t>
      </w:r>
    </w:p>
    <w:p>
      <w:pPr>
        <w:jc w:val="center"/>
      </w:pPr>
      <w:r>
        <w:rPr>
          <w:rFonts w:hint="eastAsia"/>
        </w:rPr>
        <w:drawing>
          <wp:inline distT="0" distB="0" distL="114300" distR="114300">
            <wp:extent cx="2223135" cy="3239770"/>
            <wp:effectExtent l="0" t="0" r="12065" b="11430"/>
            <wp:docPr id="15" name="图片 15" descr="1617271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17271634(1)"/>
                    <pic:cNvPicPr>
                      <a:picLocks noChangeAspect="1"/>
                    </pic:cNvPicPr>
                  </pic:nvPicPr>
                  <pic:blipFill>
                    <a:blip r:embed="rId42"/>
                    <a:stretch>
                      <a:fillRect/>
                    </a:stretch>
                  </pic:blipFill>
                  <pic:spPr>
                    <a:xfrm>
                      <a:off x="0" y="0"/>
                      <a:ext cx="2223135" cy="3239770"/>
                    </a:xfrm>
                    <a:prstGeom prst="rect">
                      <a:avLst/>
                    </a:prstGeom>
                  </pic:spPr>
                </pic:pic>
              </a:graphicData>
            </a:graphic>
          </wp:inline>
        </w:drawing>
      </w:r>
    </w:p>
    <w:p>
      <w:pPr>
        <w:pStyle w:val="6"/>
      </w:pPr>
      <w:r>
        <w:rPr>
          <w:b/>
          <w:bCs/>
        </w:rPr>
        <w:t>图</w:t>
      </w:r>
      <w:r>
        <w:rPr>
          <w:rFonts w:hint="eastAsia"/>
          <w:b/>
          <w:bCs/>
        </w:rPr>
        <w:t>2.</w:t>
      </w:r>
      <w:r>
        <w:rPr>
          <w:b/>
          <w:bCs/>
        </w:rPr>
        <w:fldChar w:fldCharType="begin"/>
      </w:r>
      <w:r>
        <w:rPr>
          <w:b/>
          <w:bCs/>
        </w:rPr>
        <w:instrText xml:space="preserve"> SEQ 图 \* ARABIC \s 1 </w:instrText>
      </w:r>
      <w:r>
        <w:rPr>
          <w:b/>
          <w:bCs/>
        </w:rPr>
        <w:fldChar w:fldCharType="separate"/>
      </w:r>
      <w:r>
        <w:rPr>
          <w:b/>
          <w:bCs/>
        </w:rPr>
        <w:t>4</w:t>
      </w:r>
      <w:r>
        <w:rPr>
          <w:b/>
          <w:bCs/>
        </w:rPr>
        <w:fldChar w:fldCharType="end"/>
      </w:r>
      <w:bookmarkStart w:id="561" w:name="_Toc26305"/>
      <w:bookmarkStart w:id="562" w:name="_Toc20498"/>
      <w:bookmarkStart w:id="563" w:name="_Toc5809"/>
      <w:bookmarkStart w:id="564" w:name="_Toc21622"/>
      <w:bookmarkStart w:id="565" w:name="_Toc23763"/>
      <w:bookmarkStart w:id="566" w:name="_Toc30797"/>
      <w:bookmarkStart w:id="567" w:name="_Toc31247"/>
      <w:bookmarkStart w:id="568" w:name="_Toc28157"/>
      <w:bookmarkStart w:id="569" w:name="_Toc28928"/>
      <w:bookmarkStart w:id="570" w:name="_Toc28425"/>
      <w:bookmarkStart w:id="571" w:name="_Toc2897"/>
      <w:bookmarkStart w:id="572" w:name="_Toc31301"/>
      <w:bookmarkStart w:id="573" w:name="_Toc31690"/>
      <w:bookmarkStart w:id="574" w:name="_Toc8275"/>
      <w:bookmarkStart w:id="575" w:name="_Toc28025"/>
      <w:bookmarkStart w:id="576" w:name="_Toc20965"/>
      <w:bookmarkStart w:id="577" w:name="_Toc26887"/>
      <w:bookmarkStart w:id="578" w:name="_Toc13742"/>
      <w:bookmarkStart w:id="579" w:name="_Toc29246"/>
      <w:bookmarkStart w:id="580" w:name="_Toc1623"/>
      <w:bookmarkStart w:id="581" w:name="_Toc13130"/>
      <w:bookmarkStart w:id="582" w:name="_Toc29690"/>
      <w:bookmarkStart w:id="583" w:name="_Toc29963"/>
      <w:bookmarkStart w:id="584" w:name="_Toc16365"/>
      <w:r>
        <w:rPr>
          <w:rFonts w:hint="eastAsia"/>
        </w:rPr>
        <w:t>　调用排序攻击示意图</w:t>
      </w:r>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p>
    <w:p>
      <w:pPr>
        <w:pStyle w:val="6"/>
      </w:pPr>
      <w:r>
        <w:rPr>
          <w:rFonts w:hint="eastAsia"/>
          <w:b/>
          <w:bCs/>
        </w:rPr>
        <w:t>Figure2.4</w:t>
      </w:r>
      <w:r>
        <w:rPr>
          <w:rFonts w:hint="eastAsia"/>
        </w:rPr>
        <w:t>　Diagram of Call Permutation Attack</w:t>
      </w:r>
    </w:p>
    <w:p>
      <w:pPr>
        <w:ind w:firstLine="480" w:firstLineChars="200"/>
      </w:pPr>
      <w:r>
        <w:rPr>
          <w:rFonts w:hint="eastAsia"/>
        </w:rPr>
        <w:t>Wang J等人的工作中</w:t>
      </w:r>
      <w:r>
        <w:rPr>
          <w:rFonts w:hint="eastAsia"/>
          <w:vertAlign w:val="superscript"/>
        </w:rPr>
        <w:t>[16]</w:t>
      </w:r>
      <w:r>
        <w:rPr>
          <w:rFonts w:hint="eastAsia"/>
        </w:rPr>
        <w:t>中，攻击者通过侧信道手段观察受害者Enclave的接口调用顺序、参数及时延，推测受害者Enclave的控制流。</w:t>
      </w:r>
      <w:bookmarkStart w:id="585" w:name="OLE_LINK41"/>
      <w:r>
        <w:rPr>
          <w:rFonts w:hint="eastAsia"/>
        </w:rPr>
        <w:t>针对“SGX设计存在安全缺陷</w:t>
      </w:r>
      <w:bookmarkEnd w:id="585"/>
      <w:r>
        <w:rPr>
          <w:rFonts w:hint="eastAsia"/>
        </w:rPr>
        <w:t>”，用到“接口侧信道”攻击向量，</w:t>
      </w:r>
      <w:r>
        <w:t>涉及</w:t>
      </w:r>
      <w:r>
        <w:rPr>
          <w:rFonts w:hint="eastAsia"/>
        </w:rPr>
        <w:t>“Enclave接口”和“可观测的物理信息”等攻击面。</w:t>
      </w:r>
    </w:p>
    <w:p>
      <w:pPr>
        <w:ind w:firstLine="480" w:firstLineChars="200"/>
      </w:pPr>
      <w:r>
        <w:t>Foreshadow</w:t>
      </w:r>
      <w:r>
        <w:rPr>
          <w:vertAlign w:val="superscript"/>
        </w:rPr>
        <w:t>[</w:t>
      </w:r>
      <w:r>
        <w:rPr>
          <w:rFonts w:hint="eastAsia"/>
          <w:vertAlign w:val="superscript"/>
        </w:rPr>
        <w:t>17</w:t>
      </w:r>
      <w:r>
        <w:rPr>
          <w:vertAlign w:val="superscript"/>
        </w:rPr>
        <w:t>]</w:t>
      </w:r>
      <w:r>
        <w:rPr>
          <w:rFonts w:hint="eastAsia"/>
        </w:rPr>
        <w:t>中，攻击者</w:t>
      </w:r>
      <w:r>
        <w:t>手动构造</w:t>
      </w:r>
      <w:r>
        <w:rPr>
          <w:rFonts w:hint="eastAsia"/>
        </w:rPr>
        <w:t>页错误</w:t>
      </w:r>
      <w:r>
        <w:t>绕过SGX中止页面语义</w:t>
      </w:r>
      <w:r>
        <w:rPr>
          <w:rFonts w:hint="eastAsia"/>
        </w:rPr>
        <w:t>，</w:t>
      </w:r>
      <w:r>
        <w:t>瞬态执行</w:t>
      </w:r>
      <w:r>
        <w:rPr>
          <w:rFonts w:hint="eastAsia"/>
        </w:rPr>
        <w:t>未被授权执行的代码，将</w:t>
      </w:r>
      <w:r>
        <w:t>Enclave</w:t>
      </w:r>
      <w:r>
        <w:rPr>
          <w:rFonts w:hint="eastAsia"/>
        </w:rPr>
        <w:t>敏感</w:t>
      </w:r>
      <w:r>
        <w:t>信息</w:t>
      </w:r>
      <w:r>
        <w:rPr>
          <w:rFonts w:hint="eastAsia"/>
        </w:rPr>
        <w:t>泄露</w:t>
      </w:r>
      <w:r>
        <w:t>到</w:t>
      </w:r>
      <w:r>
        <w:rPr>
          <w:rFonts w:hint="eastAsia"/>
        </w:rPr>
        <w:t>L1</w:t>
      </w:r>
      <w:r>
        <w:t>缓存</w:t>
      </w:r>
      <w:r>
        <w:rPr>
          <w:rFonts w:hint="eastAsia"/>
        </w:rPr>
        <w:t>，</w:t>
      </w:r>
      <w:r>
        <w:t>窃取</w:t>
      </w:r>
      <w:r>
        <w:rPr>
          <w:rFonts w:hint="eastAsia"/>
        </w:rPr>
        <w:t>泄露信息。针对“SGX设计存在安全缺陷”，用到“缓存侧信道”攻击向量，涉及“微架构共享资源”攻击面。</w:t>
      </w:r>
    </w:p>
    <w:p>
      <w:pPr>
        <w:ind w:firstLine="480" w:firstLineChars="200"/>
      </w:pPr>
      <w:r>
        <w:rPr>
          <w:rFonts w:hint="eastAsia"/>
        </w:rPr>
        <w:t>SgxPectre</w:t>
      </w:r>
      <w:r>
        <w:rPr>
          <w:rFonts w:hint="eastAsia"/>
          <w:vertAlign w:val="superscript"/>
        </w:rPr>
        <w:t>[18]</w:t>
      </w:r>
      <w:r>
        <w:rPr>
          <w:rFonts w:hint="eastAsia"/>
        </w:rPr>
        <w:t>是Spectre攻击在SGX下的复现，攻击者恶意训练分支预测器，受害者Enclave在执行过程中分支预测错误，瞬态执行非预期分支，将敏感信息泄露到缓存，攻击者</w:t>
      </w:r>
      <w:r>
        <w:t>窃取</w:t>
      </w:r>
      <w:r>
        <w:rPr>
          <w:rFonts w:hint="eastAsia"/>
        </w:rPr>
        <w:t>泄露信息。针对“SGX设计存在安全缺陷”，用到“分支预测器侧信道”和“缓存侧信道”等攻击向量，涉及“微架构共享资源”攻击面。</w:t>
      </w:r>
    </w:p>
    <w:p>
      <w:pPr>
        <w:ind w:firstLine="480" w:firstLineChars="200"/>
      </w:pPr>
      <w:r>
        <w:t>Branch Shadowing</w:t>
      </w:r>
      <w:r>
        <w:rPr>
          <w:vertAlign w:val="superscript"/>
        </w:rPr>
        <w:t>[</w:t>
      </w:r>
      <w:r>
        <w:rPr>
          <w:rFonts w:hint="eastAsia"/>
          <w:vertAlign w:val="superscript"/>
        </w:rPr>
        <w:t>19</w:t>
      </w:r>
      <w:r>
        <w:rPr>
          <w:vertAlign w:val="superscript"/>
        </w:rPr>
        <w:t>]</w:t>
      </w:r>
      <w:r>
        <w:rPr>
          <w:rFonts w:hint="eastAsia"/>
        </w:rPr>
        <w:t>中，由于</w:t>
      </w:r>
      <w:r>
        <w:t>Enclave内外共享</w:t>
      </w:r>
      <w:r>
        <w:rPr>
          <w:rFonts w:hint="eastAsia"/>
        </w:rPr>
        <w:t>分支预测器及</w:t>
      </w:r>
      <w:r>
        <w:t>Enclave</w:t>
      </w:r>
      <w:r>
        <w:rPr>
          <w:rFonts w:hint="eastAsia"/>
        </w:rPr>
        <w:t>在</w:t>
      </w:r>
      <w:r>
        <w:t>退出时不刷新</w:t>
      </w:r>
      <w:r>
        <w:rPr>
          <w:rFonts w:hint="eastAsia"/>
        </w:rPr>
        <w:t>分支预测器</w:t>
      </w:r>
      <w:r>
        <w:t>，</w:t>
      </w:r>
      <w:r>
        <w:rPr>
          <w:rFonts w:hint="eastAsia"/>
        </w:rPr>
        <w:t>攻击者构建</w:t>
      </w:r>
      <w:r>
        <w:t>地址碰撞的影子分支</w:t>
      </w:r>
      <w:r>
        <w:rPr>
          <w:rFonts w:hint="eastAsia"/>
        </w:rPr>
        <w:t>（Shadow Branch），感知</w:t>
      </w:r>
      <w:r>
        <w:t>受害</w:t>
      </w:r>
      <w:r>
        <w:rPr>
          <w:rFonts w:hint="eastAsia"/>
        </w:rPr>
        <w:t>Enclave分支选择情况。针对“SGX设计存在安全缺陷”，用到“影子分支攻击”攻击向量，涉及“微架构共享资源”攻击面。</w:t>
      </w:r>
    </w:p>
    <w:p>
      <w:pPr>
        <w:ind w:firstLine="480" w:firstLineChars="200"/>
      </w:pPr>
      <w:r>
        <w:t>Controlled-channel attacks</w:t>
      </w:r>
      <w:r>
        <w:rPr>
          <w:vertAlign w:val="superscript"/>
        </w:rPr>
        <w:t>[</w:t>
      </w:r>
      <w:r>
        <w:rPr>
          <w:rFonts w:hint="eastAsia"/>
          <w:vertAlign w:val="superscript"/>
        </w:rPr>
        <w:t>20</w:t>
      </w:r>
      <w:r>
        <w:rPr>
          <w:vertAlign w:val="superscript"/>
        </w:rPr>
        <w:t>]</w:t>
      </w:r>
      <w:r>
        <w:rPr>
          <w:rFonts w:hint="eastAsia"/>
        </w:rPr>
        <w:t>中，</w:t>
      </w:r>
      <w:r>
        <w:t>攻击者</w:t>
      </w:r>
      <w:r>
        <w:rPr>
          <w:rFonts w:hint="eastAsia"/>
        </w:rPr>
        <w:t>清除受害Enclave的“页存在（Present）位”，使受害Enclave执行过程中触发页错误，</w:t>
      </w:r>
      <w:r>
        <w:t>泄露</w:t>
      </w:r>
      <w:r>
        <w:rPr>
          <w:rFonts w:hint="eastAsia"/>
        </w:rPr>
        <w:t>错误页</w:t>
      </w:r>
      <w:r>
        <w:t>地址</w:t>
      </w:r>
      <w:r>
        <w:rPr>
          <w:rFonts w:hint="eastAsia"/>
        </w:rPr>
        <w:t>，攻击者观察错误页地址推测</w:t>
      </w:r>
      <w:r>
        <w:t>Enclave内</w:t>
      </w:r>
      <w:r>
        <w:rPr>
          <w:rFonts w:hint="eastAsia"/>
        </w:rPr>
        <w:t>页粒度执行</w:t>
      </w:r>
      <w:r>
        <w:t>流</w:t>
      </w:r>
      <w:r>
        <w:rPr>
          <w:rFonts w:hint="eastAsia"/>
        </w:rPr>
        <w:t>。针对“SGX设计存在安全缺陷”，用到“页表攻击”攻击向量，涉及“部分功能依赖不可信内核”攻击面。</w:t>
      </w:r>
    </w:p>
    <w:p>
      <w:pPr>
        <w:ind w:firstLine="480" w:firstLineChars="200"/>
      </w:pPr>
      <w:r>
        <w:t>SGX-PTE</w:t>
      </w:r>
      <w:r>
        <w:rPr>
          <w:vertAlign w:val="superscript"/>
        </w:rPr>
        <w:t>[</w:t>
      </w:r>
      <w:r>
        <w:rPr>
          <w:rFonts w:hint="eastAsia"/>
          <w:vertAlign w:val="superscript"/>
        </w:rPr>
        <w:t>21</w:t>
      </w:r>
      <w:r>
        <w:rPr>
          <w:vertAlign w:val="superscript"/>
        </w:rPr>
        <w:t>]</w:t>
      </w:r>
      <w:r>
        <w:rPr>
          <w:rFonts w:hint="eastAsia"/>
        </w:rPr>
        <w:t>中，</w:t>
      </w:r>
      <w:r>
        <w:t>攻击者利用A</w:t>
      </w:r>
      <w:r>
        <w:rPr>
          <w:rFonts w:hint="eastAsia"/>
        </w:rPr>
        <w:t>/</w:t>
      </w:r>
      <w:r>
        <w:t>D通道</w:t>
      </w:r>
      <w:r>
        <w:rPr>
          <w:rFonts w:hint="eastAsia"/>
        </w:rPr>
        <w:t>【利用页访问/脏（Access/Dirty）位构建侧信道】及针对PTE的</w:t>
      </w:r>
      <w:r>
        <w:t>缓存侧信道</w:t>
      </w:r>
      <w:r>
        <w:rPr>
          <w:rFonts w:hint="eastAsia"/>
        </w:rPr>
        <w:t>，观察页地址访问情况，推测Enclave内页粒度控制流。针对“SGX设计存在安全缺陷”，用到“页表攻击”和“缓存侧信道”攻击向量，涉及“部分功能依赖不可信内核”和“微架构共享资源”攻击面。</w:t>
      </w:r>
    </w:p>
    <w:p>
      <w:pPr>
        <w:ind w:firstLine="480" w:firstLineChars="200"/>
      </w:pPr>
      <w:r>
        <w:rPr>
          <w:rFonts w:hint="eastAsia"/>
        </w:rPr>
        <w:t>AsyncShock</w:t>
      </w:r>
      <w:r>
        <w:rPr>
          <w:rFonts w:hint="eastAsia"/>
          <w:vertAlign w:val="superscript"/>
        </w:rPr>
        <w:t>[22]</w:t>
      </w:r>
      <w:r>
        <w:rPr>
          <w:rFonts w:hint="eastAsia"/>
        </w:rPr>
        <w:t>中，攻击者利用Ring0权限恶意调度受害Enclave多个线程，触发非预期并发控制流，构建UAF（Use after Free）和TOCTOU（Time to Check to Time to Use）攻击。AsyncShock如图2.5所示，线程2释放一个指针后，需要将其置NULL避免</w:t>
      </w:r>
      <w:bookmarkStart w:id="586" w:name="OLE_LINK51"/>
      <w:r>
        <w:rPr>
          <w:rFonts w:hint="eastAsia"/>
        </w:rPr>
        <w:t>悬空指针</w:t>
      </w:r>
      <w:bookmarkEnd w:id="586"/>
      <w:r>
        <w:rPr>
          <w:rFonts w:hint="eastAsia"/>
        </w:rPr>
        <w:t>（Dangling Pointer）存在，但攻击者可通过“Enclave线程暂停原语”（采用页错误、APIC时钟中断和Linux Signal等方法）将线程2暂停在释放指针后及置NULL前，调度线程1执行ECALL使用悬空指针，构建UAF攻击。主要针对“SGX设计存在安全缺陷”，用到了“恶意线程调度”攻击向量，涉及“部分功能依赖不可信内核”攻击面。</w:t>
      </w:r>
    </w:p>
    <w:p>
      <w:pPr>
        <w:jc w:val="center"/>
      </w:pPr>
      <w:r>
        <w:rPr>
          <w:rFonts w:hint="eastAsia"/>
        </w:rPr>
        <w:drawing>
          <wp:inline distT="0" distB="0" distL="114300" distR="114300">
            <wp:extent cx="2730500" cy="3634740"/>
            <wp:effectExtent l="0" t="0" r="0" b="10160"/>
            <wp:docPr id="9" name="图片 9" descr="1617271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17271794(1)"/>
                    <pic:cNvPicPr>
                      <a:picLocks noChangeAspect="1"/>
                    </pic:cNvPicPr>
                  </pic:nvPicPr>
                  <pic:blipFill>
                    <a:blip r:embed="rId43"/>
                    <a:stretch>
                      <a:fillRect/>
                    </a:stretch>
                  </pic:blipFill>
                  <pic:spPr>
                    <a:xfrm>
                      <a:off x="0" y="0"/>
                      <a:ext cx="2730500" cy="3634740"/>
                    </a:xfrm>
                    <a:prstGeom prst="rect">
                      <a:avLst/>
                    </a:prstGeom>
                  </pic:spPr>
                </pic:pic>
              </a:graphicData>
            </a:graphic>
          </wp:inline>
        </w:drawing>
      </w:r>
    </w:p>
    <w:p>
      <w:pPr>
        <w:pStyle w:val="6"/>
      </w:pPr>
      <w:r>
        <w:rPr>
          <w:b/>
          <w:bCs/>
        </w:rPr>
        <w:t>图</w:t>
      </w:r>
      <w:r>
        <w:rPr>
          <w:rFonts w:hint="eastAsia"/>
          <w:b/>
          <w:bCs/>
        </w:rPr>
        <w:t>2.</w:t>
      </w:r>
      <w:r>
        <w:rPr>
          <w:b/>
          <w:bCs/>
        </w:rPr>
        <w:fldChar w:fldCharType="begin"/>
      </w:r>
      <w:r>
        <w:rPr>
          <w:b/>
          <w:bCs/>
        </w:rPr>
        <w:instrText xml:space="preserve"> SEQ 图 \* ARABIC \s 1 </w:instrText>
      </w:r>
      <w:r>
        <w:rPr>
          <w:b/>
          <w:bCs/>
        </w:rPr>
        <w:fldChar w:fldCharType="separate"/>
      </w:r>
      <w:r>
        <w:rPr>
          <w:b/>
          <w:bCs/>
        </w:rPr>
        <w:t>5</w:t>
      </w:r>
      <w:r>
        <w:rPr>
          <w:b/>
          <w:bCs/>
        </w:rPr>
        <w:fldChar w:fldCharType="end"/>
      </w:r>
      <w:bookmarkStart w:id="587" w:name="_Toc3747"/>
      <w:bookmarkStart w:id="588" w:name="_Toc11966"/>
      <w:bookmarkStart w:id="589" w:name="_Toc21729"/>
      <w:bookmarkStart w:id="590" w:name="_Toc25911"/>
      <w:bookmarkStart w:id="591" w:name="_Toc29669"/>
      <w:bookmarkStart w:id="592" w:name="_Toc19222"/>
      <w:bookmarkStart w:id="593" w:name="_Toc4169"/>
      <w:bookmarkStart w:id="594" w:name="_Toc7919"/>
      <w:bookmarkStart w:id="595" w:name="_Toc7000"/>
      <w:bookmarkStart w:id="596" w:name="_Toc15625"/>
      <w:bookmarkStart w:id="597" w:name="_Toc11703"/>
      <w:bookmarkStart w:id="598" w:name="_Toc7446"/>
      <w:bookmarkStart w:id="599" w:name="_Toc18222"/>
      <w:bookmarkStart w:id="600" w:name="_Toc2568"/>
      <w:bookmarkStart w:id="601" w:name="_Toc341"/>
      <w:bookmarkStart w:id="602" w:name="_Toc21777"/>
      <w:bookmarkStart w:id="603" w:name="_Toc29949"/>
      <w:bookmarkStart w:id="604" w:name="_Toc13046"/>
      <w:bookmarkStart w:id="605" w:name="_Toc6264"/>
      <w:bookmarkStart w:id="606" w:name="_Toc2533"/>
      <w:bookmarkStart w:id="607" w:name="_Toc14227"/>
      <w:bookmarkStart w:id="608" w:name="_Toc23621"/>
      <w:bookmarkStart w:id="609" w:name="_Toc22055"/>
      <w:bookmarkStart w:id="610" w:name="_Toc3514"/>
      <w:r>
        <w:rPr>
          <w:rFonts w:hint="eastAsia"/>
        </w:rPr>
        <w:t>　AsyncShock攻击示意图</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pPr>
        <w:pStyle w:val="6"/>
        <w:rPr>
          <w:rFonts w:hint="default" w:eastAsia="宋体"/>
          <w:lang w:val="en-US" w:eastAsia="zh-CN"/>
        </w:rPr>
      </w:pPr>
      <w:r>
        <w:rPr>
          <w:rFonts w:hint="eastAsia"/>
          <w:b/>
          <w:bCs/>
        </w:rPr>
        <w:t>Figure2.5</w:t>
      </w:r>
      <w:r>
        <w:rPr>
          <w:rFonts w:hint="eastAsia"/>
        </w:rPr>
        <w:t>　Diagram of AsyncShock</w:t>
      </w:r>
      <w:r>
        <w:rPr>
          <w:rFonts w:hint="eastAsia"/>
          <w:lang w:val="en-US" w:eastAsia="zh-CN"/>
        </w:rPr>
        <w:t xml:space="preserve"> Attack</w:t>
      </w:r>
    </w:p>
    <w:p>
      <w:pPr>
        <w:ind w:firstLine="480" w:firstLineChars="200"/>
      </w:pPr>
      <w:r>
        <w:rPr>
          <w:rFonts w:hint="eastAsia"/>
        </w:rPr>
        <w:t>Game of Threads</w:t>
      </w:r>
      <w:r>
        <w:rPr>
          <w:rFonts w:hint="eastAsia"/>
          <w:vertAlign w:val="superscript"/>
        </w:rPr>
        <w:t>[23]</w:t>
      </w:r>
      <w:r>
        <w:rPr>
          <w:rFonts w:hint="eastAsia"/>
        </w:rPr>
        <w:t>中，攻击者利用“页错误型线程暂停原语”恶意调度受害Enclave多个线程，对ASGD（异步随机梯度下降）场景进行攻击。针对“SGX设计存在安全缺陷”，用到“恶意线程调度”攻击向量，涉及“部分功能依赖不可信内核”攻击面。</w:t>
      </w:r>
    </w:p>
    <w:p>
      <w:pPr>
        <w:ind w:firstLine="480" w:firstLineChars="200"/>
      </w:pPr>
      <w:r>
        <w:t>Nemesis</w:t>
      </w:r>
      <w:r>
        <w:rPr>
          <w:vertAlign w:val="superscript"/>
        </w:rPr>
        <w:t>[</w:t>
      </w:r>
      <w:r>
        <w:rPr>
          <w:rFonts w:hint="eastAsia"/>
          <w:vertAlign w:val="superscript"/>
        </w:rPr>
        <w:t>24</w:t>
      </w:r>
      <w:r>
        <w:rPr>
          <w:vertAlign w:val="superscript"/>
        </w:rPr>
        <w:t>]</w:t>
      </w:r>
      <w:r>
        <w:rPr>
          <w:rFonts w:hint="eastAsia"/>
        </w:rPr>
        <w:t>中，</w:t>
      </w:r>
      <w:r>
        <w:t>攻击者利用</w:t>
      </w:r>
      <w:r>
        <w:rPr>
          <w:rFonts w:hint="eastAsia"/>
        </w:rPr>
        <w:t>APIC时钟中断按一定的时间间隔</w:t>
      </w:r>
      <w:r>
        <w:t>单步中断Enclave</w:t>
      </w:r>
      <w:r>
        <w:rPr>
          <w:rFonts w:hint="eastAsia"/>
        </w:rPr>
        <w:t>汇编</w:t>
      </w:r>
      <w:r>
        <w:t>代码</w:t>
      </w:r>
      <w:r>
        <w:rPr>
          <w:rFonts w:hint="eastAsia"/>
        </w:rPr>
        <w:t>执行，测量每条汇编</w:t>
      </w:r>
      <w:r>
        <w:t>代码执行时长</w:t>
      </w:r>
      <w:r>
        <w:rPr>
          <w:rFonts w:hint="eastAsia"/>
        </w:rPr>
        <w:t>构建</w:t>
      </w:r>
      <w:r>
        <w:t>时延序列</w:t>
      </w:r>
      <w:r>
        <w:rPr>
          <w:rFonts w:hint="eastAsia"/>
        </w:rPr>
        <w:t>，将时延序列与先验的Enclave各分支时延序列对比，推测</w:t>
      </w:r>
      <w:r>
        <w:t>Enclave</w:t>
      </w:r>
      <w:r>
        <w:rPr>
          <w:rFonts w:hint="eastAsia"/>
        </w:rPr>
        <w:t>分支选择情况。针对“</w:t>
      </w:r>
      <w:bookmarkStart w:id="611" w:name="OLE_LINK52"/>
      <w:r>
        <w:rPr>
          <w:rFonts w:hint="eastAsia"/>
        </w:rPr>
        <w:t>SGX设计存在安全缺陷</w:t>
      </w:r>
      <w:bookmarkEnd w:id="611"/>
      <w:r>
        <w:rPr>
          <w:rFonts w:hint="eastAsia"/>
        </w:rPr>
        <w:t>”，用到“时间侧信</w:t>
      </w:r>
      <w:r>
        <w:rPr>
          <w:rFonts w:hint="eastAsia"/>
          <w:u w:val="dotted"/>
        </w:rPr>
        <w:t>道</w:t>
      </w:r>
      <w:r>
        <w:rPr>
          <w:rFonts w:hint="eastAsia"/>
        </w:rPr>
        <w:t>”攻击向量，涉及“可观测的物理信息”攻击面。</w:t>
      </w:r>
    </w:p>
    <w:p>
      <w:pPr>
        <w:ind w:firstLine="480" w:firstLineChars="200"/>
      </w:pPr>
      <w:r>
        <w:t>RIDL</w:t>
      </w:r>
      <w:r>
        <w:rPr>
          <w:vertAlign w:val="superscript"/>
        </w:rPr>
        <w:t>[</w:t>
      </w:r>
      <w:r>
        <w:rPr>
          <w:rFonts w:hint="eastAsia"/>
          <w:vertAlign w:val="superscript"/>
        </w:rPr>
        <w:t>25</w:t>
      </w:r>
      <w:r>
        <w:rPr>
          <w:vertAlign w:val="superscript"/>
        </w:rPr>
        <w:t>]</w:t>
      </w:r>
      <w:r>
        <w:rPr>
          <w:rFonts w:hint="eastAsia"/>
        </w:rPr>
        <w:t>中，</w:t>
      </w:r>
      <w:r>
        <w:t>攻击者</w:t>
      </w:r>
      <w:r>
        <w:rPr>
          <w:rFonts w:hint="eastAsia"/>
        </w:rPr>
        <w:t>利用受害者在</w:t>
      </w:r>
      <w:r>
        <w:t>微架构LFB</w:t>
      </w:r>
      <w:r>
        <w:rPr>
          <w:rFonts w:hint="eastAsia"/>
        </w:rPr>
        <w:t>（Line Fill Buffer）泄露</w:t>
      </w:r>
      <w:r>
        <w:t>的信息</w:t>
      </w:r>
      <w:r>
        <w:rPr>
          <w:rFonts w:hint="eastAsia"/>
        </w:rPr>
        <w:t>实现侧信道攻击</w:t>
      </w:r>
      <w:r>
        <w:t>。</w:t>
      </w:r>
      <w:r>
        <w:rPr>
          <w:rFonts w:hint="eastAsia"/>
        </w:rPr>
        <w:t>针对“SGX设计存在安全缺陷”，用到“LFB侧信道”攻击向量，涉及“微架构共享资源”攻击面。</w:t>
      </w:r>
    </w:p>
    <w:p>
      <w:pPr>
        <w:ind w:firstLine="480" w:firstLineChars="200"/>
      </w:pPr>
      <w:r>
        <w:rPr>
          <w:rFonts w:hint="eastAsia"/>
        </w:rPr>
        <w:t>本文将Enclave“恶意线程调度”攻击向量中恶意暂停线程执行的方法命名为“Enclave线程暂停原语”，包括：</w:t>
      </w:r>
    </w:p>
    <w:p>
      <w:pPr>
        <w:numPr>
          <w:ilvl w:val="0"/>
          <w:numId w:val="12"/>
        </w:numPr>
        <w:ind w:left="845"/>
      </w:pPr>
      <w:r>
        <w:rPr>
          <w:rFonts w:hint="eastAsia"/>
        </w:rPr>
        <w:t>清除目标Enclave页存在位/访问位等触发页错误，暂停Enclave线程执行。</w:t>
      </w:r>
    </w:p>
    <w:p>
      <w:pPr>
        <w:numPr>
          <w:ilvl w:val="0"/>
          <w:numId w:val="12"/>
        </w:numPr>
        <w:ind w:left="845"/>
      </w:pPr>
      <w:r>
        <w:rPr>
          <w:rFonts w:hint="eastAsia"/>
        </w:rPr>
        <w:t>设置APIC时钟中断，暂停Enclave线程执行。</w:t>
      </w:r>
    </w:p>
    <w:p>
      <w:pPr>
        <w:numPr>
          <w:ilvl w:val="0"/>
          <w:numId w:val="12"/>
        </w:numPr>
        <w:ind w:left="845"/>
      </w:pPr>
      <w:r>
        <w:rPr>
          <w:rFonts w:hint="eastAsia"/>
        </w:rPr>
        <w:t>利用Linux Signal（如SIGSEGV、SIGUSR1和SIGUSR2）暂停Enclave线程执行。</w:t>
      </w:r>
    </w:p>
    <w:p>
      <w:pPr>
        <w:ind w:firstLine="480" w:firstLineChars="200"/>
      </w:pPr>
      <w:r>
        <w:rPr>
          <w:rFonts w:hint="eastAsia"/>
        </w:rPr>
        <w:t>本文将代表性SGX攻击归纳成表2.1至2.5。</w:t>
      </w:r>
    </w:p>
    <w:p>
      <w:pPr>
        <w:pStyle w:val="6"/>
        <w:spacing w:after="120"/>
      </w:pPr>
      <w:r>
        <w:rPr>
          <w:b/>
          <w:bCs/>
        </w:rPr>
        <w:t>表</w:t>
      </w:r>
      <w:r>
        <w:rPr>
          <w:rFonts w:hint="eastAsia"/>
          <w:b/>
          <w:bCs/>
        </w:rPr>
        <w:t>2.</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Start w:id="612" w:name="_Toc3276"/>
      <w:bookmarkStart w:id="613" w:name="_Toc29255"/>
      <w:bookmarkStart w:id="614" w:name="_Toc30040"/>
      <w:bookmarkStart w:id="615" w:name="_Toc32403"/>
      <w:bookmarkStart w:id="616" w:name="_Toc22452"/>
      <w:bookmarkStart w:id="617" w:name="_Toc28388"/>
      <w:bookmarkStart w:id="618" w:name="_Toc24896"/>
      <w:bookmarkStart w:id="619" w:name="_Toc32739"/>
      <w:bookmarkStart w:id="620" w:name="_Toc19660"/>
      <w:r>
        <w:rPr>
          <w:rFonts w:hint="eastAsia"/>
          <w:b/>
          <w:bCs/>
        </w:rPr>
        <w:t>　</w:t>
      </w:r>
      <w:r>
        <w:rPr>
          <w:rFonts w:hint="eastAsia"/>
        </w:rPr>
        <w:t>“Enclave接口”攻击表</w:t>
      </w:r>
      <w:bookmarkEnd w:id="612"/>
      <w:bookmarkEnd w:id="613"/>
      <w:bookmarkEnd w:id="614"/>
      <w:bookmarkEnd w:id="615"/>
      <w:bookmarkEnd w:id="616"/>
      <w:bookmarkEnd w:id="617"/>
      <w:bookmarkEnd w:id="618"/>
      <w:bookmarkEnd w:id="619"/>
      <w:bookmarkEnd w:id="620"/>
    </w:p>
    <w:p>
      <w:pPr>
        <w:pStyle w:val="6"/>
        <w:spacing w:after="120"/>
      </w:pPr>
      <w:r>
        <w:rPr>
          <w:rFonts w:hint="eastAsia"/>
          <w:b/>
          <w:bCs/>
        </w:rPr>
        <w:t>Table2.1</w:t>
      </w:r>
      <w:r>
        <w:rPr>
          <w:rFonts w:hint="eastAsia"/>
        </w:rPr>
        <w:t>　</w:t>
      </w:r>
      <w:bookmarkStart w:id="621" w:name="OLE_LINK58"/>
      <w:r>
        <w:rPr>
          <w:rFonts w:hint="eastAsia"/>
        </w:rPr>
        <w:t>Table of attacks on "Enclave interface</w:t>
      </w:r>
      <w:bookmarkEnd w:id="621"/>
      <w:r>
        <w:rPr>
          <w:rFonts w:hint="eastAsia"/>
        </w:rPr>
        <w:t>"</w:t>
      </w:r>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4"/>
        <w:gridCol w:w="4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1" w:type="pct"/>
            <w:tcBorders>
              <w:top w:val="single" w:color="auto" w:sz="4" w:space="0"/>
              <w:left w:val="single" w:color="auto" w:sz="4" w:space="0"/>
              <w:bottom w:val="single" w:color="auto" w:sz="4" w:space="0"/>
              <w:right w:val="single" w:color="auto" w:sz="4" w:space="0"/>
            </w:tcBorders>
          </w:tcPr>
          <w:p>
            <w:pPr>
              <w:rPr>
                <w:sz w:val="21"/>
                <w:szCs w:val="21"/>
              </w:rPr>
            </w:pPr>
            <w:r>
              <w:rPr>
                <w:sz w:val="21"/>
                <w:szCs w:val="21"/>
              </w:rPr>
              <w:t>攻击向量</w:t>
            </w:r>
            <w:r>
              <w:rPr>
                <w:rFonts w:hint="eastAsia"/>
                <w:sz w:val="21"/>
                <w:szCs w:val="21"/>
              </w:rPr>
              <w:t>（安全问题</w:t>
            </w:r>
            <w:bookmarkStart w:id="622" w:name="OLE_LINK57"/>
            <w:r>
              <w:rPr>
                <w:rFonts w:hint="eastAsia"/>
                <w:sz w:val="21"/>
                <w:szCs w:val="21"/>
              </w:rPr>
              <w:t>）</w:t>
            </w:r>
            <w:bookmarkEnd w:id="622"/>
          </w:p>
        </w:tc>
        <w:tc>
          <w:tcPr>
            <w:tcW w:w="2668" w:type="pct"/>
            <w:tcBorders>
              <w:top w:val="single" w:color="auto" w:sz="4" w:space="0"/>
              <w:left w:val="single" w:color="auto" w:sz="4" w:space="0"/>
              <w:bottom w:val="single" w:color="auto" w:sz="4" w:space="0"/>
              <w:right w:val="single" w:color="auto" w:sz="4" w:space="0"/>
            </w:tcBorders>
          </w:tcPr>
          <w:p>
            <w:pPr>
              <w:rPr>
                <w:sz w:val="21"/>
                <w:szCs w:val="21"/>
              </w:rPr>
            </w:pPr>
            <w:r>
              <w:rPr>
                <w:rFonts w:hint="eastAsia"/>
                <w:sz w:val="21"/>
                <w:szCs w:val="21"/>
              </w:rPr>
              <w:t>“</w:t>
            </w:r>
            <w:r>
              <w:rPr>
                <w:sz w:val="21"/>
                <w:szCs w:val="21"/>
              </w:rPr>
              <w:t>Enclave接口</w:t>
            </w:r>
            <w:r>
              <w:rPr>
                <w:rFonts w:hint="eastAsia"/>
                <w:sz w:val="21"/>
                <w:szCs w:val="21"/>
              </w:rPr>
              <w:t>”攻击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1" w:type="pct"/>
            <w:tcBorders>
              <w:top w:val="single" w:color="auto" w:sz="4" w:space="0"/>
              <w:left w:val="single" w:color="auto" w:sz="4" w:space="0"/>
              <w:bottom w:val="single" w:color="auto" w:sz="4" w:space="0"/>
              <w:right w:val="single" w:color="auto" w:sz="4" w:space="0"/>
            </w:tcBorders>
          </w:tcPr>
          <w:p>
            <w:pPr>
              <w:rPr>
                <w:sz w:val="21"/>
                <w:szCs w:val="21"/>
              </w:rPr>
            </w:pPr>
            <w:r>
              <w:rPr>
                <w:rFonts w:hint="eastAsia"/>
                <w:sz w:val="21"/>
                <w:szCs w:val="21"/>
              </w:rPr>
              <w:t>并发调用（Enclave开发中的安全问题）</w:t>
            </w:r>
          </w:p>
        </w:tc>
        <w:tc>
          <w:tcPr>
            <w:tcW w:w="2668" w:type="pct"/>
            <w:tcBorders>
              <w:top w:val="single" w:color="auto" w:sz="4" w:space="0"/>
              <w:left w:val="single" w:color="auto" w:sz="4" w:space="0"/>
              <w:bottom w:val="single" w:color="auto" w:sz="4" w:space="0"/>
              <w:right w:val="single" w:color="auto" w:sz="4" w:space="0"/>
            </w:tcBorders>
          </w:tcPr>
          <w:p>
            <w:pPr>
              <w:rPr>
                <w:sz w:val="21"/>
                <w:szCs w:val="21"/>
              </w:rPr>
            </w:pPr>
            <w:r>
              <w:rPr>
                <w:sz w:val="21"/>
                <w:szCs w:val="21"/>
              </w:rPr>
              <w:t>COIN Attacks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1" w:type="pct"/>
            <w:tcBorders>
              <w:top w:val="single" w:color="auto" w:sz="4" w:space="0"/>
              <w:left w:val="single" w:color="auto" w:sz="4" w:space="0"/>
              <w:bottom w:val="single" w:color="auto" w:sz="4" w:space="0"/>
              <w:right w:val="single" w:color="auto" w:sz="4" w:space="0"/>
            </w:tcBorders>
          </w:tcPr>
          <w:p>
            <w:pPr>
              <w:rPr>
                <w:sz w:val="21"/>
                <w:szCs w:val="21"/>
              </w:rPr>
            </w:pPr>
            <w:r>
              <w:rPr>
                <w:rFonts w:hint="eastAsia"/>
                <w:sz w:val="21"/>
                <w:szCs w:val="21"/>
              </w:rPr>
              <w:t>调用排序（Enclave开发中的安全问题）</w:t>
            </w:r>
          </w:p>
        </w:tc>
        <w:tc>
          <w:tcPr>
            <w:tcW w:w="2668" w:type="pct"/>
            <w:tcBorders>
              <w:top w:val="single" w:color="auto" w:sz="4" w:space="0"/>
              <w:left w:val="single" w:color="auto" w:sz="4" w:space="0"/>
              <w:bottom w:val="single" w:color="auto" w:sz="4" w:space="0"/>
              <w:right w:val="single" w:color="auto" w:sz="4" w:space="0"/>
            </w:tcBorders>
          </w:tcPr>
          <w:p>
            <w:pPr>
              <w:rPr>
                <w:sz w:val="21"/>
                <w:szCs w:val="21"/>
              </w:rPr>
            </w:pPr>
            <w:r>
              <w:rPr>
                <w:sz w:val="21"/>
                <w:szCs w:val="21"/>
              </w:rPr>
              <w:t>COIN Attacks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1" w:type="pct"/>
            <w:tcBorders>
              <w:top w:val="single" w:color="auto" w:sz="4" w:space="0"/>
              <w:left w:val="single" w:color="auto" w:sz="4" w:space="0"/>
              <w:bottom w:val="single" w:color="auto" w:sz="4" w:space="0"/>
              <w:right w:val="single" w:color="auto" w:sz="4" w:space="0"/>
            </w:tcBorders>
          </w:tcPr>
          <w:p>
            <w:pPr>
              <w:rPr>
                <w:sz w:val="21"/>
                <w:szCs w:val="21"/>
              </w:rPr>
            </w:pPr>
            <w:r>
              <w:rPr>
                <w:rFonts w:hint="eastAsia"/>
                <w:sz w:val="21"/>
                <w:szCs w:val="21"/>
              </w:rPr>
              <w:t>恶意篡改输入（Enclave开发中的安全问题）</w:t>
            </w:r>
          </w:p>
        </w:tc>
        <w:tc>
          <w:tcPr>
            <w:tcW w:w="2668" w:type="pct"/>
            <w:tcBorders>
              <w:top w:val="single" w:color="auto" w:sz="4" w:space="0"/>
              <w:left w:val="single" w:color="auto" w:sz="4" w:space="0"/>
              <w:bottom w:val="single" w:color="auto" w:sz="4" w:space="0"/>
              <w:right w:val="single" w:color="auto" w:sz="4" w:space="0"/>
            </w:tcBorders>
          </w:tcPr>
          <w:p>
            <w:pPr>
              <w:rPr>
                <w:sz w:val="21"/>
                <w:szCs w:val="21"/>
              </w:rPr>
            </w:pPr>
            <w:r>
              <w:rPr>
                <w:sz w:val="21"/>
                <w:szCs w:val="21"/>
              </w:rPr>
              <w:t>Iago attacks、A Tale of Two Worlds、COIN Attacks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1" w:type="pct"/>
            <w:tcBorders>
              <w:top w:val="single" w:color="auto" w:sz="4" w:space="0"/>
              <w:left w:val="single" w:color="auto" w:sz="4" w:space="0"/>
              <w:bottom w:val="single" w:color="auto" w:sz="4" w:space="0"/>
              <w:right w:val="single" w:color="auto" w:sz="4" w:space="0"/>
            </w:tcBorders>
          </w:tcPr>
          <w:p>
            <w:pPr>
              <w:rPr>
                <w:sz w:val="21"/>
                <w:szCs w:val="21"/>
              </w:rPr>
            </w:pPr>
            <w:r>
              <w:rPr>
                <w:rFonts w:hint="eastAsia"/>
                <w:sz w:val="21"/>
                <w:szCs w:val="21"/>
              </w:rPr>
              <w:t>嵌套调用（Enclave开发中的安全问题）</w:t>
            </w:r>
          </w:p>
        </w:tc>
        <w:tc>
          <w:tcPr>
            <w:tcW w:w="2668" w:type="pct"/>
            <w:tcBorders>
              <w:top w:val="single" w:color="auto" w:sz="4" w:space="0"/>
              <w:left w:val="single" w:color="auto" w:sz="4" w:space="0"/>
              <w:bottom w:val="single" w:color="auto" w:sz="4" w:space="0"/>
              <w:right w:val="single" w:color="auto" w:sz="4" w:space="0"/>
            </w:tcBorders>
          </w:tcPr>
          <w:p>
            <w:pPr>
              <w:rPr>
                <w:sz w:val="21"/>
                <w:szCs w:val="21"/>
              </w:rPr>
            </w:pPr>
            <w:r>
              <w:rPr>
                <w:sz w:val="21"/>
                <w:szCs w:val="21"/>
              </w:rPr>
              <w:t>COIN Attacks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1" w:type="pct"/>
            <w:tcBorders>
              <w:top w:val="single" w:color="auto" w:sz="4" w:space="0"/>
              <w:left w:val="single" w:color="auto" w:sz="4" w:space="0"/>
              <w:bottom w:val="single" w:color="auto" w:sz="4" w:space="0"/>
              <w:right w:val="single" w:color="auto" w:sz="4" w:space="0"/>
            </w:tcBorders>
          </w:tcPr>
          <w:p>
            <w:pPr>
              <w:rPr>
                <w:sz w:val="21"/>
                <w:szCs w:val="21"/>
              </w:rPr>
            </w:pPr>
            <w:r>
              <w:rPr>
                <w:rFonts w:hint="eastAsia"/>
                <w:sz w:val="21"/>
                <w:szCs w:val="21"/>
              </w:rPr>
              <w:t>EDL中未初始化填充数据（Enclave开发中的安全问题）</w:t>
            </w:r>
          </w:p>
        </w:tc>
        <w:tc>
          <w:tcPr>
            <w:tcW w:w="2668" w:type="pct"/>
            <w:tcBorders>
              <w:top w:val="single" w:color="auto" w:sz="4" w:space="0"/>
              <w:left w:val="single" w:color="auto" w:sz="4" w:space="0"/>
              <w:bottom w:val="single" w:color="auto" w:sz="4" w:space="0"/>
              <w:right w:val="single" w:color="auto" w:sz="4" w:space="0"/>
            </w:tcBorders>
          </w:tcPr>
          <w:p>
            <w:pPr>
              <w:rPr>
                <w:sz w:val="21"/>
                <w:szCs w:val="21"/>
              </w:rPr>
            </w:pPr>
            <w:r>
              <w:rPr>
                <w:sz w:val="21"/>
                <w:szCs w:val="21"/>
              </w:rPr>
              <w:t>Leaking Uninitialized Secure Enclave Memory via Structure Padding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1" w:type="pct"/>
            <w:tcBorders>
              <w:top w:val="single" w:color="auto" w:sz="4" w:space="0"/>
              <w:left w:val="single" w:color="auto" w:sz="4" w:space="0"/>
              <w:bottom w:val="single" w:color="auto" w:sz="4" w:space="0"/>
              <w:right w:val="single" w:color="auto" w:sz="4" w:space="0"/>
            </w:tcBorders>
          </w:tcPr>
          <w:p>
            <w:pPr>
              <w:rPr>
                <w:sz w:val="21"/>
                <w:szCs w:val="21"/>
              </w:rPr>
            </w:pPr>
            <w:r>
              <w:rPr>
                <w:rFonts w:hint="eastAsia"/>
                <w:sz w:val="21"/>
                <w:szCs w:val="21"/>
              </w:rPr>
              <w:t>接口侧信道（</w:t>
            </w:r>
            <w:bookmarkStart w:id="623" w:name="OLE_LINK55"/>
            <w:r>
              <w:rPr>
                <w:rFonts w:hint="eastAsia"/>
                <w:sz w:val="21"/>
                <w:szCs w:val="21"/>
              </w:rPr>
              <w:t>SGX设计存在安全缺陷</w:t>
            </w:r>
            <w:bookmarkEnd w:id="623"/>
            <w:r>
              <w:rPr>
                <w:rFonts w:hint="eastAsia"/>
                <w:sz w:val="21"/>
                <w:szCs w:val="21"/>
              </w:rPr>
              <w:t>）</w:t>
            </w:r>
          </w:p>
        </w:tc>
        <w:tc>
          <w:tcPr>
            <w:tcW w:w="2668" w:type="pct"/>
            <w:tcBorders>
              <w:top w:val="single" w:color="auto" w:sz="4" w:space="0"/>
              <w:left w:val="single" w:color="auto" w:sz="4" w:space="0"/>
              <w:bottom w:val="single" w:color="auto" w:sz="4" w:space="0"/>
              <w:right w:val="single" w:color="auto" w:sz="4" w:space="0"/>
            </w:tcBorders>
          </w:tcPr>
          <w:p>
            <w:pPr>
              <w:rPr>
                <w:sz w:val="21"/>
                <w:szCs w:val="21"/>
              </w:rPr>
            </w:pPr>
            <w:r>
              <w:rPr>
                <w:sz w:val="21"/>
                <w:szCs w:val="21"/>
              </w:rPr>
              <w:t>Interface-based side channel attack against intel SGX</w:t>
            </w:r>
          </w:p>
        </w:tc>
      </w:tr>
    </w:tbl>
    <w:p>
      <w:pPr>
        <w:pStyle w:val="6"/>
        <w:spacing w:after="120"/>
      </w:pPr>
      <w:r>
        <w:rPr>
          <w:b/>
          <w:bCs/>
        </w:rPr>
        <w:t>表</w:t>
      </w:r>
      <w:r>
        <w:rPr>
          <w:rFonts w:hint="eastAsia"/>
          <w:b/>
          <w:bCs/>
        </w:rPr>
        <w:t>2.</w:t>
      </w:r>
      <w:r>
        <w:rPr>
          <w:b/>
          <w:bCs/>
        </w:rPr>
        <w:fldChar w:fldCharType="begin"/>
      </w:r>
      <w:r>
        <w:rPr>
          <w:b/>
          <w:bCs/>
        </w:rPr>
        <w:instrText xml:space="preserve"> SEQ 表 \* ARABIC \s 1 </w:instrText>
      </w:r>
      <w:r>
        <w:rPr>
          <w:b/>
          <w:bCs/>
        </w:rPr>
        <w:fldChar w:fldCharType="separate"/>
      </w:r>
      <w:r>
        <w:rPr>
          <w:b/>
          <w:bCs/>
        </w:rPr>
        <w:t>2</w:t>
      </w:r>
      <w:r>
        <w:rPr>
          <w:b/>
          <w:bCs/>
        </w:rPr>
        <w:fldChar w:fldCharType="end"/>
      </w:r>
      <w:bookmarkStart w:id="624" w:name="_Toc8650"/>
      <w:bookmarkStart w:id="625" w:name="_Toc11803"/>
      <w:bookmarkStart w:id="626" w:name="_Toc23795"/>
      <w:bookmarkStart w:id="627" w:name="_Toc16841"/>
      <w:bookmarkStart w:id="628" w:name="_Toc19690"/>
      <w:bookmarkStart w:id="629" w:name="_Toc26720"/>
      <w:bookmarkStart w:id="630" w:name="_Toc2528"/>
      <w:bookmarkStart w:id="631" w:name="_Toc13196"/>
      <w:bookmarkStart w:id="632" w:name="_Toc22557"/>
      <w:r>
        <w:rPr>
          <w:rFonts w:hint="eastAsia"/>
        </w:rPr>
        <w:t>　“</w:t>
      </w:r>
      <w:r>
        <w:t>微架构共享资源</w:t>
      </w:r>
      <w:r>
        <w:rPr>
          <w:rFonts w:hint="eastAsia"/>
        </w:rPr>
        <w:t>”攻击表</w:t>
      </w:r>
      <w:bookmarkEnd w:id="624"/>
      <w:bookmarkEnd w:id="625"/>
      <w:bookmarkEnd w:id="626"/>
      <w:bookmarkEnd w:id="627"/>
      <w:bookmarkEnd w:id="628"/>
      <w:bookmarkEnd w:id="629"/>
      <w:bookmarkEnd w:id="630"/>
      <w:bookmarkEnd w:id="631"/>
      <w:bookmarkEnd w:id="632"/>
    </w:p>
    <w:p>
      <w:pPr>
        <w:pStyle w:val="6"/>
        <w:spacing w:after="120"/>
      </w:pPr>
      <w:r>
        <w:rPr>
          <w:b/>
          <w:bCs/>
        </w:rPr>
        <w:t>Table2.2</w:t>
      </w:r>
      <w:r>
        <w:rPr>
          <w:rFonts w:hint="eastAsia"/>
        </w:rPr>
        <w:t>　Table of attacks on "shared resources of micro-architecture"</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62"/>
        <w:gridCol w:w="3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sz w:val="21"/>
                <w:szCs w:val="21"/>
              </w:rPr>
            </w:pPr>
            <w:r>
              <w:rPr>
                <w:sz w:val="21"/>
                <w:szCs w:val="21"/>
              </w:rPr>
              <w:t>攻击向量</w:t>
            </w:r>
            <w:r>
              <w:rPr>
                <w:rFonts w:hint="eastAsia"/>
                <w:sz w:val="21"/>
                <w:szCs w:val="21"/>
              </w:rPr>
              <w:t>（安全问题）</w:t>
            </w:r>
          </w:p>
        </w:tc>
        <w:tc>
          <w:tcPr>
            <w:tcW w:w="0" w:type="auto"/>
          </w:tcPr>
          <w:p>
            <w:pPr>
              <w:rPr>
                <w:sz w:val="21"/>
                <w:szCs w:val="21"/>
              </w:rPr>
            </w:pPr>
            <w:r>
              <w:rPr>
                <w:rFonts w:hint="eastAsia"/>
                <w:sz w:val="21"/>
                <w:szCs w:val="21"/>
              </w:rPr>
              <w:t>“</w:t>
            </w:r>
            <w:r>
              <w:rPr>
                <w:sz w:val="21"/>
                <w:szCs w:val="21"/>
              </w:rPr>
              <w:t>微架构共享资源</w:t>
            </w:r>
            <w:r>
              <w:rPr>
                <w:rFonts w:hint="eastAsia"/>
                <w:sz w:val="21"/>
                <w:szCs w:val="21"/>
              </w:rPr>
              <w:t>”</w:t>
            </w:r>
            <w:r>
              <w:rPr>
                <w:sz w:val="21"/>
                <w:szCs w:val="21"/>
              </w:rPr>
              <w:t>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sz w:val="21"/>
                <w:szCs w:val="21"/>
              </w:rPr>
            </w:pPr>
            <w:r>
              <w:rPr>
                <w:rFonts w:hint="eastAsia"/>
                <w:sz w:val="21"/>
                <w:szCs w:val="21"/>
              </w:rPr>
              <w:t>缓存侧信道（SGX设计存在安全缺陷）</w:t>
            </w:r>
          </w:p>
        </w:tc>
        <w:tc>
          <w:tcPr>
            <w:tcW w:w="0" w:type="auto"/>
          </w:tcPr>
          <w:p>
            <w:pPr>
              <w:rPr>
                <w:sz w:val="21"/>
                <w:szCs w:val="21"/>
              </w:rPr>
            </w:pPr>
            <w:r>
              <w:rPr>
                <w:sz w:val="21"/>
                <w:szCs w:val="21"/>
              </w:rPr>
              <w:t>Foreshadow、SgxPectre、SGX-PTE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sz w:val="21"/>
                <w:szCs w:val="21"/>
              </w:rPr>
            </w:pPr>
            <w:r>
              <w:rPr>
                <w:rFonts w:hint="eastAsia"/>
                <w:sz w:val="21"/>
                <w:szCs w:val="21"/>
              </w:rPr>
              <w:t>分支预测器侧信道和影子分支攻击（SGX设计存在安全缺陷）</w:t>
            </w:r>
          </w:p>
        </w:tc>
        <w:tc>
          <w:tcPr>
            <w:tcW w:w="0" w:type="auto"/>
          </w:tcPr>
          <w:p>
            <w:pPr>
              <w:rPr>
                <w:sz w:val="21"/>
                <w:szCs w:val="21"/>
              </w:rPr>
            </w:pPr>
            <w:r>
              <w:rPr>
                <w:sz w:val="21"/>
                <w:szCs w:val="21"/>
              </w:rPr>
              <w:t>SgxPectre、Branch Shadowing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sz w:val="21"/>
                <w:szCs w:val="21"/>
              </w:rPr>
            </w:pPr>
            <w:r>
              <w:rPr>
                <w:rFonts w:hint="eastAsia"/>
                <w:sz w:val="21"/>
                <w:szCs w:val="21"/>
              </w:rPr>
              <w:t>LFB侧信道（SGX设计存在安全缺陷）</w:t>
            </w:r>
          </w:p>
        </w:tc>
        <w:tc>
          <w:tcPr>
            <w:tcW w:w="0" w:type="auto"/>
          </w:tcPr>
          <w:p>
            <w:pPr>
              <w:rPr>
                <w:sz w:val="21"/>
                <w:szCs w:val="21"/>
              </w:rPr>
            </w:pPr>
            <w:r>
              <w:rPr>
                <w:sz w:val="21"/>
                <w:szCs w:val="21"/>
              </w:rPr>
              <w:t>RIDL</w:t>
            </w:r>
          </w:p>
        </w:tc>
      </w:tr>
    </w:tbl>
    <w:p/>
    <w:p>
      <w:pPr>
        <w:pStyle w:val="6"/>
        <w:spacing w:after="120"/>
      </w:pPr>
      <w:r>
        <w:rPr>
          <w:b/>
          <w:bCs/>
        </w:rPr>
        <w:t>表</w:t>
      </w:r>
      <w:r>
        <w:rPr>
          <w:rFonts w:hint="eastAsia"/>
          <w:b/>
          <w:bCs/>
        </w:rPr>
        <w:t>2.</w:t>
      </w:r>
      <w:r>
        <w:rPr>
          <w:b/>
          <w:bCs/>
        </w:rPr>
        <w:fldChar w:fldCharType="begin"/>
      </w:r>
      <w:r>
        <w:rPr>
          <w:b/>
          <w:bCs/>
        </w:rPr>
        <w:instrText xml:space="preserve"> SEQ 表 \* ARABIC \s 1 </w:instrText>
      </w:r>
      <w:r>
        <w:rPr>
          <w:b/>
          <w:bCs/>
        </w:rPr>
        <w:fldChar w:fldCharType="separate"/>
      </w:r>
      <w:r>
        <w:rPr>
          <w:b/>
          <w:bCs/>
        </w:rPr>
        <w:t>3</w:t>
      </w:r>
      <w:r>
        <w:rPr>
          <w:b/>
          <w:bCs/>
        </w:rPr>
        <w:fldChar w:fldCharType="end"/>
      </w:r>
      <w:bookmarkStart w:id="633" w:name="_Toc8433"/>
      <w:bookmarkStart w:id="634" w:name="_Toc27694"/>
      <w:bookmarkStart w:id="635" w:name="_Toc9500"/>
      <w:bookmarkStart w:id="636" w:name="_Toc12388"/>
      <w:bookmarkStart w:id="637" w:name="_Toc16181"/>
      <w:bookmarkStart w:id="638" w:name="_Toc10205"/>
      <w:bookmarkStart w:id="639" w:name="_Toc19692"/>
      <w:bookmarkStart w:id="640" w:name="_Toc209"/>
      <w:bookmarkStart w:id="641" w:name="_Toc24607"/>
      <w:r>
        <w:rPr>
          <w:rFonts w:hint="eastAsia"/>
        </w:rPr>
        <w:t>　“</w:t>
      </w:r>
      <w:r>
        <w:t>部分</w:t>
      </w:r>
      <w:r>
        <w:rPr>
          <w:rFonts w:hint="eastAsia"/>
        </w:rPr>
        <w:t>功能</w:t>
      </w:r>
      <w:r>
        <w:t>依赖内核</w:t>
      </w:r>
      <w:r>
        <w:rPr>
          <w:rFonts w:hint="eastAsia"/>
        </w:rPr>
        <w:t>”攻击表</w:t>
      </w:r>
      <w:bookmarkEnd w:id="633"/>
      <w:bookmarkEnd w:id="634"/>
      <w:bookmarkEnd w:id="635"/>
      <w:bookmarkEnd w:id="636"/>
      <w:bookmarkEnd w:id="637"/>
      <w:bookmarkEnd w:id="638"/>
      <w:bookmarkEnd w:id="639"/>
      <w:bookmarkEnd w:id="640"/>
      <w:bookmarkEnd w:id="641"/>
    </w:p>
    <w:p>
      <w:pPr>
        <w:pStyle w:val="6"/>
        <w:spacing w:after="120"/>
      </w:pPr>
      <w:r>
        <w:rPr>
          <w:b/>
          <w:bCs/>
        </w:rPr>
        <w:t>Table2.</w:t>
      </w:r>
      <w:r>
        <w:rPr>
          <w:rFonts w:hint="eastAsia"/>
          <w:b/>
          <w:bCs/>
        </w:rPr>
        <w:t>3</w:t>
      </w:r>
      <w:r>
        <w:rPr>
          <w:rFonts w:hint="eastAsia"/>
        </w:rPr>
        <w:t>　Table of attacks on "partial functions depend on kernel"</w:t>
      </w:r>
    </w:p>
    <w:tbl>
      <w:tblPr>
        <w:tblStyle w:val="18"/>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2"/>
        <w:gridCol w:w="3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65" w:type="pct"/>
          </w:tcPr>
          <w:p>
            <w:pPr>
              <w:rPr>
                <w:sz w:val="21"/>
                <w:szCs w:val="21"/>
              </w:rPr>
            </w:pPr>
            <w:r>
              <w:rPr>
                <w:sz w:val="21"/>
                <w:szCs w:val="21"/>
              </w:rPr>
              <w:t>攻击向量</w:t>
            </w:r>
            <w:r>
              <w:rPr>
                <w:rFonts w:hint="eastAsia"/>
                <w:sz w:val="21"/>
                <w:szCs w:val="21"/>
              </w:rPr>
              <w:t>（安全问题）</w:t>
            </w:r>
          </w:p>
        </w:tc>
        <w:tc>
          <w:tcPr>
            <w:tcW w:w="2334" w:type="pct"/>
          </w:tcPr>
          <w:p>
            <w:pPr>
              <w:rPr>
                <w:sz w:val="21"/>
                <w:szCs w:val="21"/>
              </w:rPr>
            </w:pPr>
            <w:r>
              <w:rPr>
                <w:rFonts w:hint="eastAsia"/>
                <w:sz w:val="21"/>
                <w:szCs w:val="21"/>
              </w:rPr>
              <w:t>“</w:t>
            </w:r>
            <w:r>
              <w:rPr>
                <w:sz w:val="21"/>
                <w:szCs w:val="21"/>
              </w:rPr>
              <w:t>部分</w:t>
            </w:r>
            <w:r>
              <w:rPr>
                <w:rFonts w:hint="eastAsia"/>
                <w:sz w:val="21"/>
                <w:szCs w:val="21"/>
              </w:rPr>
              <w:t>功能</w:t>
            </w:r>
            <w:r>
              <w:rPr>
                <w:sz w:val="21"/>
                <w:szCs w:val="21"/>
              </w:rPr>
              <w:t>依赖内核</w:t>
            </w:r>
            <w:r>
              <w:rPr>
                <w:rFonts w:hint="eastAsia"/>
                <w:sz w:val="21"/>
                <w:szCs w:val="21"/>
              </w:rPr>
              <w:t>”</w:t>
            </w:r>
            <w:r>
              <w:rPr>
                <w:sz w:val="21"/>
                <w:szCs w:val="21"/>
              </w:rPr>
              <w:t>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65" w:type="pct"/>
          </w:tcPr>
          <w:p>
            <w:pPr>
              <w:rPr>
                <w:sz w:val="21"/>
                <w:szCs w:val="21"/>
              </w:rPr>
            </w:pPr>
            <w:r>
              <w:rPr>
                <w:rFonts w:hint="eastAsia"/>
                <w:sz w:val="21"/>
                <w:szCs w:val="21"/>
              </w:rPr>
              <w:t>页表攻击（SGX设计存在安全缺陷）</w:t>
            </w:r>
          </w:p>
        </w:tc>
        <w:tc>
          <w:tcPr>
            <w:tcW w:w="2334" w:type="pct"/>
          </w:tcPr>
          <w:p>
            <w:pPr>
              <w:rPr>
                <w:sz w:val="21"/>
                <w:szCs w:val="21"/>
              </w:rPr>
            </w:pPr>
            <w:r>
              <w:rPr>
                <w:sz w:val="21"/>
                <w:szCs w:val="21"/>
              </w:rPr>
              <w:t>Controlled-channel attacks、SGX-PTE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65" w:type="pct"/>
          </w:tcPr>
          <w:p>
            <w:pPr>
              <w:rPr>
                <w:sz w:val="21"/>
                <w:szCs w:val="21"/>
              </w:rPr>
            </w:pPr>
            <w:r>
              <w:rPr>
                <w:rFonts w:hint="eastAsia"/>
                <w:sz w:val="21"/>
                <w:szCs w:val="21"/>
              </w:rPr>
              <w:t>恶意线程调度（SGX设计存在安全缺陷）</w:t>
            </w:r>
          </w:p>
        </w:tc>
        <w:tc>
          <w:tcPr>
            <w:tcW w:w="2334" w:type="pct"/>
          </w:tcPr>
          <w:p>
            <w:pPr>
              <w:rPr>
                <w:sz w:val="21"/>
                <w:szCs w:val="21"/>
              </w:rPr>
            </w:pPr>
            <w:r>
              <w:rPr>
                <w:sz w:val="21"/>
                <w:szCs w:val="21"/>
              </w:rPr>
              <w:t>AsyncShock、Game of Threads</w:t>
            </w:r>
          </w:p>
        </w:tc>
      </w:tr>
    </w:tbl>
    <w:p>
      <w:pPr>
        <w:pStyle w:val="6"/>
        <w:spacing w:after="120"/>
      </w:pPr>
      <w:r>
        <w:rPr>
          <w:b/>
          <w:bCs/>
        </w:rPr>
        <w:t>表</w:t>
      </w:r>
      <w:r>
        <w:rPr>
          <w:rFonts w:hint="eastAsia"/>
          <w:b/>
          <w:bCs/>
        </w:rPr>
        <w:t>2.</w:t>
      </w:r>
      <w:r>
        <w:rPr>
          <w:b/>
          <w:bCs/>
        </w:rPr>
        <w:fldChar w:fldCharType="begin"/>
      </w:r>
      <w:r>
        <w:rPr>
          <w:b/>
          <w:bCs/>
        </w:rPr>
        <w:instrText xml:space="preserve"> SEQ 表 \* ARABIC \s 1 </w:instrText>
      </w:r>
      <w:r>
        <w:rPr>
          <w:b/>
          <w:bCs/>
        </w:rPr>
        <w:fldChar w:fldCharType="separate"/>
      </w:r>
      <w:r>
        <w:rPr>
          <w:b/>
          <w:bCs/>
        </w:rPr>
        <w:t>4</w:t>
      </w:r>
      <w:r>
        <w:rPr>
          <w:b/>
          <w:bCs/>
        </w:rPr>
        <w:fldChar w:fldCharType="end"/>
      </w:r>
      <w:bookmarkStart w:id="642" w:name="_Toc1219"/>
      <w:bookmarkStart w:id="643" w:name="_Toc26157"/>
      <w:bookmarkStart w:id="644" w:name="_Toc9056"/>
      <w:bookmarkStart w:id="645" w:name="_Toc21580"/>
      <w:bookmarkStart w:id="646" w:name="_Toc32637"/>
      <w:bookmarkStart w:id="647" w:name="_Toc3278"/>
      <w:bookmarkStart w:id="648" w:name="_Toc21051"/>
      <w:bookmarkStart w:id="649" w:name="_Toc25250"/>
      <w:bookmarkStart w:id="650" w:name="_Toc12644"/>
      <w:r>
        <w:rPr>
          <w:rFonts w:hint="eastAsia"/>
          <w:b/>
          <w:bCs/>
        </w:rPr>
        <w:t>　</w:t>
      </w:r>
      <w:r>
        <w:rPr>
          <w:rFonts w:hint="eastAsia"/>
        </w:rPr>
        <w:t>“可观测的物理信息”攻击表</w:t>
      </w:r>
      <w:bookmarkEnd w:id="642"/>
      <w:bookmarkEnd w:id="643"/>
      <w:bookmarkEnd w:id="644"/>
      <w:bookmarkEnd w:id="645"/>
      <w:bookmarkEnd w:id="646"/>
      <w:bookmarkEnd w:id="647"/>
      <w:bookmarkEnd w:id="648"/>
      <w:bookmarkEnd w:id="649"/>
      <w:bookmarkEnd w:id="650"/>
    </w:p>
    <w:p>
      <w:pPr>
        <w:pStyle w:val="6"/>
        <w:spacing w:after="120"/>
      </w:pPr>
      <w:r>
        <w:rPr>
          <w:b/>
          <w:bCs/>
        </w:rPr>
        <w:t>Table2.</w:t>
      </w:r>
      <w:r>
        <w:rPr>
          <w:rFonts w:hint="eastAsia"/>
          <w:b/>
          <w:bCs/>
        </w:rPr>
        <w:t>4</w:t>
      </w:r>
      <w:r>
        <w:rPr>
          <w:rFonts w:hint="eastAsia"/>
        </w:rPr>
        <w:t>　Table of attacks on "observable physical information"</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8"/>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sz w:val="21"/>
                <w:szCs w:val="21"/>
              </w:rPr>
            </w:pPr>
            <w:r>
              <w:rPr>
                <w:sz w:val="21"/>
                <w:szCs w:val="21"/>
              </w:rPr>
              <w:t>攻击向量</w:t>
            </w:r>
            <w:r>
              <w:rPr>
                <w:rFonts w:hint="eastAsia"/>
                <w:sz w:val="21"/>
                <w:szCs w:val="21"/>
              </w:rPr>
              <w:t>（安全问题）</w:t>
            </w:r>
          </w:p>
        </w:tc>
        <w:tc>
          <w:tcPr>
            <w:tcW w:w="0" w:type="auto"/>
          </w:tcPr>
          <w:p>
            <w:pPr>
              <w:rPr>
                <w:sz w:val="21"/>
                <w:szCs w:val="21"/>
              </w:rPr>
            </w:pPr>
            <w:r>
              <w:rPr>
                <w:rFonts w:hint="eastAsia"/>
                <w:sz w:val="21"/>
                <w:szCs w:val="21"/>
              </w:rPr>
              <w:t>“</w:t>
            </w:r>
            <w:r>
              <w:rPr>
                <w:sz w:val="21"/>
                <w:szCs w:val="21"/>
              </w:rPr>
              <w:t>可观测的物理信息</w:t>
            </w:r>
            <w:r>
              <w:rPr>
                <w:rFonts w:hint="eastAsia"/>
                <w:sz w:val="21"/>
                <w:szCs w:val="21"/>
              </w:rPr>
              <w:t>”</w:t>
            </w:r>
            <w:r>
              <w:rPr>
                <w:sz w:val="21"/>
                <w:szCs w:val="21"/>
              </w:rPr>
              <w:t>攻击</w:t>
            </w:r>
          </w:p>
        </w:tc>
      </w:tr>
      <w:tr>
        <w:tblPrEx>
          <w:tblCellMar>
            <w:top w:w="0" w:type="dxa"/>
            <w:left w:w="108" w:type="dxa"/>
            <w:bottom w:w="0" w:type="dxa"/>
            <w:right w:w="108" w:type="dxa"/>
          </w:tblCellMar>
        </w:tblPrEx>
        <w:trPr>
          <w:jc w:val="center"/>
        </w:trPr>
        <w:tc>
          <w:tcPr>
            <w:tcW w:w="0" w:type="auto"/>
          </w:tcPr>
          <w:p>
            <w:pPr>
              <w:rPr>
                <w:sz w:val="21"/>
                <w:szCs w:val="21"/>
              </w:rPr>
            </w:pPr>
            <w:r>
              <w:rPr>
                <w:rFonts w:hint="eastAsia"/>
                <w:sz w:val="21"/>
                <w:szCs w:val="21"/>
              </w:rPr>
              <w:t>接口侧信道（SGX设计存在安全缺陷）</w:t>
            </w:r>
          </w:p>
        </w:tc>
        <w:tc>
          <w:tcPr>
            <w:tcW w:w="0" w:type="auto"/>
          </w:tcPr>
          <w:p>
            <w:pPr>
              <w:rPr>
                <w:sz w:val="21"/>
                <w:szCs w:val="21"/>
              </w:rPr>
            </w:pPr>
            <w:r>
              <w:rPr>
                <w:sz w:val="21"/>
                <w:szCs w:val="21"/>
              </w:rPr>
              <w:t>Interface-based side channel attack against intel SGX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rPr>
                <w:sz w:val="21"/>
                <w:szCs w:val="21"/>
              </w:rPr>
            </w:pPr>
            <w:r>
              <w:rPr>
                <w:rFonts w:hint="eastAsia"/>
                <w:sz w:val="21"/>
                <w:szCs w:val="21"/>
              </w:rPr>
              <w:t>时间侧信道（SGX设计存在安全缺陷）</w:t>
            </w:r>
          </w:p>
        </w:tc>
        <w:tc>
          <w:tcPr>
            <w:tcW w:w="0" w:type="auto"/>
          </w:tcPr>
          <w:p>
            <w:pPr>
              <w:rPr>
                <w:sz w:val="21"/>
                <w:szCs w:val="21"/>
              </w:rPr>
            </w:pPr>
            <w:r>
              <w:rPr>
                <w:sz w:val="21"/>
                <w:szCs w:val="21"/>
              </w:rPr>
              <w:t>A Tale of Two Worlds、Nemesis</w:t>
            </w:r>
          </w:p>
        </w:tc>
      </w:tr>
    </w:tbl>
    <w:p>
      <w:pPr>
        <w:pStyle w:val="6"/>
        <w:spacing w:after="120"/>
      </w:pPr>
      <w:r>
        <w:rPr>
          <w:b/>
          <w:bCs/>
        </w:rPr>
        <w:t>表</w:t>
      </w:r>
      <w:r>
        <w:rPr>
          <w:rFonts w:hint="eastAsia"/>
          <w:b/>
          <w:bCs/>
        </w:rPr>
        <w:t>2.</w:t>
      </w:r>
      <w:r>
        <w:rPr>
          <w:b/>
          <w:bCs/>
        </w:rPr>
        <w:fldChar w:fldCharType="begin"/>
      </w:r>
      <w:r>
        <w:rPr>
          <w:b/>
          <w:bCs/>
        </w:rPr>
        <w:instrText xml:space="preserve"> SEQ 表 \* ARABIC \s 1 </w:instrText>
      </w:r>
      <w:r>
        <w:rPr>
          <w:b/>
          <w:bCs/>
        </w:rPr>
        <w:fldChar w:fldCharType="separate"/>
      </w:r>
      <w:r>
        <w:rPr>
          <w:b/>
          <w:bCs/>
        </w:rPr>
        <w:t>5</w:t>
      </w:r>
      <w:r>
        <w:rPr>
          <w:b/>
          <w:bCs/>
        </w:rPr>
        <w:fldChar w:fldCharType="end"/>
      </w:r>
      <w:bookmarkStart w:id="651" w:name="_Toc31639"/>
      <w:bookmarkStart w:id="652" w:name="_Toc32440"/>
      <w:bookmarkStart w:id="653" w:name="_Toc16157"/>
      <w:bookmarkStart w:id="654" w:name="_Toc12785"/>
      <w:bookmarkStart w:id="655" w:name="_Toc23389"/>
      <w:bookmarkStart w:id="656" w:name="_Toc149"/>
      <w:bookmarkStart w:id="657" w:name="_Toc7311"/>
      <w:bookmarkStart w:id="658" w:name="_Toc16189"/>
      <w:bookmarkStart w:id="659" w:name="_Toc18198"/>
      <w:r>
        <w:rPr>
          <w:rFonts w:hint="eastAsia"/>
        </w:rPr>
        <w:t>　“密封文件”攻击表</w:t>
      </w:r>
      <w:bookmarkEnd w:id="651"/>
      <w:bookmarkEnd w:id="652"/>
      <w:bookmarkEnd w:id="653"/>
      <w:bookmarkEnd w:id="654"/>
      <w:bookmarkEnd w:id="655"/>
      <w:bookmarkEnd w:id="656"/>
      <w:bookmarkEnd w:id="657"/>
      <w:bookmarkEnd w:id="658"/>
      <w:bookmarkEnd w:id="659"/>
    </w:p>
    <w:p>
      <w:pPr>
        <w:pStyle w:val="6"/>
        <w:spacing w:after="120"/>
      </w:pPr>
      <w:r>
        <w:rPr>
          <w:b/>
          <w:bCs/>
        </w:rPr>
        <w:t>Table2.</w:t>
      </w:r>
      <w:r>
        <w:rPr>
          <w:rFonts w:hint="eastAsia"/>
          <w:b/>
          <w:bCs/>
        </w:rPr>
        <w:t>5</w:t>
      </w:r>
      <w:r>
        <w:rPr>
          <w:rFonts w:hint="eastAsia"/>
        </w:rPr>
        <w:t>　Table of attacks on "sealed file"</w:t>
      </w:r>
    </w:p>
    <w:tbl>
      <w:tblPr>
        <w:tblStyle w:val="18"/>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9"/>
        <w:gridCol w:w="3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10" w:type="pct"/>
          </w:tcPr>
          <w:p>
            <w:pPr>
              <w:rPr>
                <w:sz w:val="21"/>
                <w:szCs w:val="21"/>
              </w:rPr>
            </w:pPr>
            <w:bookmarkStart w:id="660" w:name="OLE_LINK56" w:colFirst="0" w:colLast="1"/>
            <w:bookmarkStart w:id="661" w:name="OLE_LINK53" w:colFirst="0" w:colLast="1"/>
            <w:bookmarkStart w:id="662" w:name="OLE_LINK54" w:colFirst="0" w:colLast="1"/>
            <w:r>
              <w:rPr>
                <w:sz w:val="21"/>
                <w:szCs w:val="21"/>
              </w:rPr>
              <w:t>攻击向量</w:t>
            </w:r>
            <w:r>
              <w:rPr>
                <w:rFonts w:hint="eastAsia"/>
                <w:sz w:val="21"/>
                <w:szCs w:val="21"/>
              </w:rPr>
              <w:t>（安全问题）</w:t>
            </w:r>
          </w:p>
        </w:tc>
        <w:tc>
          <w:tcPr>
            <w:tcW w:w="2189" w:type="pct"/>
          </w:tcPr>
          <w:p>
            <w:pPr>
              <w:rPr>
                <w:sz w:val="21"/>
                <w:szCs w:val="21"/>
              </w:rPr>
            </w:pPr>
            <w:r>
              <w:rPr>
                <w:rFonts w:hint="eastAsia"/>
                <w:sz w:val="21"/>
                <w:szCs w:val="21"/>
              </w:rPr>
              <w:t>“密封文件”</w:t>
            </w:r>
            <w:r>
              <w:rPr>
                <w:sz w:val="21"/>
                <w:szCs w:val="21"/>
              </w:rPr>
              <w:t>攻击</w:t>
            </w:r>
          </w:p>
        </w:tc>
      </w:tr>
      <w:bookmarkEnd w:id="660"/>
      <w:bookmarkEnd w:id="66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10" w:type="pct"/>
          </w:tcPr>
          <w:p>
            <w:pPr>
              <w:rPr>
                <w:sz w:val="21"/>
                <w:szCs w:val="21"/>
              </w:rPr>
            </w:pPr>
            <w:bookmarkStart w:id="663" w:name="_Toc18287"/>
            <w:bookmarkStart w:id="664" w:name="_Toc28437"/>
            <w:bookmarkStart w:id="665" w:name="_Toc29104"/>
            <w:r>
              <w:rPr>
                <w:rFonts w:hint="eastAsia"/>
                <w:sz w:val="21"/>
                <w:szCs w:val="21"/>
              </w:rPr>
              <w:t>文件回滚攻击（SGX设计存在安全缺陷）</w:t>
            </w:r>
          </w:p>
        </w:tc>
        <w:tc>
          <w:tcPr>
            <w:tcW w:w="2189" w:type="pct"/>
          </w:tcPr>
          <w:p>
            <w:pPr>
              <w:rPr>
                <w:sz w:val="21"/>
                <w:szCs w:val="21"/>
              </w:rPr>
            </w:pPr>
            <w:r>
              <w:rPr>
                <w:rFonts w:hint="eastAsia"/>
                <w:sz w:val="21"/>
                <w:szCs w:val="21"/>
              </w:rPr>
              <w:t>文件回滚攻击</w:t>
            </w:r>
            <w:r>
              <w:rPr>
                <w:rFonts w:hint="eastAsia"/>
                <w:sz w:val="21"/>
                <w:szCs w:val="21"/>
                <w:vertAlign w:val="superscript"/>
              </w:rPr>
              <w:t>[1]</w:t>
            </w:r>
          </w:p>
        </w:tc>
      </w:tr>
      <w:bookmarkEnd w:id="662"/>
    </w:tbl>
    <w:p>
      <w:pPr>
        <w:pStyle w:val="3"/>
      </w:pPr>
      <w:bookmarkStart w:id="666" w:name="_Toc18244"/>
      <w:bookmarkStart w:id="667" w:name="_Toc21856"/>
      <w:bookmarkStart w:id="668" w:name="_Toc27489"/>
      <w:bookmarkStart w:id="669" w:name="_Toc11131"/>
      <w:bookmarkStart w:id="670" w:name="_Toc25048"/>
      <w:bookmarkStart w:id="671" w:name="_Toc14811"/>
      <w:bookmarkStart w:id="672" w:name="_Toc20181"/>
      <w:bookmarkStart w:id="673" w:name="_Toc19561"/>
      <w:bookmarkStart w:id="674" w:name="_Toc23114"/>
      <w:bookmarkStart w:id="675" w:name="_Toc14748"/>
      <w:bookmarkStart w:id="676" w:name="_Toc32679"/>
      <w:bookmarkStart w:id="677" w:name="_Toc25302"/>
      <w:bookmarkStart w:id="678" w:name="_Toc13529"/>
      <w:bookmarkStart w:id="679" w:name="_Toc32383"/>
      <w:bookmarkStart w:id="680" w:name="_Toc9089"/>
      <w:bookmarkStart w:id="681" w:name="_Toc1670"/>
      <w:bookmarkStart w:id="682" w:name="_Toc28332"/>
      <w:r>
        <w:rPr>
          <w:rFonts w:hint="eastAsia"/>
        </w:rPr>
        <w:t>2.3　传统系统防御方案</w:t>
      </w:r>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pPr>
        <w:ind w:firstLine="480" w:firstLineChars="200"/>
      </w:pPr>
      <w:r>
        <w:rPr>
          <w:rFonts w:hint="eastAsia"/>
        </w:rPr>
        <w:t>针对SGX安全问题、攻击向量及攻击面，可以借鉴传统系统防御方案的思路。传统系统防御方案中，有针对特定攻击类型以补丁形式防御的方案。如Dangling Pointer Tagging和Red-zone Inserting缓解UAF和栈溢出等内存安全问题，CFI和DFI增强目标应用程序控制流/数据流的完整性缓解控制流/数据流劫持，ASLR和KASLR将程序和内核加载地址随机化增加攻击者定位漏洞难度，SMEP、SMAP和KPTI单向或双向隔绝用户态和内核态代码数据抵御针对内核的攻击。但这些防御方案安全准则不统一，难以被系统同时支持。</w:t>
      </w:r>
    </w:p>
    <w:p>
      <w:pPr>
        <w:ind w:firstLine="480" w:firstLineChars="200"/>
      </w:pPr>
      <w:r>
        <w:rPr>
          <w:rFonts w:hint="eastAsia"/>
        </w:rPr>
        <w:t>还有防御方案深入分析系统，加固系统自身安全。如访问控制领域中，Matetic S等人对Linux系统的访问控制模型及关键访问控制点位深入分析，提出Linux Security Module</w:t>
      </w:r>
      <w:r>
        <w:rPr>
          <w:rFonts w:hint="eastAsia"/>
          <w:vertAlign w:val="superscript"/>
        </w:rPr>
        <w:t>[39]</w:t>
      </w:r>
      <w:r>
        <w:rPr>
          <w:rFonts w:hint="eastAsia"/>
        </w:rPr>
        <w:t>（缩写为LSM）访问控制框架，将安全准则与实施框架分离，高效兼容多种安全准则。SELinux</w:t>
      </w:r>
      <w:r>
        <w:rPr>
          <w:rFonts w:hint="eastAsia"/>
          <w:vertAlign w:val="superscript"/>
        </w:rPr>
        <w:t>[40]</w:t>
      </w:r>
      <w:r>
        <w:rPr>
          <w:rFonts w:hint="eastAsia"/>
        </w:rPr>
        <w:t>（Security-Enhanced Linux）基于LSM进行了具体实现。LSM使Linux同时支持了Domain and Type Enforcement和Linux capabilities等多种访问控制模型，启发了AppArmor、TOMOYO和YAMA等安全增强模块产生。实现上，LSM在Linux关键执行路径中安插了许多Hook点。基于LSM实现的访问控制模型选用Hook点并自定义安全策略来实施主客体访问控制。Hook点上获取的主客体访问控制信息会交给策略引擎（Policy Engine）决断，确定当前访问是否符合安全策略。</w:t>
      </w:r>
    </w:p>
    <w:p>
      <w:pPr>
        <w:ind w:firstLine="480" w:firstLineChars="200"/>
      </w:pPr>
      <w:r>
        <w:rPr>
          <w:rFonts w:hint="eastAsia"/>
        </w:rPr>
        <w:t>框架性的防御方案深入分析系统，加固系统自身安全，相较于针对性的防御方案更加原生，兼容多种安全准则的能力更强，提供更高安全性，启发新的安全准则。</w:t>
      </w:r>
    </w:p>
    <w:p>
      <w:pPr>
        <w:pStyle w:val="3"/>
      </w:pPr>
      <w:bookmarkStart w:id="683" w:name="_Toc8330"/>
      <w:bookmarkStart w:id="684" w:name="_Toc8768"/>
      <w:bookmarkStart w:id="685" w:name="_Toc14615"/>
      <w:bookmarkStart w:id="686" w:name="_Toc30547"/>
      <w:bookmarkStart w:id="687" w:name="_Toc19371"/>
      <w:bookmarkStart w:id="688" w:name="_Toc20593"/>
      <w:bookmarkStart w:id="689" w:name="_Toc32554"/>
      <w:bookmarkStart w:id="690" w:name="_Toc4462"/>
      <w:bookmarkStart w:id="691" w:name="_Toc23376"/>
      <w:bookmarkStart w:id="692" w:name="_Toc21678"/>
      <w:bookmarkStart w:id="693" w:name="_Toc7548"/>
      <w:bookmarkStart w:id="694" w:name="_Toc17112"/>
      <w:bookmarkStart w:id="695" w:name="_Toc31718"/>
      <w:bookmarkStart w:id="696" w:name="_Toc2828"/>
      <w:bookmarkStart w:id="697" w:name="_Toc9456"/>
      <w:bookmarkStart w:id="698" w:name="_Toc18409"/>
      <w:bookmarkStart w:id="699" w:name="_Toc31826"/>
      <w:bookmarkStart w:id="700" w:name="_Toc30751"/>
      <w:bookmarkStart w:id="701" w:name="_Toc11154"/>
      <w:bookmarkStart w:id="702" w:name="_Toc700"/>
      <w:r>
        <w:rPr>
          <w:rFonts w:hint="eastAsia"/>
        </w:rPr>
        <w:t>2.4　SGX防御现状</w:t>
      </w:r>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pPr>
        <w:ind w:firstLine="480" w:firstLineChars="200"/>
      </w:pPr>
      <w:r>
        <w:rPr>
          <w:rFonts w:hint="eastAsia"/>
        </w:rPr>
        <w:t>针对SGX攻击，学术界及工业界均提出了防御方案，用到的防御方法包括Enclave接口消毒、Enclave内外资源隔离、痕迹防泄露和攻击痕迹检测等。尚无防御方案系统分析SGX架构及安全关键点，加固SGX架构自身安全。</w:t>
      </w:r>
    </w:p>
    <w:p>
      <w:pPr>
        <w:pStyle w:val="4"/>
      </w:pPr>
      <w:bookmarkStart w:id="703" w:name="_Toc30620"/>
      <w:bookmarkStart w:id="704" w:name="_Toc2368"/>
      <w:bookmarkStart w:id="705" w:name="_Toc26318"/>
      <w:bookmarkStart w:id="706" w:name="_Toc16506"/>
      <w:bookmarkStart w:id="707" w:name="_Toc27782"/>
      <w:bookmarkStart w:id="708" w:name="_Toc29082"/>
      <w:bookmarkStart w:id="709" w:name="_Toc1408"/>
      <w:bookmarkStart w:id="710" w:name="_Toc28172"/>
      <w:bookmarkStart w:id="711" w:name="_Toc18590"/>
      <w:bookmarkStart w:id="712" w:name="_Toc15127"/>
      <w:bookmarkStart w:id="713" w:name="_Toc21429"/>
      <w:bookmarkStart w:id="714" w:name="_Toc10748"/>
      <w:bookmarkStart w:id="715" w:name="_Toc762"/>
      <w:bookmarkStart w:id="716" w:name="_Toc27323"/>
      <w:bookmarkStart w:id="717" w:name="_Toc32132"/>
      <w:bookmarkStart w:id="718" w:name="_Toc19501"/>
      <w:bookmarkStart w:id="719" w:name="_Toc13559"/>
      <w:bookmarkStart w:id="720" w:name="_Toc12805"/>
      <w:bookmarkStart w:id="721" w:name="_Toc12043"/>
      <w:bookmarkStart w:id="722" w:name="_Toc31118"/>
      <w:r>
        <w:rPr>
          <w:rFonts w:hint="eastAsia"/>
        </w:rPr>
        <w:t>2.4.1　</w:t>
      </w:r>
      <w:bookmarkStart w:id="723" w:name="OLE_LINK28"/>
      <w:r>
        <w:rPr>
          <w:rFonts w:hint="eastAsia"/>
        </w:rPr>
        <w:t>Enclave接口</w:t>
      </w:r>
      <w:bookmarkEnd w:id="703"/>
      <w:bookmarkEnd w:id="704"/>
      <w:r>
        <w:rPr>
          <w:rFonts w:hint="eastAsia"/>
        </w:rPr>
        <w:t>消毒</w:t>
      </w:r>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pPr>
        <w:ind w:firstLine="480" w:firstLineChars="200"/>
      </w:pPr>
      <w:r>
        <w:rPr>
          <w:rFonts w:hint="eastAsia"/>
        </w:rPr>
        <w:t>Enclave接口消毒指对Enclave接口进行安全检查，避免攻击者从Enclave接口输入恶意数据危害Enclave。代表性防御方案包括SGX原生软件栈提供的和学术界提出的防御方案。SGX原生软件栈提供了EDL关键字</w:t>
      </w:r>
      <w:r>
        <w:t>及SGX</w:t>
      </w:r>
      <w:r>
        <w:rPr>
          <w:rFonts w:hint="eastAsia"/>
        </w:rPr>
        <w:t>帮助性函数，由于无法先验地知道Enclave接口具体用法，因此只能够简单消毒Enclave接口。</w:t>
      </w:r>
    </w:p>
    <w:p>
      <w:pPr>
        <w:ind w:firstLine="480" w:firstLineChars="200"/>
      </w:pPr>
      <w:r>
        <w:rPr>
          <w:rFonts w:hint="eastAsia"/>
        </w:rPr>
        <w:t>EDL关键字。描述Enclave边界的EDL文件中，Enclave开发者可以设置EDL关键字，对跨越Enclave内外的函数和传参进行简单限定。如ECALL中“In”关键字可以修饰一个原指向</w:t>
      </w:r>
      <w:bookmarkStart w:id="724" w:name="OLE_LINK29"/>
      <w:r>
        <w:rPr>
          <w:rFonts w:hint="eastAsia"/>
        </w:rPr>
        <w:t>Enclave外</w:t>
      </w:r>
      <w:r>
        <w:t>缓冲区</w:t>
      </w:r>
      <w:r>
        <w:rPr>
          <w:rFonts w:hint="eastAsia"/>
        </w:rPr>
        <w:t>的指针</w:t>
      </w:r>
      <w:bookmarkEnd w:id="724"/>
      <w:r>
        <w:rPr>
          <w:rFonts w:hint="eastAsia"/>
        </w:rPr>
        <w:t>，SGX软件栈会将指针指向的缓冲区内容</w:t>
      </w:r>
      <w:r>
        <w:t>拷贝进Enclave</w:t>
      </w:r>
      <w:r>
        <w:rPr>
          <w:rFonts w:hint="eastAsia"/>
        </w:rPr>
        <w:t>，Enclave内使用指向Enclave内缓冲区的指针。“In”关键字</w:t>
      </w:r>
      <w:r>
        <w:t>防止</w:t>
      </w:r>
      <w:r>
        <w:rPr>
          <w:rFonts w:hint="eastAsia"/>
        </w:rPr>
        <w:t>Enclave执行时</w:t>
      </w:r>
      <w:r>
        <w:t>Enclave外</w:t>
      </w:r>
      <w:r>
        <w:rPr>
          <w:rFonts w:hint="eastAsia"/>
        </w:rPr>
        <w:t>通过修改</w:t>
      </w:r>
      <w:r>
        <w:t>缓冲区</w:t>
      </w:r>
      <w:r>
        <w:rPr>
          <w:rFonts w:hint="eastAsia"/>
        </w:rPr>
        <w:t>直接</w:t>
      </w:r>
      <w:r>
        <w:t>影响Enclave内部</w:t>
      </w:r>
      <w:r>
        <w:rPr>
          <w:rFonts w:hint="eastAsia"/>
        </w:rPr>
        <w:t>状态</w:t>
      </w:r>
      <w:r>
        <w:t>。</w:t>
      </w:r>
      <w:r>
        <w:rPr>
          <w:rFonts w:hint="eastAsia"/>
        </w:rPr>
        <w:t>但EDL关键字缺乏针对函数和传参的先验场景知识，接口消毒能力有限，复杂接口消毒功能需要Enclave开发者实现。</w:t>
      </w:r>
    </w:p>
    <w:p>
      <w:pPr>
        <w:ind w:firstLine="480" w:firstLineChars="200"/>
      </w:pPr>
      <w:r>
        <w:t>SGX</w:t>
      </w:r>
      <w:r>
        <w:rPr>
          <w:rFonts w:hint="eastAsia"/>
        </w:rPr>
        <w:t>帮助性函数（主要指</w:t>
      </w:r>
      <w:r>
        <w:t>sgx_is_within_enclave</w:t>
      </w:r>
      <w:r>
        <w:rPr>
          <w:rFonts w:hint="eastAsia"/>
        </w:rPr>
        <w:t>和</w:t>
      </w:r>
      <w:r>
        <w:t>sgx_is_outside_enclave</w:t>
      </w:r>
      <w:r>
        <w:rPr>
          <w:rFonts w:hint="eastAsia"/>
        </w:rPr>
        <w:t>函数）是SGX软件栈提供的一类函数，帮助</w:t>
      </w:r>
      <w:r>
        <w:t>Enclave判断</w:t>
      </w:r>
      <w:r>
        <w:rPr>
          <w:rFonts w:hint="eastAsia"/>
        </w:rPr>
        <w:t>变量</w:t>
      </w:r>
      <w:r>
        <w:t>位于Enclave内</w:t>
      </w:r>
      <w:r>
        <w:rPr>
          <w:rFonts w:hint="eastAsia"/>
        </w:rPr>
        <w:t>部（</w:t>
      </w:r>
      <w:r>
        <w:t>sgx_is_within_enclave</w:t>
      </w:r>
      <w:r>
        <w:rPr>
          <w:rFonts w:hint="eastAsia"/>
        </w:rPr>
        <w:t>）</w:t>
      </w:r>
      <w:r>
        <w:t>还是Enclave外</w:t>
      </w:r>
      <w:r>
        <w:rPr>
          <w:rFonts w:hint="eastAsia"/>
        </w:rPr>
        <w:t>部（</w:t>
      </w:r>
      <w:r>
        <w:t>sgx_is_outside_enclave</w:t>
      </w:r>
      <w:r>
        <w:rPr>
          <w:rFonts w:hint="eastAsia"/>
        </w:rPr>
        <w:t>），方便开发者进行接口检查</w:t>
      </w:r>
      <w:r>
        <w:t>。</w:t>
      </w:r>
    </w:p>
    <w:p>
      <w:pPr>
        <w:ind w:firstLine="480" w:firstLineChars="200"/>
      </w:pPr>
      <w:r>
        <w:rPr>
          <w:rFonts w:hint="eastAsia"/>
        </w:rPr>
        <w:t>学术界代表防御方案包括Haven</w:t>
      </w:r>
      <w:r>
        <w:rPr>
          <w:rFonts w:hint="eastAsia"/>
          <w:vertAlign w:val="superscript"/>
        </w:rPr>
        <w:t>[26]</w:t>
      </w:r>
      <w:r>
        <w:rPr>
          <w:rFonts w:hint="eastAsia"/>
        </w:rPr>
        <w:t>、Graphene-SGX</w:t>
      </w:r>
      <w:r>
        <w:rPr>
          <w:rFonts w:hint="eastAsia"/>
          <w:vertAlign w:val="superscript"/>
        </w:rPr>
        <w:t>[27]</w:t>
      </w:r>
      <w:r>
        <w:rPr>
          <w:rFonts w:hint="eastAsia"/>
        </w:rPr>
        <w:t>、SCONE</w:t>
      </w:r>
      <w:r>
        <w:rPr>
          <w:rFonts w:hint="eastAsia"/>
          <w:vertAlign w:val="superscript"/>
        </w:rPr>
        <w:t>[28]</w:t>
      </w:r>
      <w:r>
        <w:rPr>
          <w:rFonts w:hint="eastAsia"/>
        </w:rPr>
        <w:t>、Ryoan</w:t>
      </w:r>
      <w:r>
        <w:rPr>
          <w:rFonts w:hint="eastAsia"/>
          <w:vertAlign w:val="superscript"/>
        </w:rPr>
        <w:t>[29]</w:t>
      </w:r>
      <w:r>
        <w:rPr>
          <w:rFonts w:hint="eastAsia"/>
        </w:rPr>
        <w:t>和</w:t>
      </w:r>
      <w:r>
        <w:t>Glamdaring</w:t>
      </w:r>
      <w:r>
        <w:rPr>
          <w:rFonts w:hint="eastAsia"/>
          <w:vertAlign w:val="superscript"/>
        </w:rPr>
        <w:t>[30]</w:t>
      </w:r>
      <w:r>
        <w:rPr>
          <w:rFonts w:hint="eastAsia"/>
        </w:rPr>
        <w:t>等。</w:t>
      </w:r>
    </w:p>
    <w:p>
      <w:pPr>
        <w:ind w:firstLine="480" w:firstLineChars="200"/>
      </w:pPr>
      <w:r>
        <w:rPr>
          <w:rFonts w:hint="eastAsia"/>
        </w:rPr>
        <w:t>Haven</w:t>
      </w:r>
      <w:r>
        <w:rPr>
          <w:rFonts w:hint="eastAsia"/>
          <w:vertAlign w:val="superscript"/>
        </w:rPr>
        <w:t>[26]</w:t>
      </w:r>
      <w:r>
        <w:rPr>
          <w:rFonts w:hint="eastAsia"/>
        </w:rPr>
        <w:t>（如图2.6所示）基于Drawbridge在Enclave中内嵌LibOS，使Enclave内能二进制级别兼容非SGX应用，Shield模块通过20多个接口向Host内核请求Enclave内无法实现的功能。针对Iago Attack等攻击透过Enclave接口攻击面展开攻击，Haven在Shield模块中基于先验LibOS场景检查接口传参安全。</w:t>
      </w:r>
    </w:p>
    <w:p>
      <w:pPr>
        <w:jc w:val="center"/>
      </w:pPr>
      <w:r>
        <w:drawing>
          <wp:inline distT="0" distB="0" distL="0" distR="0">
            <wp:extent cx="2756535" cy="2700020"/>
            <wp:effectExtent l="0" t="0" r="12065" b="5080"/>
            <wp:docPr id="1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图片 1"/>
                    <pic:cNvPicPr>
                      <a:picLocks noChangeAspect="1"/>
                    </pic:cNvPicPr>
                  </pic:nvPicPr>
                  <pic:blipFill>
                    <a:blip r:embed="rId44" cstate="print"/>
                    <a:srcRect/>
                    <a:stretch>
                      <a:fillRect/>
                    </a:stretch>
                  </pic:blipFill>
                  <pic:spPr>
                    <a:xfrm>
                      <a:off x="0" y="0"/>
                      <a:ext cx="2756535" cy="2700020"/>
                    </a:xfrm>
                    <a:prstGeom prst="rect">
                      <a:avLst/>
                    </a:prstGeom>
                    <a:ln>
                      <a:noFill/>
                    </a:ln>
                  </pic:spPr>
                </pic:pic>
              </a:graphicData>
            </a:graphic>
          </wp:inline>
        </w:drawing>
      </w:r>
    </w:p>
    <w:p>
      <w:pPr>
        <w:pStyle w:val="6"/>
        <w:rPr>
          <w:vertAlign w:val="superscript"/>
        </w:rPr>
      </w:pPr>
      <w:r>
        <w:rPr>
          <w:b/>
          <w:bCs/>
        </w:rPr>
        <w:t>图</w:t>
      </w:r>
      <w:r>
        <w:rPr>
          <w:rFonts w:hint="eastAsia"/>
          <w:b/>
          <w:bCs/>
        </w:rPr>
        <w:t>2.</w:t>
      </w:r>
      <w:r>
        <w:rPr>
          <w:b/>
          <w:bCs/>
        </w:rPr>
        <w:fldChar w:fldCharType="begin"/>
      </w:r>
      <w:r>
        <w:rPr>
          <w:b/>
          <w:bCs/>
        </w:rPr>
        <w:instrText xml:space="preserve"> SEQ 图 \* ARABIC \s 1 </w:instrText>
      </w:r>
      <w:r>
        <w:rPr>
          <w:b/>
          <w:bCs/>
        </w:rPr>
        <w:fldChar w:fldCharType="separate"/>
      </w:r>
      <w:r>
        <w:rPr>
          <w:b/>
          <w:bCs/>
        </w:rPr>
        <w:t>6</w:t>
      </w:r>
      <w:r>
        <w:rPr>
          <w:b/>
          <w:bCs/>
        </w:rPr>
        <w:fldChar w:fldCharType="end"/>
      </w:r>
      <w:bookmarkStart w:id="725" w:name="_Toc1854"/>
      <w:bookmarkStart w:id="726" w:name="_Toc21994"/>
      <w:bookmarkStart w:id="727" w:name="_Toc89"/>
      <w:bookmarkStart w:id="728" w:name="_Toc5681"/>
      <w:bookmarkStart w:id="729" w:name="_Toc19295"/>
      <w:bookmarkStart w:id="730" w:name="_Toc12670"/>
      <w:bookmarkStart w:id="731" w:name="_Toc2773"/>
      <w:bookmarkStart w:id="732" w:name="_Toc11362"/>
      <w:bookmarkStart w:id="733" w:name="_Toc30276"/>
      <w:bookmarkStart w:id="734" w:name="_Toc7870"/>
      <w:bookmarkStart w:id="735" w:name="_Toc4170"/>
      <w:bookmarkStart w:id="736" w:name="_Toc12297"/>
      <w:bookmarkStart w:id="737" w:name="_Toc22384"/>
      <w:bookmarkStart w:id="738" w:name="_Toc13262"/>
      <w:bookmarkStart w:id="739" w:name="_Toc1476"/>
      <w:bookmarkStart w:id="740" w:name="_Toc14418"/>
      <w:bookmarkStart w:id="741" w:name="_Toc2839"/>
      <w:bookmarkStart w:id="742" w:name="_Toc15309"/>
      <w:bookmarkStart w:id="743" w:name="_Toc27842"/>
      <w:bookmarkStart w:id="744" w:name="_Toc22104"/>
      <w:bookmarkStart w:id="745" w:name="_Toc18629"/>
      <w:bookmarkStart w:id="746" w:name="_Toc10613"/>
      <w:bookmarkStart w:id="747" w:name="_Toc6604"/>
      <w:bookmarkStart w:id="748" w:name="_Toc23285"/>
      <w:r>
        <w:rPr>
          <w:rFonts w:hint="eastAsia"/>
        </w:rPr>
        <w:t>　Haven组件和接口</w:t>
      </w:r>
      <w:r>
        <w:rPr>
          <w:rFonts w:hint="eastAsia"/>
          <w:vertAlign w:val="superscript"/>
        </w:rPr>
        <w:t>[26]</w:t>
      </w:r>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p>
    <w:p>
      <w:pPr>
        <w:pStyle w:val="6"/>
      </w:pPr>
      <w:r>
        <w:rPr>
          <w:rFonts w:hint="eastAsia"/>
          <w:b/>
          <w:bCs/>
        </w:rPr>
        <w:t>Figure2.6</w:t>
      </w:r>
      <w:r>
        <w:rPr>
          <w:rFonts w:hint="eastAsia"/>
        </w:rPr>
        <w:t>　Components and interfaces of Haven</w:t>
      </w:r>
      <w:r>
        <w:rPr>
          <w:rFonts w:hint="eastAsia"/>
          <w:vertAlign w:val="superscript"/>
        </w:rPr>
        <w:t>[26]</w:t>
      </w:r>
    </w:p>
    <w:p>
      <w:pPr>
        <w:ind w:firstLine="480" w:firstLineChars="200"/>
      </w:pPr>
      <w:r>
        <w:rPr>
          <w:rFonts w:hint="eastAsia"/>
        </w:rPr>
        <w:t>Graphene-SGX</w:t>
      </w:r>
      <w:r>
        <w:rPr>
          <w:rFonts w:hint="eastAsia"/>
          <w:vertAlign w:val="superscript"/>
        </w:rPr>
        <w:t>[27]</w:t>
      </w:r>
      <w:r>
        <w:rPr>
          <w:rFonts w:hint="eastAsia"/>
        </w:rPr>
        <w:t>（如图2.7所示）类似于Haven，在Linux系统下的SGX Enclave中内嵌LibOS，二进制级别兼容非SGX应用和Docker，基于先验LibOS场景检查28个接口安全。文件读取（通过文件校验码）和进程间协作（通过认证和加密）等18个接口被全面检查。</w:t>
      </w:r>
    </w:p>
    <w:p>
      <w:pPr>
        <w:jc w:val="center"/>
      </w:pPr>
      <w:r>
        <w:drawing>
          <wp:inline distT="0" distB="0" distL="0" distR="0">
            <wp:extent cx="2687320" cy="2700020"/>
            <wp:effectExtent l="0" t="0" r="5080" b="5080"/>
            <wp:docPr id="10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2"/>
                    <pic:cNvPicPr>
                      <a:picLocks noChangeAspect="1"/>
                    </pic:cNvPicPr>
                  </pic:nvPicPr>
                  <pic:blipFill>
                    <a:blip r:embed="rId45" cstate="print"/>
                    <a:srcRect/>
                    <a:stretch>
                      <a:fillRect/>
                    </a:stretch>
                  </pic:blipFill>
                  <pic:spPr>
                    <a:xfrm>
                      <a:off x="0" y="0"/>
                      <a:ext cx="2687320" cy="2700020"/>
                    </a:xfrm>
                    <a:prstGeom prst="rect">
                      <a:avLst/>
                    </a:prstGeom>
                    <a:ln>
                      <a:noFill/>
                    </a:ln>
                  </pic:spPr>
                </pic:pic>
              </a:graphicData>
            </a:graphic>
          </wp:inline>
        </w:drawing>
      </w:r>
    </w:p>
    <w:p>
      <w:pPr>
        <w:pStyle w:val="6"/>
        <w:rPr>
          <w:vertAlign w:val="superscript"/>
        </w:rPr>
      </w:pPr>
      <w:r>
        <w:rPr>
          <w:b/>
          <w:bCs/>
        </w:rPr>
        <w:t>图</w:t>
      </w:r>
      <w:r>
        <w:rPr>
          <w:rFonts w:hint="eastAsia"/>
          <w:b/>
          <w:bCs/>
        </w:rPr>
        <w:t>2.</w:t>
      </w:r>
      <w:r>
        <w:rPr>
          <w:b/>
          <w:bCs/>
        </w:rPr>
        <w:fldChar w:fldCharType="begin"/>
      </w:r>
      <w:r>
        <w:rPr>
          <w:b/>
          <w:bCs/>
        </w:rPr>
        <w:instrText xml:space="preserve"> SEQ 图 \* ARABIC \s 1 </w:instrText>
      </w:r>
      <w:r>
        <w:rPr>
          <w:b/>
          <w:bCs/>
        </w:rPr>
        <w:fldChar w:fldCharType="separate"/>
      </w:r>
      <w:r>
        <w:rPr>
          <w:b/>
          <w:bCs/>
        </w:rPr>
        <w:t>7</w:t>
      </w:r>
      <w:r>
        <w:rPr>
          <w:b/>
          <w:bCs/>
        </w:rPr>
        <w:fldChar w:fldCharType="end"/>
      </w:r>
      <w:bookmarkStart w:id="749" w:name="_Toc32086"/>
      <w:bookmarkStart w:id="750" w:name="_Toc26891"/>
      <w:bookmarkStart w:id="751" w:name="_Toc10899"/>
      <w:bookmarkStart w:id="752" w:name="_Toc18386"/>
      <w:bookmarkStart w:id="753" w:name="_Toc7743"/>
      <w:bookmarkStart w:id="754" w:name="_Toc11438"/>
      <w:bookmarkStart w:id="755" w:name="_Toc21775"/>
      <w:bookmarkStart w:id="756" w:name="_Toc24627"/>
      <w:bookmarkStart w:id="757" w:name="_Toc11655"/>
      <w:bookmarkStart w:id="758" w:name="_Toc3720"/>
      <w:bookmarkStart w:id="759" w:name="_Toc27156"/>
      <w:bookmarkStart w:id="760" w:name="_Toc2376"/>
      <w:bookmarkStart w:id="761" w:name="_Toc1492"/>
      <w:bookmarkStart w:id="762" w:name="_Toc25405"/>
      <w:bookmarkStart w:id="763" w:name="_Toc24308"/>
      <w:bookmarkStart w:id="764" w:name="_Toc25484"/>
      <w:bookmarkStart w:id="765" w:name="_Toc5315"/>
      <w:bookmarkStart w:id="766" w:name="_Toc30303"/>
      <w:bookmarkStart w:id="767" w:name="_Toc23965"/>
      <w:bookmarkStart w:id="768" w:name="_Toc2099"/>
      <w:bookmarkStart w:id="769" w:name="_Toc9288"/>
      <w:bookmarkStart w:id="770" w:name="_Toc10373"/>
      <w:bookmarkStart w:id="771" w:name="_Toc13868"/>
      <w:bookmarkStart w:id="772" w:name="_Toc30245"/>
      <w:r>
        <w:rPr>
          <w:rFonts w:hint="eastAsia"/>
        </w:rPr>
        <w:t>　Graphene-SGX架构图</w:t>
      </w:r>
      <w:r>
        <w:rPr>
          <w:rFonts w:hint="eastAsia"/>
          <w:vertAlign w:val="superscript"/>
        </w:rPr>
        <w:t>[27]</w:t>
      </w:r>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pPr>
        <w:pStyle w:val="6"/>
      </w:pPr>
      <w:r>
        <w:rPr>
          <w:rFonts w:hint="eastAsia"/>
          <w:b/>
          <w:bCs/>
        </w:rPr>
        <w:t>Figure2.7</w:t>
      </w:r>
      <w:r>
        <w:rPr>
          <w:rFonts w:hint="eastAsia"/>
        </w:rPr>
        <w:t>　Graphene-SGX architecture diagram</w:t>
      </w:r>
      <w:r>
        <w:rPr>
          <w:rFonts w:hint="eastAsia"/>
          <w:vertAlign w:val="superscript"/>
        </w:rPr>
        <w:t>[27]</w:t>
      </w:r>
    </w:p>
    <w:p>
      <w:pPr>
        <w:ind w:firstLine="480" w:firstLineChars="200"/>
      </w:pPr>
      <w:r>
        <w:rPr>
          <w:rFonts w:hint="eastAsia"/>
        </w:rPr>
        <w:t>SCONE</w:t>
      </w:r>
      <w:r>
        <w:rPr>
          <w:rFonts w:hint="eastAsia"/>
          <w:vertAlign w:val="superscript"/>
        </w:rPr>
        <w:t>[28]</w:t>
      </w:r>
      <w:r>
        <w:rPr>
          <w:rFonts w:hint="eastAsia"/>
        </w:rPr>
        <w:t>（如图2.8所示）源码级别兼容非SGX应用（需要重新编译）。将Graphene-SGX和Haven中LibOS及C库移出Enclave，通过Shim层（SCONE C Library）间接调用Enclave外C库，使Enclave保持较小TCB。Shield层向下调用HostOS功能，向上提供文件系统等功能，基于先验文件系统等功能设置接口消毒。</w:t>
      </w:r>
    </w:p>
    <w:p>
      <w:pPr>
        <w:jc w:val="center"/>
      </w:pPr>
      <w:r>
        <w:drawing>
          <wp:inline distT="0" distB="0" distL="0" distR="0">
            <wp:extent cx="2648585" cy="2700020"/>
            <wp:effectExtent l="0" t="0" r="5715" b="5080"/>
            <wp:docPr id="10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图片 3"/>
                    <pic:cNvPicPr>
                      <a:picLocks noChangeAspect="1"/>
                    </pic:cNvPicPr>
                  </pic:nvPicPr>
                  <pic:blipFill>
                    <a:blip r:embed="rId46" cstate="print"/>
                    <a:srcRect/>
                    <a:stretch>
                      <a:fillRect/>
                    </a:stretch>
                  </pic:blipFill>
                  <pic:spPr>
                    <a:xfrm>
                      <a:off x="0" y="0"/>
                      <a:ext cx="2648585" cy="2700020"/>
                    </a:xfrm>
                    <a:prstGeom prst="rect">
                      <a:avLst/>
                    </a:prstGeom>
                    <a:ln>
                      <a:noFill/>
                    </a:ln>
                  </pic:spPr>
                </pic:pic>
              </a:graphicData>
            </a:graphic>
          </wp:inline>
        </w:drawing>
      </w:r>
    </w:p>
    <w:p>
      <w:pPr>
        <w:pStyle w:val="6"/>
      </w:pPr>
      <w:r>
        <w:rPr>
          <w:b/>
          <w:bCs/>
        </w:rPr>
        <w:t>图</w:t>
      </w:r>
      <w:r>
        <w:rPr>
          <w:rFonts w:hint="eastAsia"/>
          <w:b/>
          <w:bCs/>
        </w:rPr>
        <w:t>2.</w:t>
      </w:r>
      <w:r>
        <w:rPr>
          <w:b/>
          <w:bCs/>
        </w:rPr>
        <w:fldChar w:fldCharType="begin"/>
      </w:r>
      <w:r>
        <w:rPr>
          <w:b/>
          <w:bCs/>
        </w:rPr>
        <w:instrText xml:space="preserve"> SEQ 图 \* ARABIC \s 1 </w:instrText>
      </w:r>
      <w:r>
        <w:rPr>
          <w:b/>
          <w:bCs/>
        </w:rPr>
        <w:fldChar w:fldCharType="separate"/>
      </w:r>
      <w:r>
        <w:rPr>
          <w:b/>
          <w:bCs/>
        </w:rPr>
        <w:t>8</w:t>
      </w:r>
      <w:r>
        <w:rPr>
          <w:b/>
          <w:bCs/>
        </w:rPr>
        <w:fldChar w:fldCharType="end"/>
      </w:r>
      <w:bookmarkStart w:id="773" w:name="_Toc26921"/>
      <w:bookmarkStart w:id="774" w:name="_Toc26175"/>
      <w:bookmarkStart w:id="775" w:name="_Toc31197"/>
      <w:bookmarkStart w:id="776" w:name="_Toc8617"/>
      <w:bookmarkStart w:id="777" w:name="_Toc11456"/>
      <w:bookmarkStart w:id="778" w:name="_Toc30090"/>
      <w:bookmarkStart w:id="779" w:name="_Toc567"/>
      <w:bookmarkStart w:id="780" w:name="_Toc18608"/>
      <w:bookmarkStart w:id="781" w:name="_Toc25120"/>
      <w:bookmarkStart w:id="782" w:name="_Toc21415"/>
      <w:bookmarkStart w:id="783" w:name="_Toc3418"/>
      <w:bookmarkStart w:id="784" w:name="_Toc32484"/>
      <w:bookmarkStart w:id="785" w:name="_Toc20882"/>
      <w:bookmarkStart w:id="786" w:name="_Toc31931"/>
      <w:bookmarkStart w:id="787" w:name="_Toc20542"/>
      <w:bookmarkStart w:id="788" w:name="_Toc29049"/>
      <w:bookmarkStart w:id="789" w:name="_Toc25625"/>
      <w:bookmarkStart w:id="790" w:name="_Toc2061"/>
      <w:bookmarkStart w:id="791" w:name="_Toc13278"/>
      <w:bookmarkStart w:id="792" w:name="_Toc24926"/>
      <w:bookmarkStart w:id="793" w:name="_Toc27529"/>
      <w:bookmarkStart w:id="794" w:name="_Toc18258"/>
      <w:bookmarkStart w:id="795" w:name="_Toc20431"/>
      <w:bookmarkStart w:id="796" w:name="_Toc18785"/>
      <w:r>
        <w:rPr>
          <w:rFonts w:hint="eastAsia"/>
        </w:rPr>
        <w:t>　SCONE架构图</w:t>
      </w:r>
      <w:r>
        <w:rPr>
          <w:rFonts w:hint="eastAsia"/>
          <w:vertAlign w:val="superscript"/>
        </w:rPr>
        <w:t>[28]</w:t>
      </w:r>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p>
    <w:p>
      <w:pPr>
        <w:pStyle w:val="6"/>
      </w:pPr>
      <w:r>
        <w:rPr>
          <w:rFonts w:hint="eastAsia"/>
          <w:b/>
          <w:bCs/>
        </w:rPr>
        <w:t>Figure2.8</w:t>
      </w:r>
      <w:r>
        <w:rPr>
          <w:rFonts w:hint="eastAsia"/>
        </w:rPr>
        <w:t>　SCONE architecture diagram</w:t>
      </w:r>
      <w:r>
        <w:rPr>
          <w:rFonts w:hint="eastAsia"/>
          <w:vertAlign w:val="superscript"/>
        </w:rPr>
        <w:t>[28]</w:t>
      </w:r>
    </w:p>
    <w:p>
      <w:pPr>
        <w:ind w:firstLine="480" w:firstLineChars="200"/>
      </w:pPr>
      <w:r>
        <w:rPr>
          <w:rFonts w:hint="eastAsia"/>
        </w:rPr>
        <w:t>Ryoan</w:t>
      </w:r>
      <w:r>
        <w:rPr>
          <w:rFonts w:hint="eastAsia"/>
          <w:vertAlign w:val="superscript"/>
        </w:rPr>
        <w:t>[29]</w:t>
      </w:r>
      <w:r>
        <w:rPr>
          <w:rFonts w:hint="eastAsia"/>
        </w:rPr>
        <w:t>构建Enclave内沙箱并检查Enclave接口，防止服务提供商的Enclave恶意向Enclave外传递用户隐私数据。</w:t>
      </w:r>
    </w:p>
    <w:p>
      <w:pPr>
        <w:ind w:firstLine="480" w:firstLineChars="200"/>
      </w:pPr>
      <w:r>
        <w:t>Glamdaring</w:t>
      </w:r>
      <w:r>
        <w:rPr>
          <w:rFonts w:hint="eastAsia"/>
          <w:vertAlign w:val="superscript"/>
        </w:rPr>
        <w:t>[30]</w:t>
      </w:r>
      <w:r>
        <w:rPr>
          <w:rFonts w:hint="eastAsia"/>
        </w:rPr>
        <w:t>自动划分非SGX应用的可信部分和非可信部分，组装成SGX应用，它通过减少Enclave接口数量缓解调用排序攻击向量。</w:t>
      </w:r>
    </w:p>
    <w:p>
      <w:pPr>
        <w:pStyle w:val="4"/>
      </w:pPr>
      <w:bookmarkStart w:id="797" w:name="_Toc11575"/>
      <w:bookmarkStart w:id="798" w:name="_Toc11596"/>
      <w:bookmarkStart w:id="799" w:name="_Toc29142"/>
      <w:bookmarkStart w:id="800" w:name="_Toc17745"/>
      <w:bookmarkStart w:id="801" w:name="_Toc32532"/>
      <w:bookmarkStart w:id="802" w:name="_Toc12920"/>
      <w:bookmarkStart w:id="803" w:name="_Toc2697"/>
      <w:bookmarkStart w:id="804" w:name="_Toc28344"/>
      <w:bookmarkStart w:id="805" w:name="_Toc11835"/>
      <w:bookmarkStart w:id="806" w:name="_Toc10944"/>
      <w:bookmarkStart w:id="807" w:name="_Toc9942"/>
      <w:bookmarkStart w:id="808" w:name="_Toc16491"/>
      <w:bookmarkStart w:id="809" w:name="_Toc31165"/>
      <w:bookmarkStart w:id="810" w:name="_Toc32206"/>
      <w:bookmarkStart w:id="811" w:name="_Toc10178"/>
      <w:bookmarkStart w:id="812" w:name="_Toc8077"/>
      <w:bookmarkStart w:id="813" w:name="_Toc12275"/>
      <w:bookmarkStart w:id="814" w:name="_Toc30269"/>
      <w:bookmarkStart w:id="815" w:name="_Toc19386"/>
      <w:bookmarkStart w:id="816" w:name="_Toc8995"/>
      <w:r>
        <w:rPr>
          <w:rFonts w:hint="eastAsia"/>
        </w:rPr>
        <w:t>2.4.2</w:t>
      </w:r>
      <w:bookmarkStart w:id="817" w:name="OLE_LINK30"/>
      <w:r>
        <w:rPr>
          <w:rFonts w:hint="eastAsia"/>
        </w:rPr>
        <w:t>　</w:t>
      </w:r>
      <w:bookmarkEnd w:id="817"/>
      <w:r>
        <w:rPr>
          <w:rFonts w:hint="eastAsia"/>
        </w:rPr>
        <w:t>Enclave内外资源隔离、痕迹防</w:t>
      </w:r>
      <w:bookmarkEnd w:id="797"/>
      <w:bookmarkEnd w:id="798"/>
      <w:bookmarkEnd w:id="799"/>
      <w:r>
        <w:rPr>
          <w:rFonts w:hint="eastAsia"/>
          <w:lang w:val="en-US" w:eastAsia="zh-CN"/>
        </w:rPr>
        <w:t>泄露</w:t>
      </w:r>
      <w:r>
        <w:rPr>
          <w:rFonts w:hint="eastAsia"/>
        </w:rPr>
        <w:t>及攻击痕迹检测</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pPr>
        <w:ind w:firstLine="480" w:firstLineChars="200"/>
      </w:pPr>
      <w:r>
        <w:rPr>
          <w:rFonts w:hint="eastAsia"/>
        </w:rPr>
        <w:t>为避免侧信道等攻击利用“Enclave内外共享资源”攻击面，有防御方案基于资源隔离、执行痕迹防泄露和攻击痕迹检测等思路展开防御。代表性防御方案包括学术界提出的及Intel提出的防御方案。学术界的防御方案包括</w:t>
      </w:r>
      <w:r>
        <w:t>T-SGX</w:t>
      </w:r>
      <w:r>
        <w:rPr>
          <w:vertAlign w:val="superscript"/>
        </w:rPr>
        <w:t>[</w:t>
      </w:r>
      <w:r>
        <w:rPr>
          <w:rFonts w:hint="eastAsia"/>
          <w:vertAlign w:val="superscript"/>
        </w:rPr>
        <w:t>31</w:t>
      </w:r>
      <w:r>
        <w:rPr>
          <w:vertAlign w:val="superscript"/>
        </w:rPr>
        <w:t>]</w:t>
      </w:r>
      <w:r>
        <w:rPr>
          <w:rFonts w:hint="eastAsia"/>
        </w:rPr>
        <w:t>和</w:t>
      </w:r>
      <w:r>
        <w:t>Racing in Hyperspace</w:t>
      </w:r>
      <w:r>
        <w:rPr>
          <w:vertAlign w:val="superscript"/>
        </w:rPr>
        <w:t>[</w:t>
      </w:r>
      <w:r>
        <w:rPr>
          <w:rFonts w:hint="eastAsia"/>
          <w:vertAlign w:val="superscript"/>
        </w:rPr>
        <w:t>32]</w:t>
      </w:r>
      <w:r>
        <w:rPr>
          <w:rFonts w:hint="eastAsia"/>
        </w:rPr>
        <w:t>等。</w:t>
      </w:r>
    </w:p>
    <w:p>
      <w:pPr>
        <w:ind w:firstLine="480" w:firstLineChars="200"/>
      </w:pPr>
      <w:r>
        <w:t>T-SGX</w:t>
      </w:r>
      <w:r>
        <w:rPr>
          <w:vertAlign w:val="superscript"/>
        </w:rPr>
        <w:t>[</w:t>
      </w:r>
      <w:r>
        <w:rPr>
          <w:rFonts w:hint="eastAsia"/>
          <w:vertAlign w:val="superscript"/>
        </w:rPr>
        <w:t>31</w:t>
      </w:r>
      <w:r>
        <w:rPr>
          <w:vertAlign w:val="superscript"/>
        </w:rPr>
        <w:t>]</w:t>
      </w:r>
      <w:r>
        <w:rPr>
          <w:rFonts w:hint="eastAsia"/>
        </w:rPr>
        <w:t>利用Intel TSX事务代码</w:t>
      </w:r>
      <w:r>
        <w:t>出错回滚特性</w:t>
      </w:r>
      <w:r>
        <w:rPr>
          <w:rFonts w:hint="eastAsia"/>
        </w:rPr>
        <w:t>，将页错误泄露的页地址信息限制到跳板页地址。针对会触发大量AEX的</w:t>
      </w:r>
      <w:r>
        <w:t xml:space="preserve">Controlled-channel </w:t>
      </w:r>
      <w:r>
        <w:rPr>
          <w:rFonts w:hint="eastAsia"/>
        </w:rPr>
        <w:t>Attack，它在跳板页记录AEX频率并预警高频AEX（即检测攻击痕迹）。</w:t>
      </w:r>
    </w:p>
    <w:p>
      <w:pPr>
        <w:ind w:firstLine="480" w:firstLineChars="200"/>
      </w:pPr>
      <w:r>
        <w:t>Racing in Hyperspace</w:t>
      </w:r>
      <w:r>
        <w:rPr>
          <w:vertAlign w:val="superscript"/>
        </w:rPr>
        <w:t>[</w:t>
      </w:r>
      <w:r>
        <w:rPr>
          <w:rFonts w:hint="eastAsia"/>
          <w:vertAlign w:val="superscript"/>
        </w:rPr>
        <w:t>32</w:t>
      </w:r>
      <w:r>
        <w:rPr>
          <w:vertAlign w:val="superscript"/>
        </w:rPr>
        <w:t>]</w:t>
      </w:r>
      <w:r>
        <w:t>针对超线程</w:t>
      </w:r>
      <w:r>
        <w:rPr>
          <w:rFonts w:hint="eastAsia"/>
        </w:rPr>
        <w:t>侧信道</w:t>
      </w:r>
      <w:r>
        <w:t>攻击，度量</w:t>
      </w:r>
      <w:r>
        <w:rPr>
          <w:rFonts w:hint="eastAsia"/>
        </w:rPr>
        <w:t>受害者</w:t>
      </w:r>
      <w:r>
        <w:t>两个线程间通讯时长</w:t>
      </w:r>
      <w:r>
        <w:rPr>
          <w:rFonts w:hint="eastAsia"/>
        </w:rPr>
        <w:t>，判断</w:t>
      </w:r>
      <w:r>
        <w:t>是否在</w:t>
      </w:r>
      <w:r>
        <w:rPr>
          <w:rFonts w:hint="eastAsia"/>
        </w:rPr>
        <w:t>兄弟核上（同一个物理核的两个逻辑核），若通讯时长超出阈值，那么受害者</w:t>
      </w:r>
      <w:r>
        <w:t>两个线程</w:t>
      </w:r>
      <w:r>
        <w:rPr>
          <w:rFonts w:hint="eastAsia"/>
        </w:rPr>
        <w:t>不在兄弟核上，即可能有攻击者抢占受害者的兄弟核并发起超线程攻击。</w:t>
      </w:r>
    </w:p>
    <w:p>
      <w:pPr>
        <w:ind w:firstLine="480" w:firstLineChars="200"/>
      </w:pPr>
      <w:r>
        <w:t>OBFUSCURO</w:t>
      </w:r>
      <w:r>
        <w:rPr>
          <w:vertAlign w:val="superscript"/>
        </w:rPr>
        <w:t>[</w:t>
      </w:r>
      <w:r>
        <w:rPr>
          <w:rFonts w:hint="eastAsia"/>
          <w:vertAlign w:val="superscript"/>
        </w:rPr>
        <w:t>33</w:t>
      </w:r>
      <w:r>
        <w:rPr>
          <w:vertAlign w:val="superscript"/>
        </w:rPr>
        <w:t>]</w:t>
      </w:r>
      <w:r>
        <w:t>将代码数据访问模式</w:t>
      </w:r>
      <w:r>
        <w:rPr>
          <w:rFonts w:hint="eastAsia"/>
        </w:rPr>
        <w:t>、分支模式及代码块执行时长固定化，只留下相同的访问痕迹</w:t>
      </w:r>
      <w:r>
        <w:t>，避免</w:t>
      </w:r>
      <w:r>
        <w:rPr>
          <w:rFonts w:hint="eastAsia"/>
        </w:rPr>
        <w:t>攻击者观察访问模式差别推测Enclave</w:t>
      </w:r>
      <w:r>
        <w:t>控制流。</w:t>
      </w:r>
    </w:p>
    <w:p>
      <w:pPr>
        <w:ind w:firstLine="480" w:firstLineChars="200"/>
      </w:pPr>
      <w:r>
        <w:rPr>
          <w:rFonts w:hint="eastAsia"/>
        </w:rPr>
        <w:t>Eleos</w:t>
      </w:r>
      <w:r>
        <w:rPr>
          <w:rFonts w:hint="eastAsia"/>
          <w:vertAlign w:val="superscript"/>
        </w:rPr>
        <w:t>[34]</w:t>
      </w:r>
      <w:r>
        <w:rPr>
          <w:rFonts w:hint="eastAsia"/>
        </w:rPr>
        <w:t>实验证明进出Enclave时切换上下文开销巨大，通过类RPC机制及SUVM（Secure User Virtual Memory，即Enclave内页表机制）避免频繁进出Enclave。SUVM机制还能避免页错误地址信息泄露到Enclave外，缓解页表攻击。</w:t>
      </w:r>
    </w:p>
    <w:p>
      <w:pPr>
        <w:ind w:firstLine="480" w:firstLineChars="200"/>
      </w:pPr>
      <w:r>
        <w:rPr>
          <w:rFonts w:hint="eastAsia"/>
        </w:rPr>
        <w:t>CoSMIX</w:t>
      </w:r>
      <w:r>
        <w:rPr>
          <w:rFonts w:hint="eastAsia"/>
          <w:vertAlign w:val="superscript"/>
        </w:rPr>
        <w:t>[35]</w:t>
      </w:r>
      <w:r>
        <w:rPr>
          <w:rFonts w:hint="eastAsia"/>
        </w:rPr>
        <w:t>使用LLVM Pass插桩Enclave源码，实现了多层</w:t>
      </w:r>
      <w:bookmarkStart w:id="818" w:name="OLE_LINK59"/>
      <w:r>
        <w:rPr>
          <w:rFonts w:hint="eastAsia"/>
        </w:rPr>
        <w:t>Memory Store</w:t>
      </w:r>
      <w:bookmarkEnd w:id="818"/>
      <w:r>
        <w:rPr>
          <w:rFonts w:hint="eastAsia"/>
        </w:rPr>
        <w:t>（基于底层物理内存、内核虚拟内存或自定义虚拟内存构建新一层自定义虚拟内存）栈式堆叠，满足多种（安全）需求，如ORAM和Enclave内页表机制的双重堆叠。</w:t>
      </w:r>
    </w:p>
    <w:p>
      <w:pPr>
        <w:ind w:firstLine="480" w:firstLineChars="200"/>
      </w:pPr>
      <w:r>
        <w:rPr>
          <w:rFonts w:hint="eastAsia"/>
        </w:rPr>
        <w:t>Autarky</w:t>
      </w:r>
      <w:r>
        <w:rPr>
          <w:rFonts w:hint="eastAsia"/>
          <w:vertAlign w:val="superscript"/>
        </w:rPr>
        <w:t>[36]</w:t>
      </w:r>
      <w:r>
        <w:rPr>
          <w:rFonts w:hint="eastAsia"/>
        </w:rPr>
        <w:t>针对Controlled-Channel Attack，修改软硬件使Enclave内页错误处理优先于OS页错误处理，Enclave内页错误处理中，Enclave结合内部记录判断当前异常是攻击者伪造的还是正常触发的。Autarky中还可以编写策略检测攻击。</w:t>
      </w:r>
    </w:p>
    <w:p>
      <w:pPr>
        <w:ind w:firstLine="480" w:firstLineChars="200"/>
      </w:pPr>
      <w:r>
        <w:rPr>
          <w:rFonts w:hint="eastAsia"/>
        </w:rPr>
        <w:t>Gruss D等人的工作</w:t>
      </w:r>
      <w:r>
        <w:rPr>
          <w:rFonts w:hint="eastAsia"/>
          <w:vertAlign w:val="superscript"/>
        </w:rPr>
        <w:t>[37]</w:t>
      </w:r>
      <w:r>
        <w:rPr>
          <w:rFonts w:hint="eastAsia"/>
        </w:rPr>
        <w:t>针对TAA（TSX Asynchronous Abort利用TSX回滚事务时不回滚微架构的缺陷）攻击向量，在封装敏感代码的事务入口处加载冗余缓存，增加攻击噪声。</w:t>
      </w:r>
    </w:p>
    <w:p>
      <w:pPr>
        <w:ind w:firstLine="480" w:firstLineChars="200"/>
      </w:pPr>
      <w:r>
        <w:rPr>
          <w:rFonts w:hint="eastAsia"/>
        </w:rPr>
        <w:t>Intel公司通过微码补丁和硅上改（Silicon-based Change）对危害严重的攻击进行防御。</w:t>
      </w:r>
    </w:p>
    <w:p>
      <w:pPr>
        <w:ind w:firstLine="480" w:firstLineChars="200"/>
      </w:pPr>
      <w:r>
        <w:rPr>
          <w:rFonts w:hint="eastAsia"/>
        </w:rPr>
        <w:t>Intel修改SGX硬件指令微码流（SGX指令是由若干微码组成的微码流，执行时被翻译成微码并被发送到执行单元执行）实施防御措施。如针对缓存侧信道，在进出Enclave所用指令微码流中增加L1D缓存刷新操作。</w:t>
      </w:r>
    </w:p>
    <w:p>
      <w:pPr>
        <w:ind w:firstLine="480" w:firstLineChars="200"/>
      </w:pPr>
      <w:r>
        <w:rPr>
          <w:rFonts w:hint="eastAsia"/>
        </w:rPr>
        <w:t>Intel通过硅上改重新设计Intel CPU微架构，缓解某些侧信道。如修改乱序执行中异常提交和状态回滚相关机制。</w:t>
      </w:r>
    </w:p>
    <w:p>
      <w:pPr>
        <w:pStyle w:val="4"/>
      </w:pPr>
      <w:bookmarkStart w:id="819" w:name="_Toc30206"/>
      <w:bookmarkStart w:id="820" w:name="_Toc26195"/>
      <w:bookmarkStart w:id="821" w:name="_Toc27113"/>
      <w:bookmarkStart w:id="822" w:name="_Toc12884"/>
      <w:bookmarkStart w:id="823" w:name="_Toc7819"/>
      <w:bookmarkStart w:id="824" w:name="_Toc24517"/>
      <w:bookmarkStart w:id="825" w:name="_Toc4870"/>
      <w:bookmarkStart w:id="826" w:name="_Toc4990"/>
      <w:bookmarkStart w:id="827" w:name="_Toc32038"/>
      <w:bookmarkStart w:id="828" w:name="_Toc13357"/>
      <w:bookmarkStart w:id="829" w:name="_Toc20161"/>
      <w:bookmarkStart w:id="830" w:name="_Toc4268"/>
      <w:bookmarkStart w:id="831" w:name="_Toc18732"/>
      <w:bookmarkStart w:id="832" w:name="_Toc19408"/>
      <w:bookmarkStart w:id="833" w:name="_Toc17826"/>
      <w:bookmarkStart w:id="834" w:name="_Toc30641"/>
      <w:bookmarkStart w:id="835" w:name="_Toc2343"/>
      <w:bookmarkStart w:id="836" w:name="_Toc13419"/>
      <w:bookmarkStart w:id="837" w:name="_Toc7594"/>
      <w:bookmarkStart w:id="838" w:name="_Toc23282"/>
      <w:r>
        <w:rPr>
          <w:rFonts w:hint="eastAsia"/>
        </w:rPr>
        <w:t>2.4.3　其他</w:t>
      </w:r>
      <w:bookmarkEnd w:id="819"/>
      <w:bookmarkEnd w:id="820"/>
      <w:r>
        <w:rPr>
          <w:rFonts w:hint="eastAsia"/>
        </w:rPr>
        <w:t>防御方案</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pPr>
        <w:ind w:firstLine="480" w:firstLineChars="200"/>
      </w:pPr>
      <w:r>
        <w:rPr>
          <w:rFonts w:hint="eastAsia"/>
        </w:rPr>
        <w:t>有研究人员提出防御方案，缓解透过“密封文件”攻击面的文件回滚攻击。</w:t>
      </w:r>
    </w:p>
    <w:p>
      <w:pPr>
        <w:ind w:firstLine="480" w:firstLineChars="200"/>
      </w:pPr>
      <w:r>
        <w:rPr>
          <w:rFonts w:hint="eastAsia"/>
        </w:rPr>
        <w:t>ROTE</w:t>
      </w:r>
      <w:r>
        <w:rPr>
          <w:rFonts w:hint="eastAsia"/>
          <w:vertAlign w:val="superscript"/>
        </w:rPr>
        <w:t>[38]</w:t>
      </w:r>
      <w:r>
        <w:rPr>
          <w:rFonts w:hint="eastAsia"/>
        </w:rPr>
        <w:t>基于拜占庭容错系统思路，将标识文件新旧的版本号存储于分布式主机群中，当Enclave读取密封文件时，比对密封文件的版本号和主机群中读出的版本号，避免使用旧版本文件引起文件回滚攻击。</w:t>
      </w:r>
    </w:p>
    <w:p>
      <w:pPr>
        <w:ind w:firstLine="480" w:firstLineChars="200"/>
      </w:pPr>
      <w:r>
        <w:rPr>
          <w:rFonts w:hint="eastAsia"/>
        </w:rPr>
        <w:t>SGX Counter。Intel公司在支持SGX的CPU中添加了SGX Counter（单调递增计数器），记录每个密封文件的最新状态。当不可信环境提供旧文件时，Enclave能检测到旧文件标识号与SGX Counter值不一致。</w:t>
      </w:r>
    </w:p>
    <w:p>
      <w:pPr>
        <w:pStyle w:val="3"/>
      </w:pPr>
      <w:bookmarkStart w:id="839" w:name="_Toc16210"/>
      <w:bookmarkStart w:id="840" w:name="_Toc20469"/>
      <w:bookmarkStart w:id="841" w:name="_Toc29724"/>
      <w:bookmarkStart w:id="842" w:name="_Toc3800"/>
      <w:bookmarkStart w:id="843" w:name="_Toc31897"/>
      <w:bookmarkStart w:id="844" w:name="_Toc8845"/>
      <w:bookmarkStart w:id="845" w:name="_Toc6569"/>
      <w:bookmarkStart w:id="846" w:name="_Toc15367"/>
      <w:bookmarkStart w:id="847" w:name="_Toc4174"/>
      <w:bookmarkStart w:id="848" w:name="_Toc23817"/>
      <w:bookmarkStart w:id="849" w:name="_Toc32297"/>
      <w:bookmarkStart w:id="850" w:name="_Toc28968"/>
      <w:bookmarkStart w:id="851" w:name="_Toc2459"/>
      <w:bookmarkStart w:id="852" w:name="_Toc8432"/>
      <w:bookmarkStart w:id="853" w:name="_Toc14850"/>
      <w:bookmarkStart w:id="854" w:name="_Toc7027"/>
      <w:bookmarkStart w:id="855" w:name="_Toc29032"/>
      <w:bookmarkStart w:id="856" w:name="_Toc23055"/>
      <w:bookmarkStart w:id="857" w:name="_Toc20726"/>
      <w:bookmarkStart w:id="858" w:name="_Toc12696"/>
      <w:r>
        <w:rPr>
          <w:rFonts w:hint="eastAsia"/>
        </w:rPr>
        <w:t>2.5　本章小结</w:t>
      </w:r>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p>
      <w:pPr>
        <w:ind w:firstLine="480" w:firstLineChars="200"/>
      </w:pPr>
      <w:r>
        <w:rPr>
          <w:rFonts w:hint="eastAsia"/>
        </w:rPr>
        <w:t>本章阐述了SGX编程模型、软硬件架构和原生安全机制，指出SGX的特殊之处。归纳了SGX攻击所针对的安全问题包括“Enclave开发中的安全问题”和“SGX设计存在安全缺陷”，所透过的攻击面包括“Enclave接口”和“共享资源”等，所利用的攻击向量包括调用排序、并发调用等。阐述了代表性攻击及其相关的安全问题、攻击面和攻击向量。分析了传统系统防御方案的思路，指出框架性防御方案的优势。归纳现有SGX防御方法包括接口消毒、资源隔离、痕迹防泄露和攻击痕迹检测等。指出尚无防御方案系统分析SGX架构及安全关键点，加固SGX架构自身安全。</w:t>
      </w:r>
    </w:p>
    <w:p/>
    <w:p>
      <w:pPr>
        <w:ind w:firstLine="480" w:firstLineChars="200"/>
        <w:sectPr>
          <w:headerReference r:id="rId27" w:type="default"/>
          <w:pgSz w:w="11906" w:h="16838"/>
          <w:pgMar w:top="1440" w:right="1800" w:bottom="1440" w:left="1800" w:header="851" w:footer="850" w:gutter="0"/>
          <w:cols w:space="425" w:num="1"/>
          <w:docGrid w:type="lines" w:linePitch="312" w:charSpace="0"/>
        </w:sectPr>
      </w:pPr>
    </w:p>
    <w:p>
      <w:pPr>
        <w:pStyle w:val="2"/>
      </w:pPr>
      <w:bookmarkStart w:id="859" w:name="_Toc24483"/>
      <w:bookmarkStart w:id="860" w:name="_Toc3743"/>
      <w:bookmarkStart w:id="861" w:name="_Toc9583"/>
      <w:bookmarkStart w:id="862" w:name="_Toc3870"/>
      <w:bookmarkStart w:id="863" w:name="_Toc10640"/>
      <w:bookmarkStart w:id="864" w:name="_Toc936"/>
      <w:bookmarkStart w:id="865" w:name="_Toc10419"/>
      <w:bookmarkStart w:id="866" w:name="_Toc27254"/>
      <w:bookmarkStart w:id="867" w:name="_Toc4187"/>
      <w:bookmarkStart w:id="868" w:name="_Toc1824"/>
      <w:bookmarkStart w:id="869" w:name="_Toc20023"/>
      <w:bookmarkStart w:id="870" w:name="_Toc29609"/>
      <w:bookmarkStart w:id="871" w:name="_Toc22131"/>
      <w:bookmarkStart w:id="872" w:name="_Toc26673"/>
      <w:bookmarkStart w:id="873" w:name="_Toc12054"/>
      <w:bookmarkStart w:id="874" w:name="_Toc31664"/>
      <w:bookmarkStart w:id="875" w:name="_Toc2484"/>
      <w:bookmarkStart w:id="876" w:name="_Toc8308"/>
      <w:bookmarkStart w:id="877" w:name="_Toc18737"/>
      <w:bookmarkStart w:id="878" w:name="_Toc13534"/>
      <w:r>
        <w:rPr>
          <w:rFonts w:hint="eastAsia"/>
        </w:rPr>
        <w:t>第三章　Intel SGX关键执行路径</w:t>
      </w:r>
      <w:bookmarkEnd w:id="859"/>
      <w:bookmarkEnd w:id="860"/>
      <w:r>
        <w:rPr>
          <w:rFonts w:hint="eastAsia"/>
        </w:rPr>
        <w:t>及安全关键点分析</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pPr>
        <w:ind w:firstLine="480" w:firstLineChars="200"/>
      </w:pPr>
      <w:r>
        <w:rPr>
          <w:rFonts w:hint="eastAsia"/>
        </w:rPr>
        <w:t>本章刻画SGX架构，分析SGX关键执行路径及安全关键点，总结SGX线程模型</w:t>
      </w:r>
      <w:r>
        <w:rPr>
          <w:rFonts w:hint="eastAsia"/>
          <w:lang w:eastAsia="zh-CN"/>
        </w:rPr>
        <w:t>，</w:t>
      </w:r>
      <w:r>
        <w:rPr>
          <w:rFonts w:hint="eastAsia"/>
        </w:rPr>
        <w:t>为SGX架构安全增强提供着力点。主要围绕“Enclave开发中的安全问题”分析SGX软件栈关键执行路径及安全关键点，分析方法也适用于其他类型安全问题。</w:t>
      </w:r>
      <w:bookmarkStart w:id="879" w:name="_Toc25541"/>
      <w:bookmarkStart w:id="880" w:name="_Toc10218"/>
      <w:r>
        <w:rPr>
          <w:rFonts w:hint="eastAsia"/>
        </w:rPr>
        <w:t>本文将安全关键点中记录的安全信息称为安全事件或事件。</w:t>
      </w:r>
    </w:p>
    <w:bookmarkEnd w:id="879"/>
    <w:bookmarkEnd w:id="880"/>
    <w:p>
      <w:pPr>
        <w:pStyle w:val="3"/>
      </w:pPr>
      <w:bookmarkStart w:id="881" w:name="_Toc30790"/>
      <w:bookmarkStart w:id="882" w:name="_Toc24869"/>
      <w:bookmarkStart w:id="883" w:name="_Toc2129"/>
      <w:bookmarkStart w:id="884" w:name="_Toc1598"/>
      <w:bookmarkStart w:id="885" w:name="_Toc29598"/>
      <w:bookmarkStart w:id="886" w:name="_Toc1747"/>
      <w:bookmarkStart w:id="887" w:name="_Toc377"/>
      <w:bookmarkStart w:id="888" w:name="_Toc7230"/>
      <w:bookmarkStart w:id="889" w:name="_Toc3706"/>
      <w:bookmarkStart w:id="890" w:name="_Toc29733"/>
      <w:bookmarkStart w:id="891" w:name="_Toc20540"/>
      <w:bookmarkStart w:id="892" w:name="_Toc23744"/>
      <w:bookmarkStart w:id="893" w:name="_Toc14897"/>
      <w:bookmarkStart w:id="894" w:name="_Toc6460"/>
      <w:bookmarkStart w:id="895" w:name="_Toc6857"/>
      <w:bookmarkStart w:id="896" w:name="_Toc30614"/>
      <w:bookmarkStart w:id="897" w:name="_Toc17844"/>
      <w:bookmarkStart w:id="898" w:name="_Toc12036"/>
      <w:bookmarkStart w:id="899" w:name="_Toc19528"/>
      <w:bookmarkStart w:id="900" w:name="_Toc14566"/>
      <w:r>
        <w:rPr>
          <w:rFonts w:hint="eastAsia"/>
        </w:rPr>
        <w:t>3.1　Enclave接口关键执行路径</w:t>
      </w:r>
      <w:bookmarkEnd w:id="881"/>
      <w:bookmarkEnd w:id="882"/>
      <w:bookmarkEnd w:id="883"/>
      <w:bookmarkEnd w:id="884"/>
      <w:bookmarkEnd w:id="885"/>
      <w:bookmarkEnd w:id="886"/>
    </w:p>
    <w:p>
      <w:pPr>
        <w:ind w:firstLine="480" w:firstLineChars="200"/>
      </w:pPr>
      <w:r>
        <w:rPr>
          <w:rFonts w:hint="eastAsia"/>
        </w:rPr>
        <w:t>分析Enclave接口关键执行路径，能够有效定位SGX架构中不可信环境与可信环境交界面上的安全关键点，为SGX架构安全增强提供着力点。</w:t>
      </w:r>
    </w:p>
    <w:p>
      <w:pPr>
        <w:pStyle w:val="4"/>
      </w:pPr>
      <w:bookmarkStart w:id="901" w:name="_Toc28057"/>
      <w:bookmarkStart w:id="902" w:name="_Toc12691"/>
      <w:bookmarkStart w:id="903" w:name="_Toc10630"/>
      <w:bookmarkStart w:id="904" w:name="_Toc8132"/>
      <w:bookmarkStart w:id="905" w:name="_Toc16533"/>
      <w:bookmarkStart w:id="906" w:name="_Toc14644"/>
      <w:r>
        <w:rPr>
          <w:rFonts w:hint="eastAsia"/>
        </w:rPr>
        <w:t>3.1.1　ECALL进入Enclave</w:t>
      </w:r>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p>
    <w:p>
      <w:pPr>
        <w:ind w:firstLine="480" w:firstLineChars="200"/>
      </w:pPr>
      <w:r>
        <w:rPr>
          <w:rFonts w:hint="eastAsia"/>
        </w:rPr>
        <w:t>不可信环境线程通过ECALL进入Enclave访问Enclave内容，ECALL实现方式包括Ordinary方式和Switchless方式。</w:t>
      </w:r>
    </w:p>
    <w:p>
      <w:pPr>
        <w:ind w:firstLine="480" w:firstLineChars="200"/>
      </w:pPr>
      <w:r>
        <w:rPr>
          <w:rFonts w:hint="eastAsia"/>
        </w:rPr>
        <w:t>Ordinary ECALL代码流程如图3.1所示。位于SGX应用不可信部分的普通线程调用ECALL Stub函数进入uRTS，调用EENTER指令（ENCLU.02H）切换上下文进入tRTS，变成Enclave线程，</w:t>
      </w:r>
      <w:r>
        <w:rPr>
          <w:rFonts w:hint="eastAsia"/>
          <w:lang w:val="en-US" w:eastAsia="zh-CN"/>
        </w:rPr>
        <w:t>最终</w:t>
      </w:r>
      <w:r>
        <w:rPr>
          <w:rFonts w:hint="eastAsia"/>
        </w:rPr>
        <w:t>真正执行开发者编写的ECALL代码。</w:t>
      </w:r>
    </w:p>
    <w:p>
      <w:pPr>
        <w:jc w:val="center"/>
      </w:pPr>
      <w:r>
        <w:rPr>
          <w:rFonts w:hint="eastAsia"/>
        </w:rPr>
        <w:drawing>
          <wp:inline distT="0" distB="0" distL="114300" distR="114300">
            <wp:extent cx="5010150" cy="2710180"/>
            <wp:effectExtent l="0" t="0" r="6350" b="7620"/>
            <wp:docPr id="10" name="图片 10" descr="1617272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17272022(1)"/>
                    <pic:cNvPicPr>
                      <a:picLocks noChangeAspect="1"/>
                    </pic:cNvPicPr>
                  </pic:nvPicPr>
                  <pic:blipFill>
                    <a:blip r:embed="rId47"/>
                    <a:stretch>
                      <a:fillRect/>
                    </a:stretch>
                  </pic:blipFill>
                  <pic:spPr>
                    <a:xfrm>
                      <a:off x="0" y="0"/>
                      <a:ext cx="5010150" cy="2710180"/>
                    </a:xfrm>
                    <a:prstGeom prst="rect">
                      <a:avLst/>
                    </a:prstGeom>
                  </pic:spPr>
                </pic:pic>
              </a:graphicData>
            </a:graphic>
          </wp:inline>
        </w:drawing>
      </w:r>
    </w:p>
    <w:p>
      <w:pPr>
        <w:pStyle w:val="6"/>
      </w:pPr>
      <w:bookmarkStart w:id="907" w:name="_Toc9421"/>
      <w:r>
        <w:rPr>
          <w:b/>
          <w:bCs/>
        </w:rPr>
        <w:t>图</w:t>
      </w:r>
      <w:r>
        <w:rPr>
          <w:rFonts w:hint="eastAsia"/>
          <w:b/>
          <w:bCs/>
        </w:rPr>
        <w:t>3.</w:t>
      </w:r>
      <w:r>
        <w:rPr>
          <w:b/>
          <w:bCs/>
        </w:rPr>
        <w:fldChar w:fldCharType="begin"/>
      </w:r>
      <w:r>
        <w:rPr>
          <w:b/>
          <w:bCs/>
        </w:rPr>
        <w:instrText xml:space="preserve"> SEQ 图 \* ARABIC \s 1 </w:instrText>
      </w:r>
      <w:r>
        <w:rPr>
          <w:b/>
          <w:bCs/>
        </w:rPr>
        <w:fldChar w:fldCharType="separate"/>
      </w:r>
      <w:r>
        <w:rPr>
          <w:b/>
          <w:bCs/>
        </w:rPr>
        <w:t>1</w:t>
      </w:r>
      <w:r>
        <w:rPr>
          <w:b/>
          <w:bCs/>
        </w:rPr>
        <w:fldChar w:fldCharType="end"/>
      </w:r>
      <w:bookmarkStart w:id="908" w:name="_Toc15798"/>
      <w:bookmarkStart w:id="909" w:name="_Toc24028"/>
      <w:bookmarkStart w:id="910" w:name="_Toc6611"/>
      <w:bookmarkStart w:id="911" w:name="_Toc17097"/>
      <w:bookmarkStart w:id="912" w:name="_Toc1948"/>
      <w:bookmarkStart w:id="913" w:name="_Toc24030"/>
      <w:bookmarkStart w:id="914" w:name="_Toc25184"/>
      <w:bookmarkStart w:id="915" w:name="_Toc11668"/>
      <w:bookmarkStart w:id="916" w:name="_Toc10157"/>
      <w:bookmarkStart w:id="917" w:name="_Toc2213"/>
      <w:bookmarkStart w:id="918" w:name="_Toc12742"/>
      <w:bookmarkStart w:id="919" w:name="_Toc25010"/>
      <w:bookmarkStart w:id="920" w:name="_Toc8372"/>
      <w:bookmarkStart w:id="921" w:name="_Toc12304"/>
      <w:bookmarkStart w:id="922" w:name="_Toc27037"/>
      <w:bookmarkStart w:id="923" w:name="_Toc21621"/>
      <w:bookmarkStart w:id="924" w:name="_Toc22813"/>
      <w:bookmarkStart w:id="925" w:name="_Toc7879"/>
      <w:bookmarkStart w:id="926" w:name="_Toc21363"/>
      <w:bookmarkStart w:id="927" w:name="_Toc15996"/>
      <w:bookmarkStart w:id="928" w:name="_Toc20429"/>
      <w:bookmarkStart w:id="929" w:name="_Toc24374"/>
      <w:r>
        <w:rPr>
          <w:rFonts w:hint="eastAsia"/>
        </w:rPr>
        <w:t>　Ordinary ECALL代码流程图</w:t>
      </w:r>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pPr>
        <w:pStyle w:val="6"/>
      </w:pPr>
      <w:r>
        <w:rPr>
          <w:rFonts w:hint="eastAsia"/>
          <w:b/>
          <w:bCs/>
        </w:rPr>
        <w:t>Figure3.1</w:t>
      </w:r>
      <w:r>
        <w:rPr>
          <w:rFonts w:hint="eastAsia"/>
        </w:rPr>
        <w:t>　Flowchart of Ordinary ECALL</w:t>
      </w:r>
    </w:p>
    <w:p>
      <w:pPr>
        <w:ind w:firstLine="480" w:firstLineChars="200"/>
      </w:pPr>
      <w:r>
        <w:rPr>
          <w:rFonts w:hint="eastAsia"/>
        </w:rPr>
        <w:t>Ordinary ECALL的关键在于线程调用EENTER指令切换上下文进入Enclave。在切换上下文时，线程（物理上对应一个CPU核）通过元数据寄存器标记它从普通模式转变为Enclave模式，将不可信上下文的部分内容备份，并将线程上下文完全替换成Enclave内的上下文。</w:t>
      </w:r>
    </w:p>
    <w:p>
      <w:pPr>
        <w:ind w:firstLine="480" w:firstLineChars="200"/>
      </w:pPr>
      <w:r>
        <w:rPr>
          <w:rFonts w:hint="eastAsia"/>
        </w:rPr>
        <w:t>Ordinary方式是最早提出的ECALL方式。为避免Ordinary方式切换上下文带来巨大开销，SGX软件栈新增Switchless方式</w:t>
      </w:r>
      <w:r>
        <w:rPr>
          <w:rFonts w:hint="eastAsia"/>
          <w:vertAlign w:val="superscript"/>
        </w:rPr>
        <w:t>[41,42]</w:t>
      </w:r>
      <w:r>
        <w:rPr>
          <w:rFonts w:hint="eastAsia"/>
        </w:rPr>
        <w:t>。</w:t>
      </w:r>
    </w:p>
    <w:p>
      <w:pPr>
        <w:ind w:firstLine="480" w:firstLineChars="200"/>
      </w:pPr>
      <w:r>
        <w:rPr>
          <w:rFonts w:hint="eastAsia"/>
        </w:rPr>
        <w:t>Switchless ECALL代码流程如图3.2所示。APP不可信部分的普通线程执行Switchless ECALL时，将ECALL封装成任务放到ECALL任务池中，通过信号线（Signal Line）通知tRTS端的TWorker（可信工人线程）提取并代理执行ECALL任务，等待TWorker执行完ECALL任务。如果Switchless ECALL调用者不等待TWorker执行完ECALL任务并继续执行剩余代码，那么程序执行流将不符合开发者预期。</w:t>
      </w:r>
    </w:p>
    <w:p>
      <w:pPr>
        <w:jc w:val="center"/>
      </w:pPr>
      <w:r>
        <w:rPr>
          <w:rFonts w:hint="eastAsia"/>
        </w:rPr>
        <w:drawing>
          <wp:inline distT="0" distB="0" distL="114300" distR="114300">
            <wp:extent cx="5273040" cy="1688465"/>
            <wp:effectExtent l="0" t="0" r="10160" b="635"/>
            <wp:docPr id="12" name="图片 12" descr="1617272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17272207(1)"/>
                    <pic:cNvPicPr>
                      <a:picLocks noChangeAspect="1"/>
                    </pic:cNvPicPr>
                  </pic:nvPicPr>
                  <pic:blipFill>
                    <a:blip r:embed="rId48"/>
                    <a:stretch>
                      <a:fillRect/>
                    </a:stretch>
                  </pic:blipFill>
                  <pic:spPr>
                    <a:xfrm>
                      <a:off x="0" y="0"/>
                      <a:ext cx="5273040" cy="1688465"/>
                    </a:xfrm>
                    <a:prstGeom prst="rect">
                      <a:avLst/>
                    </a:prstGeom>
                  </pic:spPr>
                </pic:pic>
              </a:graphicData>
            </a:graphic>
          </wp:inline>
        </w:drawing>
      </w:r>
    </w:p>
    <w:p>
      <w:pPr>
        <w:pStyle w:val="6"/>
      </w:pPr>
      <w:bookmarkStart w:id="930" w:name="_Toc5119"/>
      <w:bookmarkStart w:id="931" w:name="_Toc30357"/>
      <w:bookmarkStart w:id="932" w:name="_Toc16596"/>
      <w:r>
        <w:rPr>
          <w:b/>
          <w:bCs/>
        </w:rPr>
        <w:t>图</w:t>
      </w:r>
      <w:r>
        <w:rPr>
          <w:rFonts w:hint="eastAsia"/>
          <w:b/>
          <w:bCs/>
        </w:rPr>
        <w:t>3.</w:t>
      </w:r>
      <w:r>
        <w:rPr>
          <w:b/>
          <w:bCs/>
        </w:rPr>
        <w:fldChar w:fldCharType="begin"/>
      </w:r>
      <w:r>
        <w:rPr>
          <w:b/>
          <w:bCs/>
        </w:rPr>
        <w:instrText xml:space="preserve"> SEQ 图 \* ARABIC \s 1 </w:instrText>
      </w:r>
      <w:r>
        <w:rPr>
          <w:b/>
          <w:bCs/>
        </w:rPr>
        <w:fldChar w:fldCharType="separate"/>
      </w:r>
      <w:r>
        <w:rPr>
          <w:b/>
          <w:bCs/>
        </w:rPr>
        <w:t>2</w:t>
      </w:r>
      <w:r>
        <w:rPr>
          <w:b/>
          <w:bCs/>
        </w:rPr>
        <w:fldChar w:fldCharType="end"/>
      </w:r>
      <w:bookmarkStart w:id="933" w:name="_Toc12759"/>
      <w:bookmarkStart w:id="934" w:name="_Toc5848"/>
      <w:bookmarkStart w:id="935" w:name="_Toc23426"/>
      <w:bookmarkStart w:id="936" w:name="_Toc24979"/>
      <w:bookmarkStart w:id="937" w:name="_Toc27120"/>
      <w:bookmarkStart w:id="938" w:name="_Toc24317"/>
      <w:bookmarkStart w:id="939" w:name="_Toc4390"/>
      <w:bookmarkStart w:id="940" w:name="_Toc4907"/>
      <w:bookmarkStart w:id="941" w:name="_Toc21543"/>
      <w:bookmarkStart w:id="942" w:name="_Toc26610"/>
      <w:bookmarkStart w:id="943" w:name="_Toc25977"/>
      <w:bookmarkStart w:id="944" w:name="_Toc25073"/>
      <w:bookmarkStart w:id="945" w:name="_Toc24906"/>
      <w:bookmarkStart w:id="946" w:name="_Toc13988"/>
      <w:bookmarkStart w:id="947" w:name="_Toc18245"/>
      <w:bookmarkStart w:id="948" w:name="_Toc5022"/>
      <w:bookmarkStart w:id="949" w:name="_Toc31374"/>
      <w:bookmarkStart w:id="950" w:name="_Toc13730"/>
      <w:bookmarkStart w:id="951" w:name="_Toc13767"/>
      <w:bookmarkStart w:id="952" w:name="_Toc32215"/>
      <w:bookmarkStart w:id="953" w:name="_Toc6539"/>
      <w:r>
        <w:rPr>
          <w:rFonts w:hint="eastAsia"/>
        </w:rPr>
        <w:t>　Switchless ECALL的代码流程图</w:t>
      </w:r>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p>
    <w:p>
      <w:pPr>
        <w:pStyle w:val="6"/>
      </w:pPr>
      <w:r>
        <w:rPr>
          <w:rFonts w:hint="eastAsia"/>
          <w:b/>
          <w:bCs/>
        </w:rPr>
        <w:t>Figure3.2</w:t>
      </w:r>
      <w:bookmarkStart w:id="954" w:name="OLE_LINK18"/>
      <w:r>
        <w:rPr>
          <w:rFonts w:hint="eastAsia"/>
        </w:rPr>
        <w:t xml:space="preserve">　Flowchart </w:t>
      </w:r>
      <w:bookmarkEnd w:id="954"/>
      <w:r>
        <w:rPr>
          <w:rFonts w:hint="eastAsia"/>
        </w:rPr>
        <w:t>of Switchless ECALL</w:t>
      </w:r>
    </w:p>
    <w:p>
      <w:pPr>
        <w:ind w:firstLine="480" w:firstLineChars="200"/>
      </w:pPr>
      <w:r>
        <w:rPr>
          <w:rFonts w:hint="eastAsia"/>
        </w:rPr>
        <w:t>Switchless ECALL的关键在于有一些预先切换上下文进入Enclave内的TWorkers帮助Switchless ECALL调用者代理完成ECALL任务。TWorkers自身的一次上下文切换，可以避免ECALL调用者N次的上下文切换。根据论文</w:t>
      </w:r>
      <w:r>
        <w:rPr>
          <w:rFonts w:hint="eastAsia"/>
          <w:vertAlign w:val="superscript"/>
        </w:rPr>
        <w:t>[42]</w:t>
      </w:r>
      <w:r>
        <w:rPr>
          <w:rFonts w:hint="eastAsia"/>
        </w:rPr>
        <w:t>的描述，当ECALL/OCALL函数代码量较少且被频繁调用时，占用工人线程带来的性能开销低于上下文切换的性能开销，Switchless方式在性能上会优于Ordinary方式。如公式1所示，当可信代码执行时长与不可信代码执行时长之和等于上下文切换时长时，两种方式的性能相同。</w:t>
      </w:r>
    </w:p>
    <w:p>
      <w:pPr>
        <w:ind w:firstLine="480" w:firstLineChars="200"/>
        <w:jc w:val="center"/>
      </w:pPr>
      <w:r>
        <w:rPr>
          <w:rFonts w:hint="eastAsia"/>
        </w:rPr>
        <w:object>
          <v:shape id="_x0000_i1025" o:spt="75" type="#_x0000_t75" style="height:34pt;width:323pt;" o:ole="t" filled="f" o:preferrelative="t" stroked="f" coordsize="21600,21600">
            <v:path/>
            <v:fill on="f" focussize="0,0"/>
            <v:stroke on="f" joinstyle="miter"/>
            <v:imagedata r:id="rId50" embosscolor="#FFFFFF" o:title=""/>
            <o:lock v:ext="edit" aspectratio="t"/>
            <w10:wrap type="none"/>
            <w10:anchorlock/>
          </v:shape>
          <o:OLEObject Type="Embed" ProgID="Equation.KSEE3" ShapeID="_x0000_i1025" DrawAspect="Content" ObjectID="_1468075725" r:id="rId49">
            <o:LockedField>false</o:LockedField>
          </o:OLEObject>
        </w:object>
      </w:r>
      <w:r>
        <w:rPr>
          <w:rFonts w:hint="eastAsia"/>
        </w:rPr>
        <w:t xml:space="preserve">         (1)</w:t>
      </w:r>
    </w:p>
    <w:p>
      <w:pPr>
        <w:ind w:firstLine="480" w:firstLineChars="200"/>
      </w:pPr>
      <w:r>
        <w:t>“</w:t>
      </w:r>
      <w:r>
        <w:rPr>
          <w:rFonts w:hint="eastAsia"/>
        </w:rPr>
        <w:t>Switchless/Ordinary ECALL</w:t>
      </w:r>
      <w:r>
        <w:t>”</w:t>
      </w:r>
      <w:r>
        <w:rPr>
          <w:rFonts w:hint="eastAsia"/>
        </w:rPr>
        <w:t>中攻击者能通过恶意传参等方法攻击Enclave。</w:t>
      </w:r>
      <w:r>
        <w:t>“</w:t>
      </w:r>
      <w:r>
        <w:rPr>
          <w:rFonts w:hint="eastAsia"/>
        </w:rPr>
        <w:t>Switchless/Ordinary ECALL</w:t>
      </w:r>
      <w:r>
        <w:t>”</w:t>
      </w:r>
      <w:r>
        <w:rPr>
          <w:rFonts w:hint="eastAsia"/>
        </w:rPr>
        <w:t>是一个安全关键点，对此在其tRTS端（确保环境位置可信）插桩代码审计检查“ECALL进入Enclave”相关事件，审计检查</w:t>
      </w:r>
      <w:bookmarkStart w:id="955" w:name="OLE_LINK4"/>
      <w:r>
        <w:rPr>
          <w:rFonts w:hint="eastAsia"/>
        </w:rPr>
        <w:t>的安全事件信息包括寄存器、ECALL名、ECALL序号、ECALL方向、</w:t>
      </w:r>
      <w:bookmarkStart w:id="956" w:name="OLE_LINK6"/>
      <w:r>
        <w:rPr>
          <w:rFonts w:hint="eastAsia"/>
        </w:rPr>
        <w:t>Ordinary/Switchless</w:t>
      </w:r>
      <w:bookmarkEnd w:id="956"/>
      <w:r>
        <w:rPr>
          <w:rFonts w:hint="eastAsia"/>
        </w:rPr>
        <w:t>和传参等。</w:t>
      </w:r>
      <w:bookmarkEnd w:id="955"/>
    </w:p>
    <w:p>
      <w:pPr>
        <w:pStyle w:val="4"/>
      </w:pPr>
      <w:bookmarkStart w:id="957" w:name="_Toc25649"/>
      <w:bookmarkStart w:id="958" w:name="_Toc31168"/>
      <w:bookmarkStart w:id="959" w:name="_Toc8356"/>
      <w:bookmarkStart w:id="960" w:name="_Toc29855"/>
      <w:bookmarkStart w:id="961" w:name="_Toc8815"/>
      <w:bookmarkStart w:id="962" w:name="_Toc11228"/>
      <w:bookmarkStart w:id="963" w:name="_Toc24157"/>
      <w:bookmarkStart w:id="964" w:name="_Toc24780"/>
      <w:bookmarkStart w:id="965" w:name="_Toc27298"/>
      <w:bookmarkStart w:id="966" w:name="_Toc30108"/>
      <w:bookmarkStart w:id="967" w:name="_Toc9929"/>
      <w:bookmarkStart w:id="968" w:name="_Toc4452"/>
      <w:bookmarkStart w:id="969" w:name="_Toc3043"/>
      <w:bookmarkStart w:id="970" w:name="_Toc3477"/>
      <w:bookmarkStart w:id="971" w:name="_Toc31642"/>
      <w:bookmarkStart w:id="972" w:name="_Toc26466"/>
      <w:bookmarkStart w:id="973" w:name="_Toc13779"/>
      <w:bookmarkStart w:id="974" w:name="_Toc23104"/>
      <w:bookmarkStart w:id="975" w:name="_Toc4379"/>
      <w:bookmarkStart w:id="976" w:name="_Toc26161"/>
      <w:r>
        <w:rPr>
          <w:rFonts w:hint="eastAsia"/>
        </w:rPr>
        <w:t>3.1.2　ECALL结束退出Enclave</w:t>
      </w:r>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p>
    <w:p>
      <w:pPr>
        <w:ind w:firstLine="480" w:firstLineChars="200"/>
      </w:pPr>
      <w:r>
        <w:rPr>
          <w:rFonts w:hint="eastAsia"/>
        </w:rPr>
        <w:t>ECALL执行完后，控制流会回到ECALL调用者的下一行代码。Ordinary ECALL和Switchless ECALL的结束过程描述如下。</w:t>
      </w:r>
    </w:p>
    <w:p>
      <w:pPr>
        <w:ind w:firstLine="480" w:firstLineChars="200"/>
      </w:pPr>
      <w:r>
        <w:rPr>
          <w:rFonts w:hint="eastAsia"/>
        </w:rPr>
        <w:t>Ordinary ECALL结束过程。ECALL执行完后，线程从tRTS端Stub逐级返回并清理上下文信息，调用EEXIT指令切换上下文返回uRTS端，将控制流归还给ECALL调用者。</w:t>
      </w:r>
    </w:p>
    <w:p>
      <w:pPr>
        <w:ind w:firstLine="480" w:firstLineChars="200"/>
      </w:pPr>
      <w:r>
        <w:rPr>
          <w:rFonts w:hint="eastAsia"/>
        </w:rPr>
        <w:t>Switchless ECALL结束过程。TWorker执行完ECALL后，将函数执行结果放回到ECALL任务池中，通知Switchless ECALL调用者ECALL任务已执行完。Switchless ECALL调用者停止等待并执行后续代码。TWorker空转等待Switchless ECALL调用者提交新任务，若空转次数超过（默认20000次）阈值（即一定时间内没有新的ECALL任务）就返回tRTS，睡眠等待新的ECALL任务。当有新的ECALL任务时，TWorker重新进入Enclave并代理执行ECALL任务。</w:t>
      </w:r>
    </w:p>
    <w:p>
      <w:pPr>
        <w:ind w:firstLine="480" w:firstLineChars="200"/>
      </w:pPr>
      <w:r>
        <w:t>“</w:t>
      </w:r>
      <w:r>
        <w:rPr>
          <w:rFonts w:hint="eastAsia"/>
        </w:rPr>
        <w:t>Switchless/Ordinary ECALL返回</w:t>
      </w:r>
      <w:r>
        <w:t>”</w:t>
      </w:r>
      <w:r>
        <w:rPr>
          <w:rFonts w:hint="eastAsia"/>
        </w:rPr>
        <w:t>中，攻击者能恶意泄露Enclave内敏感内容及构建非法调用</w:t>
      </w:r>
      <w:r>
        <w:rPr>
          <w:rFonts w:hint="eastAsia"/>
          <w:lang w:val="en-US" w:eastAsia="zh-CN"/>
        </w:rPr>
        <w:t>顺序</w:t>
      </w:r>
      <w:r>
        <w:rPr>
          <w:rFonts w:hint="eastAsia"/>
        </w:rPr>
        <w:t>等。</w:t>
      </w:r>
      <w:r>
        <w:t>“</w:t>
      </w:r>
      <w:r>
        <w:rPr>
          <w:rFonts w:hint="eastAsia"/>
        </w:rPr>
        <w:t>Switchless/Ordinary ECALL返回</w:t>
      </w:r>
      <w:r>
        <w:t>”</w:t>
      </w:r>
      <w:r>
        <w:rPr>
          <w:rFonts w:hint="eastAsia"/>
        </w:rPr>
        <w:t>是一个安全关键点，对此在其tRTS端插桩代码审计检查“ECALL结束退出Enclave”相关事件，可审计检查的</w:t>
      </w:r>
      <w:bookmarkStart w:id="977" w:name="OLE_LINK2"/>
      <w:r>
        <w:rPr>
          <w:rFonts w:hint="eastAsia"/>
        </w:rPr>
        <w:t>安全事件</w:t>
      </w:r>
      <w:bookmarkEnd w:id="977"/>
      <w:r>
        <w:rPr>
          <w:rFonts w:hint="eastAsia"/>
        </w:rPr>
        <w:t>信息包括寄存器、ECALL名、ECALL序号、ECALL方向、Ordinary/Switchless和返回值等。</w:t>
      </w:r>
    </w:p>
    <w:p>
      <w:pPr>
        <w:pStyle w:val="4"/>
      </w:pPr>
      <w:bookmarkStart w:id="978" w:name="_Toc3092"/>
      <w:bookmarkStart w:id="979" w:name="_Toc17208"/>
      <w:bookmarkStart w:id="980" w:name="_Toc14915"/>
      <w:bookmarkStart w:id="981" w:name="_Toc1233"/>
      <w:bookmarkStart w:id="982" w:name="_Toc8341"/>
      <w:bookmarkStart w:id="983" w:name="_Toc14956"/>
      <w:bookmarkStart w:id="984" w:name="_Toc591"/>
      <w:bookmarkStart w:id="985" w:name="_Toc21377"/>
      <w:bookmarkStart w:id="986" w:name="_Toc14596"/>
      <w:bookmarkStart w:id="987" w:name="_Toc26437"/>
      <w:bookmarkStart w:id="988" w:name="_Toc22983"/>
      <w:bookmarkStart w:id="989" w:name="_Toc27699"/>
      <w:bookmarkStart w:id="990" w:name="_Toc10647"/>
      <w:bookmarkStart w:id="991" w:name="_Toc9527"/>
      <w:bookmarkStart w:id="992" w:name="_Toc25118"/>
      <w:bookmarkStart w:id="993" w:name="_Toc4461"/>
      <w:bookmarkStart w:id="994" w:name="_Toc16955"/>
      <w:bookmarkStart w:id="995" w:name="_Toc12604"/>
      <w:bookmarkStart w:id="996" w:name="_Toc22245"/>
      <w:bookmarkStart w:id="997" w:name="_Toc10098"/>
      <w:r>
        <w:rPr>
          <w:rFonts w:hint="eastAsia"/>
        </w:rPr>
        <w:t>3.1.3　OCALL离开Enclave及OCALL结束返回Enclave</w:t>
      </w:r>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p>
    <w:p>
      <w:pPr>
        <w:ind w:firstLine="480" w:firstLineChars="200"/>
      </w:pPr>
      <w:r>
        <w:rPr>
          <w:rFonts w:hint="eastAsia"/>
        </w:rPr>
        <w:t>Enclave内部无法实现部分功能（系统调用和CPUID指令等），但能通过OCALL调用Enclave外提供的功能。</w:t>
      </w:r>
    </w:p>
    <w:p>
      <w:pPr>
        <w:ind w:firstLine="480" w:firstLineChars="200"/>
      </w:pPr>
      <w:r>
        <w:rPr>
          <w:rFonts w:hint="eastAsia"/>
        </w:rPr>
        <w:t xml:space="preserve">“OCALL离开Enclave”在形式上与“ECALL进入Enclave”类似，但方向和目的相反，OCALL方式包括Ordinary方式和Switchless方式。Ordinary </w:t>
      </w:r>
      <w:bookmarkStart w:id="998" w:name="OLE_LINK5"/>
      <w:r>
        <w:rPr>
          <w:rFonts w:hint="eastAsia"/>
        </w:rPr>
        <w:t>OCALL</w:t>
      </w:r>
      <w:bookmarkEnd w:id="998"/>
      <w:r>
        <w:rPr>
          <w:rFonts w:hint="eastAsia"/>
        </w:rPr>
        <w:t>中，Enclave内线程调用EEXIT指令切换上下文</w:t>
      </w:r>
      <w:r>
        <w:t>前往</w:t>
      </w:r>
      <w:r>
        <w:rPr>
          <w:rFonts w:hint="eastAsia"/>
        </w:rPr>
        <w:t>Enclave外执行不可信函数。Switchless OCALL中，Enclave内线程将OCALL任务交给Enclave外的不可信工人线程UWorker代理执行。</w:t>
      </w:r>
    </w:p>
    <w:p>
      <w:pPr>
        <w:ind w:firstLine="480" w:firstLineChars="200"/>
      </w:pPr>
      <w:r>
        <w:rPr>
          <w:rFonts w:hint="eastAsia"/>
        </w:rPr>
        <w:t>由于ECALL内可以调用OCALL及OCALL内可以调用ECALL，Enclave线程栈中会出现ECALL栈帧和OCALL栈帧堆叠的情况（即嵌套调用）。</w:t>
      </w:r>
    </w:p>
    <w:p>
      <w:pPr>
        <w:ind w:firstLine="480" w:firstLineChars="200"/>
      </w:pPr>
      <w:r>
        <w:rPr>
          <w:rFonts w:hint="eastAsia"/>
        </w:rPr>
        <w:t>“OCALL结束返回Enclave”在形式上与“ECALL结束退出Enclave”类似，但方向和目的相反。由于OCALL返回值能被不可信环境篡改，Enclave需要基于先验知识检查不可信的OCALL返回值。</w:t>
      </w:r>
    </w:p>
    <w:p>
      <w:pPr>
        <w:ind w:firstLine="480" w:firstLineChars="200"/>
      </w:pPr>
      <w:bookmarkStart w:id="999" w:name="OLE_LINK8"/>
      <w:r>
        <w:rPr>
          <w:rFonts w:hint="eastAsia"/>
        </w:rPr>
        <w:t>在“OCALL离开Enclave”及“OCALL结束返回Enclave”中，攻击者能恶意输入数据、恶意泄露Enclave内容及构建非法调用</w:t>
      </w:r>
      <w:r>
        <w:rPr>
          <w:rFonts w:hint="eastAsia"/>
          <w:lang w:val="en-US" w:eastAsia="zh-CN"/>
        </w:rPr>
        <w:t>顺序</w:t>
      </w:r>
      <w:r>
        <w:rPr>
          <w:rFonts w:hint="eastAsia"/>
        </w:rPr>
        <w:t>等。“OCALL离开Enclave”及“OCALL结束返回Enclave”是安全关键点，对此在其tRTS端插桩代码审计检查“OCALL离开Enclave”及“OCALL结束返回Enclave”相关事件，可审计检查的安全事件信息包括寄存器、OCALL名、OCALL序号、OCALL方向、Ordinary/Switchless、传参和返回值等。</w:t>
      </w:r>
    </w:p>
    <w:bookmarkEnd w:id="999"/>
    <w:p>
      <w:pPr>
        <w:pStyle w:val="4"/>
      </w:pPr>
      <w:bookmarkStart w:id="1000" w:name="_Toc12614"/>
      <w:bookmarkStart w:id="1001" w:name="_Toc518"/>
      <w:bookmarkStart w:id="1002" w:name="_Toc21138"/>
      <w:bookmarkStart w:id="1003" w:name="_Toc8342"/>
      <w:bookmarkStart w:id="1004" w:name="_Toc18542"/>
      <w:bookmarkStart w:id="1005" w:name="_Toc191"/>
      <w:bookmarkStart w:id="1006" w:name="_Toc14847"/>
      <w:bookmarkStart w:id="1007" w:name="_Toc16797"/>
      <w:bookmarkStart w:id="1008" w:name="_Toc16283"/>
      <w:bookmarkStart w:id="1009" w:name="_Toc15357"/>
      <w:bookmarkStart w:id="1010" w:name="_Toc10032"/>
      <w:bookmarkStart w:id="1011" w:name="_Toc16884"/>
      <w:bookmarkStart w:id="1012" w:name="_Toc18767"/>
      <w:bookmarkStart w:id="1013" w:name="_Toc27590"/>
      <w:bookmarkStart w:id="1014" w:name="_Toc29685"/>
      <w:bookmarkStart w:id="1015" w:name="_Toc8961"/>
      <w:bookmarkStart w:id="1016" w:name="_Toc30758"/>
      <w:bookmarkStart w:id="1017" w:name="_Toc7083"/>
      <w:bookmarkStart w:id="1018" w:name="_Toc20712"/>
      <w:bookmarkStart w:id="1019" w:name="_Toc8201"/>
      <w:r>
        <w:rPr>
          <w:rFonts w:hint="eastAsia"/>
        </w:rPr>
        <w:t>3.1.4　AEX离开Enclave及异常处理完成返回Enclave</w:t>
      </w:r>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p>
    <w:p>
      <w:pPr>
        <w:ind w:firstLine="480" w:firstLineChars="200"/>
      </w:pPr>
      <w:r>
        <w:rPr>
          <w:rFonts w:hint="eastAsia"/>
        </w:rPr>
        <w:t>Enclave异常处理流程与传统异常处理流程不同。非SGX应用中出现异常时，CPU立即让OS完成异常处理。而Enclave中出现异常时，CPU首先执行AEX（Asynchronous Enclave Exit，异步Enclave退出），AEX将Enclave上下文保存到SSA（State Save Area，状态保存区域，异常处理完成返回Enclave时从SSA中恢复上下文），切换上下文退出Enclave，进入内核态执行内核态异常处理句柄。AEX中包含Enclave内到Enclave外的切换及Ring3到Ring0的切换。AEX</w:t>
      </w:r>
      <w:r>
        <w:rPr>
          <w:rFonts w:hint="eastAsia"/>
          <w:lang w:val="en-US" w:eastAsia="zh-CN"/>
        </w:rPr>
        <w:t>保护</w:t>
      </w:r>
      <w:r>
        <w:rPr>
          <w:rFonts w:hint="eastAsia"/>
        </w:rPr>
        <w:t>Enclave信息在中断</w:t>
      </w:r>
      <w:r>
        <w:rPr>
          <w:rFonts w:hint="eastAsia"/>
          <w:lang w:val="en-US" w:eastAsia="zh-CN"/>
        </w:rPr>
        <w:t>时</w:t>
      </w:r>
      <w:r>
        <w:rPr>
          <w:rFonts w:hint="eastAsia"/>
        </w:rPr>
        <w:t>不被泄露。AEX及异常处理流程如下图3.3所示。</w:t>
      </w:r>
    </w:p>
    <w:p>
      <w:pPr>
        <w:numPr>
          <w:ilvl w:val="0"/>
          <w:numId w:val="13"/>
        </w:numPr>
        <w:ind w:left="845"/>
      </w:pPr>
      <w:r>
        <w:rPr>
          <w:rFonts w:hint="eastAsia"/>
        </w:rPr>
        <w:t>AEX及进入内核异常处理句柄。</w:t>
      </w:r>
    </w:p>
    <w:p>
      <w:pPr>
        <w:numPr>
          <w:ilvl w:val="0"/>
          <w:numId w:val="13"/>
        </w:numPr>
        <w:ind w:left="845"/>
      </w:pPr>
      <w:r>
        <w:rPr>
          <w:rFonts w:hint="eastAsia"/>
        </w:rPr>
        <w:t>若内核无法处理异常，会发出Signal告知用户态。位于用户态的uRTS针对SIGSEGV、SIGFPE、SIGILL、SIGBUS和SIGTRAP五种信号注册了信号处理句柄。</w:t>
      </w:r>
    </w:p>
    <w:p>
      <w:pPr>
        <w:numPr>
          <w:ilvl w:val="0"/>
          <w:numId w:val="13"/>
        </w:numPr>
        <w:ind w:left="845"/>
      </w:pPr>
      <w:r>
        <w:rPr>
          <w:rFonts w:hint="eastAsia"/>
        </w:rPr>
        <w:t>信号处理句柄中，线程以ECMD_EXCEPT标记调用EENTER指令进入tRTS，线程栈包含两个ECALL栈帧，普通ECALL栈帧和ECMD_EXCEPT ECALL栈帧。</w:t>
      </w:r>
    </w:p>
    <w:p>
      <w:pPr>
        <w:numPr>
          <w:ilvl w:val="0"/>
          <w:numId w:val="13"/>
        </w:numPr>
        <w:ind w:left="845"/>
      </w:pPr>
      <w:r>
        <w:rPr>
          <w:rFonts w:hint="eastAsia"/>
        </w:rPr>
        <w:t>线程在tRTS端处理完异常后调用EEXIT指令退回到信号处理句柄。</w:t>
      </w:r>
    </w:p>
    <w:p>
      <w:pPr>
        <w:numPr>
          <w:ilvl w:val="0"/>
          <w:numId w:val="13"/>
        </w:numPr>
        <w:ind w:left="845"/>
      </w:pPr>
      <w:r>
        <w:rPr>
          <w:rFonts w:hint="eastAsia"/>
        </w:rPr>
        <w:t>信号处理句柄完成相关操作后返回到内核错误句柄。</w:t>
      </w:r>
    </w:p>
    <w:p>
      <w:pPr>
        <w:numPr>
          <w:ilvl w:val="0"/>
          <w:numId w:val="13"/>
        </w:numPr>
        <w:ind w:left="845"/>
      </w:pPr>
      <w:r>
        <w:rPr>
          <w:rFonts w:hint="eastAsia"/>
        </w:rPr>
        <w:t>内核错误句柄通过IRET（Interrupt Return）返回到AEP。返回到AEP的原因是AEX时将AEP赋值给内核栈中的RIP。</w:t>
      </w:r>
    </w:p>
    <w:p>
      <w:pPr>
        <w:numPr>
          <w:ilvl w:val="0"/>
          <w:numId w:val="13"/>
        </w:numPr>
        <w:ind w:left="845"/>
      </w:pPr>
      <w:r>
        <w:rPr>
          <w:rFonts w:hint="eastAsia"/>
        </w:rPr>
        <w:t>AEP调用ERESUME指令回到Enclave，从中断处继续执行代码。</w:t>
      </w:r>
    </w:p>
    <w:p>
      <w:pPr>
        <w:jc w:val="center"/>
      </w:pPr>
      <w:r>
        <w:rPr>
          <w:rFonts w:hint="eastAsia"/>
        </w:rPr>
        <w:drawing>
          <wp:inline distT="0" distB="0" distL="114300" distR="114300">
            <wp:extent cx="5271135" cy="2901950"/>
            <wp:effectExtent l="0" t="0" r="12065" b="6350"/>
            <wp:docPr id="13" name="图片 13" descr="1617272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17272865(1)"/>
                    <pic:cNvPicPr>
                      <a:picLocks noChangeAspect="1"/>
                    </pic:cNvPicPr>
                  </pic:nvPicPr>
                  <pic:blipFill>
                    <a:blip r:embed="rId51"/>
                    <a:stretch>
                      <a:fillRect/>
                    </a:stretch>
                  </pic:blipFill>
                  <pic:spPr>
                    <a:xfrm>
                      <a:off x="0" y="0"/>
                      <a:ext cx="5271135" cy="2901950"/>
                    </a:xfrm>
                    <a:prstGeom prst="rect">
                      <a:avLst/>
                    </a:prstGeom>
                  </pic:spPr>
                </pic:pic>
              </a:graphicData>
            </a:graphic>
          </wp:inline>
        </w:drawing>
      </w:r>
    </w:p>
    <w:p>
      <w:pPr>
        <w:pStyle w:val="6"/>
      </w:pPr>
      <w:bookmarkStart w:id="1020" w:name="_Toc21010"/>
      <w:bookmarkStart w:id="1021" w:name="_Toc20049"/>
      <w:bookmarkStart w:id="1022" w:name="_Toc24210"/>
      <w:r>
        <w:rPr>
          <w:b/>
          <w:bCs/>
        </w:rPr>
        <w:t>图</w:t>
      </w:r>
      <w:r>
        <w:rPr>
          <w:rFonts w:hint="eastAsia"/>
          <w:b/>
          <w:bCs/>
        </w:rPr>
        <w:t>3.</w:t>
      </w:r>
      <w:r>
        <w:rPr>
          <w:b/>
          <w:bCs/>
        </w:rPr>
        <w:fldChar w:fldCharType="begin"/>
      </w:r>
      <w:r>
        <w:rPr>
          <w:b/>
          <w:bCs/>
        </w:rPr>
        <w:instrText xml:space="preserve"> SEQ 图 \* ARABIC \s 1 </w:instrText>
      </w:r>
      <w:r>
        <w:rPr>
          <w:b/>
          <w:bCs/>
        </w:rPr>
        <w:fldChar w:fldCharType="separate"/>
      </w:r>
      <w:r>
        <w:rPr>
          <w:b/>
          <w:bCs/>
        </w:rPr>
        <w:t>3</w:t>
      </w:r>
      <w:r>
        <w:rPr>
          <w:b/>
          <w:bCs/>
        </w:rPr>
        <w:fldChar w:fldCharType="end"/>
      </w:r>
      <w:bookmarkStart w:id="1023" w:name="_Toc9597"/>
      <w:bookmarkStart w:id="1024" w:name="_Toc2236"/>
      <w:bookmarkStart w:id="1025" w:name="_Toc9063"/>
      <w:bookmarkStart w:id="1026" w:name="_Toc20752"/>
      <w:bookmarkStart w:id="1027" w:name="_Toc29292"/>
      <w:bookmarkStart w:id="1028" w:name="_Toc2759"/>
      <w:bookmarkStart w:id="1029" w:name="_Toc15068"/>
      <w:bookmarkStart w:id="1030" w:name="_Toc14176"/>
      <w:bookmarkStart w:id="1031" w:name="_Toc13228"/>
      <w:bookmarkStart w:id="1032" w:name="_Toc26786"/>
      <w:bookmarkStart w:id="1033" w:name="_Toc17992"/>
      <w:bookmarkStart w:id="1034" w:name="_Toc24039"/>
      <w:bookmarkStart w:id="1035" w:name="_Toc18437"/>
      <w:bookmarkStart w:id="1036" w:name="_Toc15340"/>
      <w:bookmarkStart w:id="1037" w:name="_Toc2638"/>
      <w:bookmarkStart w:id="1038" w:name="_Toc27420"/>
      <w:bookmarkStart w:id="1039" w:name="_Toc17131"/>
      <w:bookmarkStart w:id="1040" w:name="_Toc2485"/>
      <w:bookmarkStart w:id="1041" w:name="_Toc30753"/>
      <w:bookmarkStart w:id="1042" w:name="_Toc14007"/>
      <w:bookmarkStart w:id="1043" w:name="_Toc6342"/>
      <w:r>
        <w:rPr>
          <w:rFonts w:hint="eastAsia"/>
        </w:rPr>
        <w:t>　AEX及异常处理流程图</w:t>
      </w:r>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pPr>
        <w:pStyle w:val="6"/>
      </w:pPr>
      <w:r>
        <w:rPr>
          <w:rFonts w:hint="eastAsia"/>
          <w:b/>
          <w:bCs/>
        </w:rPr>
        <w:t>Figure3.3</w:t>
      </w:r>
      <w:r>
        <w:rPr>
          <w:rFonts w:hint="eastAsia"/>
        </w:rPr>
        <w:t>　Flowchart of AEX and exception handling</w:t>
      </w:r>
    </w:p>
    <w:p>
      <w:pPr>
        <w:ind w:firstLine="480" w:firstLineChars="200"/>
      </w:pPr>
      <w:r>
        <w:rPr>
          <w:rFonts w:hint="eastAsia"/>
        </w:rPr>
        <w:t>“AEX离开Enclave”及“异常处理完成返回Enclave”是重要的安全关键点，但现有防御方案并未深入分析。对此，在AEX触发处和tRTS异常处理句柄处插桩代码审计检查“AEX离开Enclave”及“异常处理完成返回Enclave”相关事件，可审计检查的安全事件信息包括寄存器、异常相关信息和AEX方向等。</w:t>
      </w:r>
    </w:p>
    <w:p>
      <w:pPr>
        <w:pStyle w:val="3"/>
      </w:pPr>
      <w:bookmarkStart w:id="1044" w:name="_Toc30911"/>
      <w:bookmarkStart w:id="1045" w:name="_Toc84"/>
      <w:bookmarkStart w:id="1046" w:name="_Toc26134"/>
      <w:bookmarkStart w:id="1047" w:name="_Toc18507"/>
      <w:bookmarkStart w:id="1048" w:name="_Toc29106"/>
      <w:bookmarkStart w:id="1049" w:name="_Toc5804"/>
      <w:bookmarkStart w:id="1050" w:name="_Toc4872"/>
      <w:bookmarkStart w:id="1051" w:name="_Toc22448"/>
      <w:bookmarkStart w:id="1052" w:name="_Toc8922"/>
      <w:bookmarkStart w:id="1053" w:name="_Toc17292"/>
      <w:bookmarkStart w:id="1054" w:name="_Toc3981"/>
      <w:bookmarkStart w:id="1055" w:name="_Toc8346"/>
      <w:bookmarkStart w:id="1056" w:name="_Toc30742"/>
      <w:bookmarkStart w:id="1057" w:name="_Toc15885"/>
      <w:bookmarkStart w:id="1058" w:name="_Toc22725"/>
      <w:bookmarkStart w:id="1059" w:name="_Toc20076"/>
      <w:bookmarkStart w:id="1060" w:name="_Toc23972"/>
      <w:bookmarkStart w:id="1061" w:name="_Toc24681"/>
      <w:bookmarkStart w:id="1062" w:name="_Toc14719"/>
      <w:bookmarkStart w:id="1063" w:name="_Toc11585"/>
      <w:r>
        <w:rPr>
          <w:rFonts w:hint="eastAsia"/>
        </w:rPr>
        <w:t>3.2　其他关键执行路径</w:t>
      </w:r>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pPr>
        <w:ind w:firstLine="480" w:firstLineChars="200"/>
      </w:pPr>
      <w:r>
        <w:rPr>
          <w:rFonts w:hint="eastAsia"/>
        </w:rPr>
        <w:t>除Enclave接口外对其它关键执行路径进行分析，提取其中的安全关键点，进一步增强SGX架构安全。例如，密封文件、加密信道和认证过程等是tRTS向Enclave提供的安全服务机制，它们的关键执行路径中存在安全关键点，需要安全加固。</w:t>
      </w:r>
    </w:p>
    <w:p>
      <w:pPr>
        <w:ind w:firstLine="480" w:firstLineChars="200"/>
      </w:pPr>
      <w:r>
        <w:rPr>
          <w:rFonts w:hint="eastAsia"/>
        </w:rPr>
        <w:t>tRTS中受保护文件系统库向Enclave提供密封文件功能。如图3.4所示，不可信线程进入Enclave后，通过受保护文件系统库完成文件密封操作。tRTS将文件加密，通过OCALL让uRTS将加密文件存储到不可信外存中。</w:t>
      </w:r>
    </w:p>
    <w:p>
      <w:pPr>
        <w:jc w:val="center"/>
      </w:pPr>
      <w:r>
        <w:drawing>
          <wp:inline distT="0" distB="0" distL="114300" distR="114300">
            <wp:extent cx="4669155" cy="3958590"/>
            <wp:effectExtent l="0" t="0" r="444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2"/>
                    <a:stretch>
                      <a:fillRect/>
                    </a:stretch>
                  </pic:blipFill>
                  <pic:spPr>
                    <a:xfrm>
                      <a:off x="0" y="0"/>
                      <a:ext cx="4669155" cy="3958590"/>
                    </a:xfrm>
                    <a:prstGeom prst="rect">
                      <a:avLst/>
                    </a:prstGeom>
                    <a:noFill/>
                    <a:ln>
                      <a:noFill/>
                    </a:ln>
                  </pic:spPr>
                </pic:pic>
              </a:graphicData>
            </a:graphic>
          </wp:inline>
        </w:drawing>
      </w:r>
    </w:p>
    <w:p>
      <w:pPr>
        <w:pStyle w:val="6"/>
      </w:pPr>
      <w:bookmarkStart w:id="1064" w:name="_Toc18184"/>
      <w:bookmarkStart w:id="1065" w:name="_Toc9675"/>
      <w:bookmarkStart w:id="1066" w:name="_Toc24184"/>
      <w:r>
        <w:rPr>
          <w:b/>
          <w:bCs/>
        </w:rPr>
        <w:t>图</w:t>
      </w:r>
      <w:r>
        <w:rPr>
          <w:rFonts w:hint="eastAsia"/>
          <w:b/>
          <w:bCs/>
        </w:rPr>
        <w:t>3.</w:t>
      </w:r>
      <w:r>
        <w:rPr>
          <w:b/>
          <w:bCs/>
        </w:rPr>
        <w:fldChar w:fldCharType="begin"/>
      </w:r>
      <w:r>
        <w:rPr>
          <w:b/>
          <w:bCs/>
        </w:rPr>
        <w:instrText xml:space="preserve"> SEQ 图 \* ARABIC \s 1 </w:instrText>
      </w:r>
      <w:r>
        <w:rPr>
          <w:b/>
          <w:bCs/>
        </w:rPr>
        <w:fldChar w:fldCharType="separate"/>
      </w:r>
      <w:r>
        <w:rPr>
          <w:b/>
          <w:bCs/>
        </w:rPr>
        <w:t>4</w:t>
      </w:r>
      <w:r>
        <w:rPr>
          <w:b/>
          <w:bCs/>
        </w:rPr>
        <w:fldChar w:fldCharType="end"/>
      </w:r>
      <w:bookmarkStart w:id="1067" w:name="_Toc23305"/>
      <w:bookmarkStart w:id="1068" w:name="_Toc7842"/>
      <w:bookmarkStart w:id="1069" w:name="_Toc11147"/>
      <w:bookmarkStart w:id="1070" w:name="_Toc16132"/>
      <w:bookmarkStart w:id="1071" w:name="_Toc16399"/>
      <w:bookmarkStart w:id="1072" w:name="_Toc20964"/>
      <w:bookmarkStart w:id="1073" w:name="_Toc22625"/>
      <w:bookmarkStart w:id="1074" w:name="_Toc26284"/>
      <w:bookmarkStart w:id="1075" w:name="_Toc8825"/>
      <w:bookmarkStart w:id="1076" w:name="_Toc26358"/>
      <w:bookmarkStart w:id="1077" w:name="_Toc9601"/>
      <w:bookmarkStart w:id="1078" w:name="_Toc28557"/>
      <w:bookmarkStart w:id="1079" w:name="_Toc30028"/>
      <w:bookmarkStart w:id="1080" w:name="_Toc12078"/>
      <w:bookmarkStart w:id="1081" w:name="_Toc19358"/>
      <w:bookmarkStart w:id="1082" w:name="_Toc21530"/>
      <w:bookmarkStart w:id="1083" w:name="_Toc5467"/>
      <w:bookmarkStart w:id="1084" w:name="_Toc3395"/>
      <w:bookmarkStart w:id="1085" w:name="_Toc31223"/>
      <w:bookmarkStart w:id="1086" w:name="_Toc21252"/>
      <w:bookmarkStart w:id="1087" w:name="_Toc6335"/>
      <w:r>
        <w:rPr>
          <w:rFonts w:hint="eastAsia"/>
        </w:rPr>
        <w:t>　受保护文件系统布局</w:t>
      </w:r>
      <w:r>
        <w:rPr>
          <w:rFonts w:hint="eastAsia"/>
          <w:vertAlign w:val="superscript"/>
        </w:rPr>
        <w:t>[4]</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pPr>
        <w:pStyle w:val="6"/>
      </w:pPr>
      <w:r>
        <w:rPr>
          <w:rFonts w:hint="eastAsia"/>
          <w:b/>
          <w:bCs/>
        </w:rPr>
        <w:t>Figure3.4</w:t>
      </w:r>
      <w:r>
        <w:rPr>
          <w:rFonts w:hint="eastAsia"/>
        </w:rPr>
        <w:t>　Protected File System Layout</w:t>
      </w:r>
      <w:r>
        <w:rPr>
          <w:rFonts w:hint="eastAsia"/>
          <w:vertAlign w:val="superscript"/>
        </w:rPr>
        <w:t>[4]</w:t>
      </w:r>
    </w:p>
    <w:p>
      <w:pPr>
        <w:ind w:firstLine="480" w:firstLineChars="200"/>
      </w:pPr>
      <w:r>
        <w:rPr>
          <w:rFonts w:hint="eastAsia"/>
        </w:rPr>
        <w:t>文件密封机制中进出Enclave及加解密文件处是安全关键点，对此插桩代码审计检查相关安全事件，防范恶意密封文件等。可审计检查的安全事件信息包括加密文件、明文文件、文件元数据和操作方向等。</w:t>
      </w:r>
    </w:p>
    <w:p>
      <w:pPr>
        <w:ind w:firstLine="480" w:firstLineChars="200"/>
      </w:pPr>
      <w:r>
        <w:rPr>
          <w:rFonts w:hint="eastAsia"/>
        </w:rPr>
        <w:t>本地认证过程如图3.5所示，两个Enclave间通过uRTS不断交换信息，验证对方本地认证报告，完成Diffie-Hellman密钥交换。</w:t>
      </w:r>
    </w:p>
    <w:p>
      <w:pPr>
        <w:jc w:val="center"/>
      </w:pPr>
      <w:r>
        <w:drawing>
          <wp:inline distT="0" distB="0" distL="114300" distR="114300">
            <wp:extent cx="5145405" cy="71996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5145405" cy="7199630"/>
                    </a:xfrm>
                    <a:prstGeom prst="rect">
                      <a:avLst/>
                    </a:prstGeom>
                    <a:noFill/>
                    <a:ln>
                      <a:noFill/>
                    </a:ln>
                  </pic:spPr>
                </pic:pic>
              </a:graphicData>
            </a:graphic>
          </wp:inline>
        </w:drawing>
      </w:r>
    </w:p>
    <w:p>
      <w:pPr>
        <w:pStyle w:val="6"/>
      </w:pPr>
      <w:bookmarkStart w:id="1088" w:name="_Toc7229"/>
      <w:bookmarkStart w:id="1089" w:name="_Toc22273"/>
      <w:bookmarkStart w:id="1090" w:name="_Toc8855"/>
      <w:r>
        <w:rPr>
          <w:b/>
          <w:bCs/>
        </w:rPr>
        <w:t>图</w:t>
      </w:r>
      <w:r>
        <w:rPr>
          <w:rFonts w:hint="eastAsia"/>
          <w:b/>
          <w:bCs/>
        </w:rPr>
        <w:t>3.</w:t>
      </w:r>
      <w:r>
        <w:rPr>
          <w:b/>
          <w:bCs/>
        </w:rPr>
        <w:fldChar w:fldCharType="begin"/>
      </w:r>
      <w:r>
        <w:rPr>
          <w:b/>
          <w:bCs/>
        </w:rPr>
        <w:instrText xml:space="preserve"> SEQ 图 \* ARABIC \s 1 </w:instrText>
      </w:r>
      <w:r>
        <w:rPr>
          <w:b/>
          <w:bCs/>
        </w:rPr>
        <w:fldChar w:fldCharType="separate"/>
      </w:r>
      <w:r>
        <w:rPr>
          <w:b/>
          <w:bCs/>
        </w:rPr>
        <w:t>5</w:t>
      </w:r>
      <w:r>
        <w:rPr>
          <w:b/>
          <w:bCs/>
        </w:rPr>
        <w:fldChar w:fldCharType="end"/>
      </w:r>
      <w:bookmarkStart w:id="1091" w:name="_Toc8726"/>
      <w:bookmarkStart w:id="1092" w:name="_Toc1968"/>
      <w:bookmarkStart w:id="1093" w:name="_Toc11434"/>
      <w:bookmarkStart w:id="1094" w:name="_Toc2703"/>
      <w:bookmarkStart w:id="1095" w:name="_Toc27374"/>
      <w:bookmarkStart w:id="1096" w:name="_Toc986"/>
      <w:bookmarkStart w:id="1097" w:name="_Toc31648"/>
      <w:bookmarkStart w:id="1098" w:name="_Toc18255"/>
      <w:bookmarkStart w:id="1099" w:name="_Toc22584"/>
      <w:bookmarkStart w:id="1100" w:name="_Toc9877"/>
      <w:bookmarkStart w:id="1101" w:name="_Toc2071"/>
      <w:bookmarkStart w:id="1102" w:name="_Toc29887"/>
      <w:bookmarkStart w:id="1103" w:name="_Toc14624"/>
      <w:bookmarkStart w:id="1104" w:name="_Toc9532"/>
      <w:bookmarkStart w:id="1105" w:name="_Toc31666"/>
      <w:bookmarkStart w:id="1106" w:name="_Toc28938"/>
      <w:bookmarkStart w:id="1107" w:name="_Toc746"/>
      <w:bookmarkStart w:id="1108" w:name="_Toc16421"/>
      <w:bookmarkStart w:id="1109" w:name="_Toc1412"/>
      <w:bookmarkStart w:id="1110" w:name="_Toc1630"/>
      <w:bookmarkStart w:id="1111" w:name="_Toc640"/>
      <w:r>
        <w:rPr>
          <w:rFonts w:hint="eastAsia"/>
        </w:rPr>
        <w:t>　本地认证（使用DH密钥交换库）</w:t>
      </w:r>
      <w:r>
        <w:rPr>
          <w:rFonts w:hint="eastAsia"/>
          <w:vertAlign w:val="superscript"/>
        </w:rPr>
        <w:t>[4]</w:t>
      </w:r>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pPr>
        <w:pStyle w:val="6"/>
      </w:pPr>
      <w:r>
        <w:rPr>
          <w:rFonts w:hint="eastAsia"/>
          <w:b/>
          <w:bCs/>
        </w:rPr>
        <w:t>Figure3.5</w:t>
      </w:r>
      <w:r>
        <w:rPr>
          <w:rFonts w:hint="eastAsia"/>
        </w:rPr>
        <w:t>　Local Attestation Flow with the DH Key Exchange Library</w:t>
      </w:r>
      <w:r>
        <w:rPr>
          <w:rFonts w:hint="eastAsia"/>
          <w:vertAlign w:val="superscript"/>
        </w:rPr>
        <w:t>[4]</w:t>
      </w:r>
    </w:p>
    <w:p>
      <w:pPr>
        <w:ind w:firstLine="480" w:firstLineChars="200"/>
      </w:pPr>
      <w:r>
        <w:rPr>
          <w:rFonts w:hint="eastAsia"/>
        </w:rPr>
        <w:t>安全信道建立过程如图3.6所示，两个Enclave间通过uRTS不断交换信息，完成Diffie-Hellman密钥交换，使用协商的密钥构建安全信道。</w:t>
      </w:r>
    </w:p>
    <w:p>
      <w:pPr>
        <w:jc w:val="center"/>
      </w:pPr>
      <w:r>
        <w:drawing>
          <wp:inline distT="0" distB="0" distL="114300" distR="114300">
            <wp:extent cx="5223510" cy="3515995"/>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4"/>
                    <a:stretch>
                      <a:fillRect/>
                    </a:stretch>
                  </pic:blipFill>
                  <pic:spPr>
                    <a:xfrm>
                      <a:off x="0" y="0"/>
                      <a:ext cx="5223510" cy="3515995"/>
                    </a:xfrm>
                    <a:prstGeom prst="rect">
                      <a:avLst/>
                    </a:prstGeom>
                    <a:noFill/>
                    <a:ln>
                      <a:noFill/>
                    </a:ln>
                  </pic:spPr>
                </pic:pic>
              </a:graphicData>
            </a:graphic>
          </wp:inline>
        </w:drawing>
      </w:r>
    </w:p>
    <w:p>
      <w:pPr>
        <w:pStyle w:val="6"/>
      </w:pPr>
      <w:bookmarkStart w:id="1112" w:name="_Toc26766"/>
      <w:bookmarkStart w:id="1113" w:name="_Toc17220"/>
      <w:bookmarkStart w:id="1114" w:name="_Toc6065"/>
      <w:r>
        <w:rPr>
          <w:b/>
          <w:bCs/>
        </w:rPr>
        <w:t>图</w:t>
      </w:r>
      <w:r>
        <w:rPr>
          <w:rFonts w:hint="eastAsia"/>
          <w:b/>
          <w:bCs/>
        </w:rPr>
        <w:t>3.</w:t>
      </w:r>
      <w:r>
        <w:rPr>
          <w:b/>
          <w:bCs/>
        </w:rPr>
        <w:fldChar w:fldCharType="begin"/>
      </w:r>
      <w:r>
        <w:rPr>
          <w:b/>
          <w:bCs/>
        </w:rPr>
        <w:instrText xml:space="preserve"> SEQ 图 \* ARABIC \s 1 </w:instrText>
      </w:r>
      <w:r>
        <w:rPr>
          <w:b/>
          <w:bCs/>
        </w:rPr>
        <w:fldChar w:fldCharType="separate"/>
      </w:r>
      <w:r>
        <w:rPr>
          <w:b/>
          <w:bCs/>
        </w:rPr>
        <w:t>6</w:t>
      </w:r>
      <w:r>
        <w:rPr>
          <w:b/>
          <w:bCs/>
        </w:rPr>
        <w:fldChar w:fldCharType="end"/>
      </w:r>
      <w:bookmarkStart w:id="1115" w:name="_Toc29081"/>
      <w:bookmarkStart w:id="1116" w:name="_Toc1232"/>
      <w:bookmarkStart w:id="1117" w:name="_Toc5894"/>
      <w:bookmarkStart w:id="1118" w:name="_Toc10333"/>
      <w:bookmarkStart w:id="1119" w:name="_Toc15896"/>
      <w:bookmarkStart w:id="1120" w:name="_Toc21018"/>
      <w:bookmarkStart w:id="1121" w:name="_Toc12330"/>
      <w:bookmarkStart w:id="1122" w:name="_Toc19518"/>
      <w:bookmarkStart w:id="1123" w:name="_Toc7245"/>
      <w:bookmarkStart w:id="1124" w:name="_Toc4586"/>
      <w:bookmarkStart w:id="1125" w:name="_Toc16001"/>
      <w:bookmarkStart w:id="1126" w:name="_Toc13008"/>
      <w:bookmarkStart w:id="1127" w:name="_Toc11313"/>
      <w:bookmarkStart w:id="1128" w:name="_Toc8260"/>
      <w:bookmarkStart w:id="1129" w:name="_Toc31221"/>
      <w:bookmarkStart w:id="1130" w:name="_Toc15888"/>
      <w:bookmarkStart w:id="1131" w:name="_Toc17655"/>
      <w:bookmarkStart w:id="1132" w:name="_Toc27258"/>
      <w:bookmarkStart w:id="1133" w:name="_Toc25091"/>
      <w:bookmarkStart w:id="1134" w:name="_Toc12359"/>
      <w:bookmarkStart w:id="1135" w:name="_Toc25678"/>
      <w:r>
        <w:rPr>
          <w:rFonts w:hint="eastAsia"/>
        </w:rPr>
        <w:t>　安全信道的建立（使用DH密钥交换库）</w:t>
      </w:r>
      <w:r>
        <w:rPr>
          <w:rFonts w:hint="eastAsia"/>
          <w:vertAlign w:val="superscript"/>
        </w:rPr>
        <w:t>[4]</w:t>
      </w:r>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p>
    <w:p>
      <w:pPr>
        <w:pStyle w:val="6"/>
      </w:pPr>
      <w:r>
        <w:rPr>
          <w:rFonts w:hint="eastAsia"/>
          <w:b/>
          <w:bCs/>
        </w:rPr>
        <w:t>Figure3.6</w:t>
      </w:r>
      <w:r>
        <w:rPr>
          <w:rFonts w:hint="eastAsia"/>
        </w:rPr>
        <w:t>　Secure Channel Establishment Flow with the DH Key Exchange</w:t>
      </w:r>
      <w:r>
        <w:rPr>
          <w:rFonts w:hint="eastAsia"/>
          <w:vertAlign w:val="superscript"/>
        </w:rPr>
        <w:t>[4]</w:t>
      </w:r>
    </w:p>
    <w:p>
      <w:pPr>
        <w:ind w:firstLine="480" w:firstLineChars="200"/>
      </w:pPr>
      <w:r>
        <w:rPr>
          <w:rFonts w:hint="eastAsia"/>
        </w:rPr>
        <w:t>这些安全机制中进出Enclave及加解密数据等处是安全关键点，对此在其tRTS端插桩代码审计检查相关安全事件。</w:t>
      </w:r>
    </w:p>
    <w:p>
      <w:pPr>
        <w:pStyle w:val="3"/>
      </w:pPr>
      <w:bookmarkStart w:id="1136" w:name="_Toc23032"/>
      <w:bookmarkStart w:id="1137" w:name="_Toc31596"/>
      <w:bookmarkStart w:id="1138" w:name="_Toc19431"/>
      <w:bookmarkStart w:id="1139" w:name="_Toc12241"/>
      <w:bookmarkStart w:id="1140" w:name="_Toc31898"/>
      <w:bookmarkStart w:id="1141" w:name="_Toc14239"/>
      <w:bookmarkStart w:id="1142" w:name="_Toc28977"/>
      <w:bookmarkStart w:id="1143" w:name="_Toc12098"/>
      <w:bookmarkStart w:id="1144" w:name="_Toc15424"/>
      <w:bookmarkStart w:id="1145" w:name="_Toc16728"/>
      <w:bookmarkStart w:id="1146" w:name="_Toc19704"/>
      <w:bookmarkStart w:id="1147" w:name="_Toc9993"/>
      <w:bookmarkStart w:id="1148" w:name="_Toc25901"/>
      <w:bookmarkStart w:id="1149" w:name="_Toc27237"/>
      <w:bookmarkStart w:id="1150" w:name="_Toc12985"/>
      <w:bookmarkStart w:id="1151" w:name="_Toc19852"/>
      <w:bookmarkStart w:id="1152" w:name="_Toc27497"/>
      <w:bookmarkStart w:id="1153" w:name="_Toc8788"/>
      <w:bookmarkStart w:id="1154" w:name="_Toc22943"/>
      <w:bookmarkStart w:id="1155" w:name="_Toc28956"/>
      <w:r>
        <w:rPr>
          <w:rFonts w:hint="eastAsia"/>
        </w:rPr>
        <w:t>3.</w:t>
      </w:r>
      <w:bookmarkEnd w:id="1136"/>
      <w:bookmarkEnd w:id="1137"/>
      <w:r>
        <w:rPr>
          <w:rFonts w:hint="eastAsia"/>
        </w:rPr>
        <w:t>3　SGX线程模型</w:t>
      </w:r>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p>
    <w:p>
      <w:pPr>
        <w:ind w:firstLine="480" w:firstLineChars="200"/>
      </w:pPr>
      <w:bookmarkStart w:id="1156" w:name="_Toc6209"/>
      <w:bookmarkStart w:id="1157" w:name="_Toc30183"/>
      <w:r>
        <w:rPr>
          <w:rFonts w:hint="eastAsia"/>
        </w:rPr>
        <w:t>基于对SGX关键执行路径及安全关键点位的分析，归纳总结Ordinary/Switchless ECALL/OCALL中线程模型，如图3.7所示。</w:t>
      </w:r>
    </w:p>
    <w:p>
      <w:pPr>
        <w:jc w:val="center"/>
      </w:pPr>
      <w:r>
        <mc:AlternateContent>
          <mc:Choice Requires="wps">
            <w:drawing>
              <wp:anchor distT="0" distB="0" distL="114300" distR="114300" simplePos="0" relativeHeight="251664384" behindDoc="0" locked="0" layoutInCell="1" allowOverlap="1">
                <wp:simplePos x="0" y="0"/>
                <wp:positionH relativeFrom="column">
                  <wp:posOffset>3263900</wp:posOffset>
                </wp:positionH>
                <wp:positionV relativeFrom="paragraph">
                  <wp:posOffset>691515</wp:posOffset>
                </wp:positionV>
                <wp:extent cx="102870" cy="4982845"/>
                <wp:effectExtent l="6350" t="6350" r="17780" b="14605"/>
                <wp:wrapNone/>
                <wp:docPr id="20" name="矩形 20"/>
                <wp:cNvGraphicFramePr/>
                <a:graphic xmlns:a="http://schemas.openxmlformats.org/drawingml/2006/main">
                  <a:graphicData uri="http://schemas.microsoft.com/office/word/2010/wordprocessingShape">
                    <wps:wsp>
                      <wps:cNvSpPr/>
                      <wps:spPr>
                        <a:xfrm>
                          <a:off x="4224655" y="3196590"/>
                          <a:ext cx="102870" cy="4982845"/>
                        </a:xfrm>
                        <a:prstGeom prst="rect">
                          <a:avLst/>
                        </a:prstGeom>
                        <a:pattFill prst="wdUpDiag">
                          <a:fgClr>
                            <a:srgbClr val="4F81BD"/>
                          </a:fgClr>
                          <a:bgClr>
                            <a:srgbClr val="FFFFFF"/>
                          </a:bgClr>
                        </a:pattFill>
                        <a:ln w="12700"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7pt;margin-top:54.45pt;height:392.35pt;width:8.1pt;z-index:251664384;v-text-anchor:middle;mso-width-relative:page;mso-height-relative:page;" fillcolor="#4F81BD" filled="t" stroked="t" coordsize="21600,21600" o:gfxdata="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AfdXca2wAAAAsBAAAPAAAAAAAAAAEAIAAAACIAAABkcnMvZG93bnJl&#10;di54bWxQSwECFAAUAAAACACHTuJA4x9dEKUCAABZBQAADgAAAAAAAAABACAAAAAqAQAAZHJzL2Uy&#10;b0RvYy54bWxQSwUGAAAAAAYABgBZAQAAQQYAAAAA&#10;">
                <v:fill type="pattern" on="t" color2="#FFFFFF" o:title="宽上对角线" focussize="0,0" r:id="rId55"/>
                <v:stroke weight="1pt" color="#385D8A [3204]" joinstyle="round"/>
                <v:imagedata o:title=""/>
                <o:lock v:ext="edit" aspectratio="f"/>
              </v:rect>
            </w:pict>
          </mc:Fallback>
        </mc:AlternateContent>
      </w:r>
      <w:r>
        <w:rPr>
          <w:rFonts w:hint="eastAsia"/>
        </w:rPr>
        <w:drawing>
          <wp:inline distT="0" distB="0" distL="114300" distR="114300">
            <wp:extent cx="5111115" cy="5760085"/>
            <wp:effectExtent l="0" t="0" r="6985" b="5715"/>
            <wp:docPr id="21" name="图片 21" descr="1617854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17854567(1)"/>
                    <pic:cNvPicPr>
                      <a:picLocks noChangeAspect="1"/>
                    </pic:cNvPicPr>
                  </pic:nvPicPr>
                  <pic:blipFill>
                    <a:blip r:embed="rId56"/>
                    <a:stretch>
                      <a:fillRect/>
                    </a:stretch>
                  </pic:blipFill>
                  <pic:spPr>
                    <a:xfrm>
                      <a:off x="0" y="0"/>
                      <a:ext cx="5111115" cy="5760085"/>
                    </a:xfrm>
                    <a:prstGeom prst="rect">
                      <a:avLst/>
                    </a:prstGeom>
                  </pic:spPr>
                </pic:pic>
              </a:graphicData>
            </a:graphic>
          </wp:inline>
        </w:drawing>
      </w:r>
    </w:p>
    <w:p>
      <w:pPr>
        <w:pStyle w:val="6"/>
      </w:pPr>
      <w:r>
        <w:rPr>
          <w:b/>
          <w:bCs/>
        </w:rPr>
        <w:t>图</w:t>
      </w:r>
      <w:r>
        <w:rPr>
          <w:rFonts w:hint="eastAsia"/>
          <w:b/>
          <w:bCs/>
        </w:rPr>
        <w:t>3.</w:t>
      </w:r>
      <w:r>
        <w:rPr>
          <w:b/>
          <w:bCs/>
        </w:rPr>
        <w:fldChar w:fldCharType="begin"/>
      </w:r>
      <w:r>
        <w:rPr>
          <w:b/>
          <w:bCs/>
        </w:rPr>
        <w:instrText xml:space="preserve"> SEQ 图 \* ARABIC \s 1 </w:instrText>
      </w:r>
      <w:r>
        <w:rPr>
          <w:b/>
          <w:bCs/>
        </w:rPr>
        <w:fldChar w:fldCharType="separate"/>
      </w:r>
      <w:r>
        <w:rPr>
          <w:b/>
          <w:bCs/>
        </w:rPr>
        <w:t>7</w:t>
      </w:r>
      <w:r>
        <w:rPr>
          <w:b/>
          <w:bCs/>
        </w:rPr>
        <w:fldChar w:fldCharType="end"/>
      </w:r>
      <w:bookmarkStart w:id="1158" w:name="_Toc4078"/>
      <w:bookmarkStart w:id="1159" w:name="_Toc6158"/>
      <w:bookmarkStart w:id="1160" w:name="_Toc10682"/>
      <w:bookmarkStart w:id="1161" w:name="_Toc15427"/>
      <w:bookmarkStart w:id="1162" w:name="_Toc7192"/>
      <w:bookmarkStart w:id="1163" w:name="_Toc1346"/>
      <w:bookmarkStart w:id="1164" w:name="_Toc28559"/>
      <w:bookmarkStart w:id="1165" w:name="_Toc27645"/>
      <w:bookmarkStart w:id="1166" w:name="_Toc12804"/>
      <w:bookmarkStart w:id="1167" w:name="_Toc3147"/>
      <w:bookmarkStart w:id="1168" w:name="_Toc7951"/>
      <w:bookmarkStart w:id="1169" w:name="_Toc3974"/>
      <w:bookmarkStart w:id="1170" w:name="_Toc23362"/>
      <w:bookmarkStart w:id="1171" w:name="_Toc1175"/>
      <w:bookmarkStart w:id="1172" w:name="_Toc990"/>
      <w:bookmarkStart w:id="1173" w:name="_Toc12737"/>
      <w:bookmarkStart w:id="1174" w:name="_Toc15566"/>
      <w:bookmarkStart w:id="1175" w:name="_Toc11613"/>
      <w:bookmarkStart w:id="1176" w:name="_Toc17231"/>
      <w:bookmarkStart w:id="1177" w:name="_Toc4863"/>
      <w:bookmarkStart w:id="1178" w:name="_Toc24200"/>
      <w:r>
        <w:rPr>
          <w:rFonts w:hint="eastAsia"/>
        </w:rPr>
        <w:t>　SGX应用中Ordinary/Switchless ECALL/OCALL线程模型</w:t>
      </w:r>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p>
    <w:p>
      <w:pPr>
        <w:pStyle w:val="6"/>
      </w:pPr>
      <w:r>
        <w:rPr>
          <w:rFonts w:hint="eastAsia"/>
          <w:b/>
          <w:bCs/>
        </w:rPr>
        <w:t>Figure3.7</w:t>
      </w:r>
      <w:r>
        <w:rPr>
          <w:rFonts w:hint="eastAsia"/>
        </w:rPr>
        <w:t>　Thread model of Ordinary/Switchless ECALL/OCALL in SGX application</w:t>
      </w:r>
    </w:p>
    <w:p>
      <w:pPr>
        <w:ind w:firstLine="480" w:firstLineChars="200"/>
      </w:pPr>
      <w:r>
        <w:rPr>
          <w:rFonts w:hint="eastAsia"/>
        </w:rPr>
        <w:t>基于图3.7及SampleEnclave/Switchless示例代码（属于linux-sgx Github仓库）分析SGX线程模型。</w:t>
      </w:r>
    </w:p>
    <w:p>
      <w:pPr>
        <w:ind w:firstLine="480" w:firstLineChars="200"/>
      </w:pPr>
      <w:r>
        <w:rPr>
          <w:rFonts w:hint="eastAsia"/>
        </w:rPr>
        <w:t>Ordinary ECALL/OCALL线程模型：（基于SampleEnclave示例代码，图中红色单条细直线及黑色三条粗直线）</w:t>
      </w:r>
    </w:p>
    <w:p>
      <w:pPr>
        <w:numPr>
          <w:ilvl w:val="0"/>
          <w:numId w:val="14"/>
        </w:numPr>
        <w:ind w:left="845"/>
      </w:pPr>
      <w:r>
        <w:t>主线程创建Enclave实例</w:t>
      </w:r>
      <w:r>
        <w:rPr>
          <w:rFonts w:hint="eastAsia"/>
        </w:rPr>
        <w:t>。</w:t>
      </w:r>
    </w:p>
    <w:p>
      <w:pPr>
        <w:numPr>
          <w:ilvl w:val="0"/>
          <w:numId w:val="14"/>
        </w:numPr>
        <w:ind w:left="845"/>
      </w:pPr>
      <w:r>
        <w:t>主线程Ordinary ECALL</w:t>
      </w:r>
      <w:r>
        <w:rPr>
          <w:rFonts w:hint="eastAsia"/>
        </w:rPr>
        <w:t>切换上下文</w:t>
      </w:r>
      <w:r>
        <w:t>进入Enclave</w:t>
      </w:r>
      <w:r>
        <w:rPr>
          <w:rFonts w:hint="eastAsia"/>
        </w:rPr>
        <w:t>：</w:t>
      </w:r>
      <w:r>
        <w:t>主线程（物理上是CPU</w:t>
      </w:r>
      <w:r>
        <w:rPr>
          <w:rFonts w:hint="eastAsia"/>
        </w:rPr>
        <w:t>核</w:t>
      </w:r>
      <w:r>
        <w:t>）占用一个</w:t>
      </w:r>
      <w:r>
        <w:rPr>
          <w:rFonts w:hint="eastAsia"/>
        </w:rPr>
        <w:t>已</w:t>
      </w:r>
      <w:r>
        <w:t>注册的TCS（Thread Control Structure</w:t>
      </w:r>
      <w:r>
        <w:rPr>
          <w:rFonts w:hint="eastAsia"/>
        </w:rPr>
        <w:t>，线程控制结构体</w:t>
      </w:r>
      <w:r>
        <w:t>）调用EENTER</w:t>
      </w:r>
      <w:r>
        <w:rPr>
          <w:rFonts w:hint="eastAsia"/>
        </w:rPr>
        <w:t>指令进入tRTS</w:t>
      </w:r>
      <w:r>
        <w:t>【将CR_ENCALVE_MODE置1标识</w:t>
      </w:r>
      <w:r>
        <w:rPr>
          <w:rFonts w:hint="eastAsia"/>
        </w:rPr>
        <w:t>CPU处于</w:t>
      </w:r>
      <w:r>
        <w:t>Enclave模式，将不可信栈帧寄存器（u_RSP</w:t>
      </w:r>
      <w:r>
        <w:rPr>
          <w:rFonts w:hint="eastAsia"/>
        </w:rPr>
        <w:t>和</w:t>
      </w:r>
      <w:r>
        <w:t>u_RBP）等上下文存储到Enclave内的SSA（State Save Area</w:t>
      </w:r>
      <w:r>
        <w:rPr>
          <w:rFonts w:hint="eastAsia"/>
        </w:rPr>
        <w:t>，状态存储区域</w:t>
      </w:r>
      <w:r>
        <w:t>）】，tRTS清理</w:t>
      </w:r>
      <w:r>
        <w:rPr>
          <w:rFonts w:hint="eastAsia"/>
        </w:rPr>
        <w:t>通用</w:t>
      </w:r>
      <w:r>
        <w:t>寄存器，设置Enclave线程栈为Root ECALL栈帧（Enclave线程栈独立于不可信线程栈）。</w:t>
      </w:r>
    </w:p>
    <w:p>
      <w:pPr>
        <w:numPr>
          <w:ilvl w:val="0"/>
          <w:numId w:val="14"/>
        </w:numPr>
        <w:ind w:left="845"/>
      </w:pPr>
      <w:r>
        <w:rPr>
          <w:rFonts w:hint="eastAsia"/>
        </w:rPr>
        <w:t>被切换上下文的主</w:t>
      </w:r>
      <w:r>
        <w:t>线程执行ECALL内容</w:t>
      </w:r>
      <w:r>
        <w:rPr>
          <w:rFonts w:hint="eastAsia"/>
        </w:rPr>
        <w:t>。</w:t>
      </w:r>
    </w:p>
    <w:p>
      <w:pPr>
        <w:numPr>
          <w:ilvl w:val="0"/>
          <w:numId w:val="14"/>
        </w:numPr>
        <w:ind w:left="845"/>
      </w:pPr>
      <w:r>
        <w:t>ECALL</w:t>
      </w:r>
      <w:r>
        <w:rPr>
          <w:rFonts w:hint="eastAsia"/>
        </w:rPr>
        <w:t>中</w:t>
      </w:r>
      <w:r>
        <w:t>，线程调用Ordinary OCALL切换</w:t>
      </w:r>
      <w:r>
        <w:rPr>
          <w:rFonts w:hint="eastAsia"/>
        </w:rPr>
        <w:t>上下文</w:t>
      </w:r>
      <w:r>
        <w:t>到Enclave外</w:t>
      </w:r>
      <w:r>
        <w:rPr>
          <w:rFonts w:hint="eastAsia"/>
        </w:rPr>
        <w:t>：</w:t>
      </w:r>
      <w:r>
        <w:t>线程在tRTS</w:t>
      </w:r>
      <w:r>
        <w:rPr>
          <w:rFonts w:hint="eastAsia"/>
        </w:rPr>
        <w:t>中</w:t>
      </w:r>
      <w:r>
        <w:t>将上下文封装成OCALL栈帧保存到</w:t>
      </w:r>
      <w:r>
        <w:rPr>
          <w:rFonts w:hint="eastAsia"/>
        </w:rPr>
        <w:t>Enclave</w:t>
      </w:r>
      <w:r>
        <w:t>线程栈中</w:t>
      </w:r>
      <w:r>
        <w:rPr>
          <w:rFonts w:hint="eastAsia"/>
        </w:rPr>
        <w:t>，未来</w:t>
      </w:r>
      <w:r>
        <w:t>OCALL返回时</w:t>
      </w:r>
      <w:r>
        <w:rPr>
          <w:rFonts w:hint="eastAsia"/>
        </w:rPr>
        <w:t>从Enclave</w:t>
      </w:r>
      <w:r>
        <w:t>线程栈中恢复上下文（</w:t>
      </w:r>
      <w:r>
        <w:rPr>
          <w:rFonts w:hint="eastAsia"/>
        </w:rPr>
        <w:t>Enclave</w:t>
      </w:r>
      <w:r>
        <w:t>线程栈变成</w:t>
      </w:r>
      <w:r>
        <w:rPr>
          <w:rFonts w:hint="eastAsia"/>
        </w:rPr>
        <w:t>“</w:t>
      </w:r>
      <w:r>
        <w:t>Root ECALL栈帧+OCALL栈帧</w:t>
      </w:r>
      <w:r>
        <w:rPr>
          <w:rFonts w:hint="eastAsia"/>
        </w:rPr>
        <w:t>”</w:t>
      </w:r>
      <w:r>
        <w:t>），清</w:t>
      </w:r>
      <w:r>
        <w:rPr>
          <w:rFonts w:hint="eastAsia"/>
        </w:rPr>
        <w:t>理通用</w:t>
      </w:r>
      <w:r>
        <w:t>寄存器，调用EEXIT</w:t>
      </w:r>
      <w:r>
        <w:rPr>
          <w:rFonts w:hint="eastAsia"/>
        </w:rPr>
        <w:t>指令</w:t>
      </w:r>
      <w:r>
        <w:t>（恢复不可信栈帧，将CR_ENCLAVE_MODE置0）退到Enclave外uRTS</w:t>
      </w:r>
      <w:r>
        <w:rPr>
          <w:rFonts w:hint="eastAsia"/>
        </w:rPr>
        <w:t>并</w:t>
      </w:r>
      <w:r>
        <w:t>执行OCALL。</w:t>
      </w:r>
    </w:p>
    <w:p>
      <w:pPr>
        <w:numPr>
          <w:ilvl w:val="0"/>
          <w:numId w:val="14"/>
        </w:numPr>
        <w:ind w:left="845"/>
      </w:pPr>
      <w:r>
        <w:t>线程执行OCALL</w:t>
      </w:r>
      <w:r>
        <w:rPr>
          <w:rFonts w:hint="eastAsia"/>
        </w:rPr>
        <w:t>函数。</w:t>
      </w:r>
      <w:r>
        <w:t>如果</w:t>
      </w:r>
      <w:r>
        <w:rPr>
          <w:rFonts w:hint="eastAsia"/>
        </w:rPr>
        <w:t>OCALL中嵌套</w:t>
      </w:r>
      <w:r>
        <w:t>调用ECALL，Enclave线程栈变成</w:t>
      </w:r>
      <w:r>
        <w:rPr>
          <w:rFonts w:hint="eastAsia"/>
        </w:rPr>
        <w:t>“</w:t>
      </w:r>
      <w:r>
        <w:t>Root ECALL栈帧+OCALL栈帧+ECALL栈帧</w:t>
      </w:r>
      <w:r>
        <w:rPr>
          <w:rFonts w:hint="eastAsia"/>
        </w:rPr>
        <w:t>”</w:t>
      </w:r>
      <w:r>
        <w:t>。</w:t>
      </w:r>
    </w:p>
    <w:p>
      <w:pPr>
        <w:numPr>
          <w:ilvl w:val="0"/>
          <w:numId w:val="14"/>
        </w:numPr>
        <w:ind w:left="845"/>
      </w:pPr>
      <w:r>
        <w:t>OCALL执行结束，线程返回Enclave</w:t>
      </w:r>
      <w:r>
        <w:rPr>
          <w:rFonts w:hint="eastAsia"/>
        </w:rPr>
        <w:t>。线程调用</w:t>
      </w:r>
      <w:r>
        <w:t>EENTER</w:t>
      </w:r>
      <w:r>
        <w:rPr>
          <w:rFonts w:hint="eastAsia"/>
        </w:rPr>
        <w:t>指令</w:t>
      </w:r>
      <w:r>
        <w:t>返回到Enclave，从OCALL栈帧恢复上下文（Enclave线程栈</w:t>
      </w:r>
      <w:r>
        <w:rPr>
          <w:rFonts w:hint="eastAsia"/>
        </w:rPr>
        <w:t>变</w:t>
      </w:r>
      <w:r>
        <w:t>成</w:t>
      </w:r>
      <w:r>
        <w:rPr>
          <w:rFonts w:hint="eastAsia"/>
        </w:rPr>
        <w:t>“</w:t>
      </w:r>
      <w:r>
        <w:t>Root ECALL栈帧</w:t>
      </w:r>
      <w:r>
        <w:rPr>
          <w:rFonts w:hint="eastAsia"/>
        </w:rPr>
        <w:t>”</w:t>
      </w:r>
      <w:r>
        <w:t>）。</w:t>
      </w:r>
    </w:p>
    <w:p>
      <w:pPr>
        <w:numPr>
          <w:ilvl w:val="0"/>
          <w:numId w:val="14"/>
        </w:numPr>
        <w:ind w:left="845"/>
      </w:pPr>
      <w:r>
        <w:t>线程执行ECALL剩下</w:t>
      </w:r>
      <w:r>
        <w:rPr>
          <w:rFonts w:hint="eastAsia"/>
        </w:rPr>
        <w:t>代码。</w:t>
      </w:r>
      <w:r>
        <w:t>当ECALL执行完毕时，线程清理</w:t>
      </w:r>
      <w:r>
        <w:rPr>
          <w:rFonts w:hint="eastAsia"/>
        </w:rPr>
        <w:t>通用</w:t>
      </w:r>
      <w:r>
        <w:t>寄存器，调用EEXIT</w:t>
      </w:r>
      <w:r>
        <w:rPr>
          <w:rFonts w:hint="eastAsia"/>
        </w:rPr>
        <w:t>指令</w:t>
      </w:r>
      <w:r>
        <w:t>（恢复不可信栈帧寄存器）退到Enclave外uRTS。</w:t>
      </w:r>
    </w:p>
    <w:p>
      <w:pPr>
        <w:numPr>
          <w:ilvl w:val="0"/>
          <w:numId w:val="14"/>
        </w:numPr>
        <w:ind w:left="845"/>
      </w:pPr>
      <w:r>
        <w:t>线程执行主函数剩余</w:t>
      </w:r>
      <w:r>
        <w:rPr>
          <w:rFonts w:hint="eastAsia"/>
        </w:rPr>
        <w:t>代码，</w:t>
      </w:r>
      <w:r>
        <w:t>销毁Enclave</w:t>
      </w:r>
      <w:r>
        <w:rPr>
          <w:rFonts w:hint="eastAsia"/>
        </w:rPr>
        <w:t>。</w:t>
      </w:r>
    </w:p>
    <w:p>
      <w:pPr>
        <w:ind w:firstLine="480" w:firstLineChars="200"/>
      </w:pPr>
      <w:r>
        <w:rPr>
          <w:rFonts w:hint="eastAsia"/>
        </w:rPr>
        <w:t>Enclave外主线程可以创建若干线程并发进入Enclave，每个线程执行如上单线程场景。</w:t>
      </w:r>
    </w:p>
    <w:p>
      <w:pPr>
        <w:ind w:firstLine="480" w:firstLineChars="200"/>
      </w:pPr>
      <w:r>
        <w:rPr>
          <w:rFonts w:hint="eastAsia"/>
        </w:rPr>
        <w:t>Switchless ECALL/OCALL线程模型：（基于Switchless示例代码，图中蓝色双条粗直线加黑色三条粗直线。）</w:t>
      </w:r>
    </w:p>
    <w:p>
      <w:pPr>
        <w:numPr>
          <w:ilvl w:val="0"/>
          <w:numId w:val="15"/>
        </w:numPr>
        <w:ind w:left="845"/>
      </w:pPr>
      <w:r>
        <w:rPr>
          <w:rFonts w:hint="eastAsia"/>
        </w:rPr>
        <w:t>主线程创建Enclave实例，初始化Switchless模式。主线程在Enclave外创建若干线程，一部分切换上下文进入Enclave成为可信工人线程TWorker，另一部分留在Enclave外成为不可信工人线程UWorker。</w:t>
      </w:r>
    </w:p>
    <w:p>
      <w:pPr>
        <w:numPr>
          <w:ilvl w:val="0"/>
          <w:numId w:val="15"/>
        </w:numPr>
        <w:ind w:left="845"/>
      </w:pPr>
      <w:r>
        <w:rPr>
          <w:rFonts w:hint="eastAsia"/>
        </w:rPr>
        <w:t>主线程调用Switchless ECALL：主线程将ECALL任务提交到ECALL任务池并通知TWorker，然后等待ECALL执行完。TWorker收到通知，从ECALL任务池提取任务并执行。若无空闲TWorker，Switchless ECALL任务会退化，被主线程以Ordinary方式执行。</w:t>
      </w:r>
    </w:p>
    <w:p>
      <w:pPr>
        <w:numPr>
          <w:ilvl w:val="0"/>
          <w:numId w:val="15"/>
        </w:numPr>
        <w:ind w:left="845"/>
      </w:pPr>
      <w:r>
        <w:rPr>
          <w:rFonts w:hint="eastAsia"/>
        </w:rPr>
        <w:t>Switchless ECALL中执行Switchless OCALL：TWorker将OCALL任务提交到OCALL任务池并通知UWorker，然后等待OCALL执行完。UWorker收到通知，从OCALL任务池提取任务并执行。若无空闲UWorker，Switchless OCALL任务会退化，被当前TWorker以Ordinary方式执行。</w:t>
      </w:r>
    </w:p>
    <w:p>
      <w:pPr>
        <w:numPr>
          <w:ilvl w:val="0"/>
          <w:numId w:val="15"/>
        </w:numPr>
        <w:ind w:left="845"/>
      </w:pPr>
      <w:r>
        <w:rPr>
          <w:rFonts w:hint="eastAsia"/>
        </w:rPr>
        <w:t>UWorker通知TWorker Switchless OCALL任务已执行完，向TWorker传输函数返回值。TWorker解除等待。</w:t>
      </w:r>
    </w:p>
    <w:p>
      <w:pPr>
        <w:numPr>
          <w:ilvl w:val="0"/>
          <w:numId w:val="15"/>
        </w:numPr>
        <w:ind w:left="845"/>
      </w:pPr>
      <w:r>
        <w:rPr>
          <w:rFonts w:hint="eastAsia"/>
        </w:rPr>
        <w:t>TWorker执行ECALL剩余代码，直至Switchless ECALL任务执行完。TWorker通知主线程Switchless ECALL任务已执行完，向主线程传输函数返回值。主线程解除等待。</w:t>
      </w:r>
    </w:p>
    <w:p>
      <w:pPr>
        <w:numPr>
          <w:ilvl w:val="0"/>
          <w:numId w:val="15"/>
        </w:numPr>
        <w:ind w:left="845"/>
      </w:pPr>
      <w:r>
        <w:rPr>
          <w:rFonts w:hint="eastAsia"/>
        </w:rPr>
        <w:t>主线程执行主函数剩余代码，销毁Enclave。</w:t>
      </w:r>
    </w:p>
    <w:p>
      <w:pPr>
        <w:ind w:firstLine="480" w:firstLineChars="200"/>
      </w:pPr>
      <w:r>
        <w:rPr>
          <w:rFonts w:hint="eastAsia"/>
        </w:rPr>
        <w:t>SGX线程模型中，线程或者切换上下文执行目标代码，或者委托预先切换上下文的工人线程代理执行目标代码。线程切换上下文过程中，备份切换前的上下文，设置CPU内元数据寄存器值并转变模式，清理通用寄存器，启用新的上下文。</w:t>
      </w:r>
    </w:p>
    <w:p>
      <w:pPr>
        <w:ind w:firstLine="480" w:firstLineChars="200"/>
      </w:pPr>
      <w:r>
        <w:rPr>
          <w:rFonts w:hint="eastAsia"/>
        </w:rPr>
        <w:t>“Switchless/Ordinary ECALL/OCALL及其结束”时，攻击者能够透过这些攻击面恶意输入输出信息。对此，在其tRTS端插桩代码审计检查相关安全事件（如图3.7斜纹竖长条柱所示）。</w:t>
      </w:r>
    </w:p>
    <w:p>
      <w:pPr>
        <w:pStyle w:val="3"/>
      </w:pPr>
      <w:bookmarkStart w:id="1179" w:name="_Toc23962"/>
      <w:bookmarkStart w:id="1180" w:name="_Toc13294"/>
      <w:bookmarkStart w:id="1181" w:name="_Toc30140"/>
      <w:bookmarkStart w:id="1182" w:name="_Toc30060"/>
      <w:bookmarkStart w:id="1183" w:name="_Toc9652"/>
      <w:bookmarkStart w:id="1184" w:name="_Toc31393"/>
      <w:bookmarkStart w:id="1185" w:name="_Toc31461"/>
      <w:bookmarkStart w:id="1186" w:name="_Toc6029"/>
      <w:bookmarkStart w:id="1187" w:name="_Toc7075"/>
      <w:bookmarkStart w:id="1188" w:name="_Toc24830"/>
      <w:bookmarkStart w:id="1189" w:name="_Toc22467"/>
      <w:bookmarkStart w:id="1190" w:name="_Toc11036"/>
      <w:bookmarkStart w:id="1191" w:name="_Toc9914"/>
      <w:bookmarkStart w:id="1192" w:name="_Toc26973"/>
      <w:bookmarkStart w:id="1193" w:name="_Toc29421"/>
      <w:bookmarkStart w:id="1194" w:name="_Toc23083"/>
      <w:r>
        <w:rPr>
          <w:rFonts w:hint="eastAsia"/>
          <w:szCs w:val="24"/>
        </w:rPr>
        <w:t>3.4</w:t>
      </w:r>
      <w:r>
        <w:rPr>
          <w:rFonts w:hint="eastAsia"/>
        </w:rPr>
        <w:t>　</w:t>
      </w:r>
      <w:bookmarkEnd w:id="1156"/>
      <w:bookmarkEnd w:id="1157"/>
      <w:bookmarkEnd w:id="1179"/>
      <w:bookmarkEnd w:id="1180"/>
      <w:bookmarkEnd w:id="1181"/>
      <w:bookmarkEnd w:id="1182"/>
      <w:bookmarkStart w:id="1195" w:name="_Toc16336"/>
      <w:bookmarkStart w:id="1196" w:name="_Toc5454"/>
      <w:bookmarkStart w:id="1197" w:name="_Toc26048"/>
      <w:bookmarkStart w:id="1198" w:name="_Toc24233"/>
      <w:bookmarkStart w:id="1199" w:name="_Toc20936"/>
      <w:bookmarkStart w:id="1200" w:name="_Toc11197"/>
      <w:bookmarkStart w:id="1201" w:name="_Toc16261"/>
      <w:bookmarkStart w:id="1202" w:name="_Toc5921"/>
      <w:r>
        <w:rPr>
          <w:rFonts w:hint="eastAsia"/>
        </w:rPr>
        <w:t>本章小结</w:t>
      </w:r>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p>
    <w:p>
      <w:pPr>
        <w:ind w:firstLine="480" w:firstLineChars="200"/>
      </w:pPr>
      <w:r>
        <w:rPr>
          <w:rFonts w:hint="eastAsia"/>
        </w:rPr>
        <w:t>本章分析了Enclave接口关键执行路径及其他关键执行路径，描述了其代码流程，提取其安全关键点。以SampleEnclave和Switchless示例代码描述SGX线程模型，归纳总结Ordinary/Switchless ECALL/OCALL中的线程模型。</w:t>
      </w:r>
      <w:bookmarkStart w:id="1203" w:name="OLE_LINK16"/>
      <w:r>
        <w:rPr>
          <w:rFonts w:hint="eastAsia"/>
        </w:rPr>
        <w:t>SGX关键执行路径及安全关键点分析</w:t>
      </w:r>
      <w:bookmarkEnd w:id="1203"/>
      <w:r>
        <w:rPr>
          <w:rFonts w:hint="eastAsia"/>
        </w:rPr>
        <w:t>能指导审计检查代码插桩方式及位置、审计检查功能实施和已有安全准则兼容，还能启发新的安全准则。</w:t>
      </w:r>
    </w:p>
    <w:p>
      <w:pPr>
        <w:ind w:firstLine="0" w:firstLineChars="0"/>
      </w:pPr>
      <w:r>
        <w:br w:type="page"/>
      </w:r>
    </w:p>
    <w:p>
      <w:pPr>
        <w:ind w:firstLine="480" w:firstLineChars="200"/>
      </w:pPr>
    </w:p>
    <w:p>
      <w:pPr>
        <w:ind w:firstLine="480" w:firstLineChars="200"/>
      </w:pPr>
    </w:p>
    <w:p>
      <w:pPr>
        <w:sectPr>
          <w:headerReference r:id="rId28" w:type="default"/>
          <w:pgSz w:w="11906" w:h="16838"/>
          <w:pgMar w:top="1440" w:right="1800" w:bottom="1440" w:left="1800" w:header="851" w:footer="850" w:gutter="0"/>
          <w:cols w:space="425" w:num="1"/>
          <w:docGrid w:type="lines" w:linePitch="312" w:charSpace="0"/>
        </w:sectPr>
      </w:pPr>
    </w:p>
    <w:p>
      <w:pPr>
        <w:pStyle w:val="2"/>
      </w:pPr>
      <w:bookmarkStart w:id="1204" w:name="_Toc19769"/>
      <w:bookmarkStart w:id="1205" w:name="_Toc32142"/>
      <w:bookmarkStart w:id="1206" w:name="_Toc22211"/>
      <w:bookmarkStart w:id="1207" w:name="_Toc5251"/>
      <w:bookmarkStart w:id="1208" w:name="_Toc27170"/>
      <w:bookmarkStart w:id="1209" w:name="_Toc10096"/>
      <w:bookmarkStart w:id="1210" w:name="_Toc1454"/>
      <w:bookmarkStart w:id="1211" w:name="_Toc21418"/>
      <w:bookmarkStart w:id="1212" w:name="_Toc13825"/>
      <w:bookmarkStart w:id="1213" w:name="_Toc25572"/>
      <w:bookmarkStart w:id="1214" w:name="_Toc27131"/>
      <w:bookmarkStart w:id="1215" w:name="_Toc6914"/>
      <w:bookmarkStart w:id="1216" w:name="_Toc27507"/>
      <w:bookmarkStart w:id="1217" w:name="_Toc21413"/>
      <w:bookmarkStart w:id="1218" w:name="_Toc2475"/>
      <w:bookmarkStart w:id="1219" w:name="_Toc671"/>
      <w:bookmarkStart w:id="1220" w:name="_Toc14336"/>
      <w:bookmarkStart w:id="1221" w:name="_Toc3766"/>
      <w:bookmarkStart w:id="1222" w:name="_Toc12856"/>
      <w:bookmarkStart w:id="1223" w:name="_Toc17847"/>
      <w:r>
        <w:rPr>
          <w:rFonts w:hint="eastAsia"/>
        </w:rPr>
        <w:t>第四章　针对Intel SGX SDK的安全增强框架设计</w:t>
      </w:r>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pPr>
        <w:ind w:firstLine="480" w:firstLineChars="200"/>
      </w:pPr>
      <w:r>
        <w:rPr>
          <w:rFonts w:hint="eastAsia"/>
        </w:rPr>
        <w:t>基于关键执行路径及安全关键点分析，选择针对安全关键点的审计检查代码插桩方式及插桩位置，设计针对安全事件的审计检查功能，提出针对Intel SGX SDK的安全增强框架（简称SGX-SEF），加固SGX架构自身安全。本文将安全关键点上部署的审计检查代码称为审计检查点。</w:t>
      </w:r>
    </w:p>
    <w:p>
      <w:pPr>
        <w:pStyle w:val="3"/>
      </w:pPr>
      <w:bookmarkStart w:id="1224" w:name="_Toc2153"/>
      <w:bookmarkStart w:id="1225" w:name="_Toc30981"/>
      <w:bookmarkStart w:id="1226" w:name="_Toc11528"/>
      <w:bookmarkStart w:id="1227" w:name="_Toc9718"/>
      <w:bookmarkStart w:id="1228" w:name="_Toc21886"/>
      <w:bookmarkStart w:id="1229" w:name="_Toc13986"/>
      <w:bookmarkStart w:id="1230" w:name="_Toc10391"/>
      <w:bookmarkStart w:id="1231" w:name="_Toc31229"/>
      <w:bookmarkStart w:id="1232" w:name="_Toc12335"/>
      <w:bookmarkStart w:id="1233" w:name="_Toc14568"/>
      <w:bookmarkStart w:id="1234" w:name="_Toc28049"/>
      <w:bookmarkStart w:id="1235" w:name="_Toc20240"/>
      <w:bookmarkStart w:id="1236" w:name="_Toc15836"/>
      <w:bookmarkStart w:id="1237" w:name="_Toc26317"/>
      <w:bookmarkStart w:id="1238" w:name="_Toc30845"/>
      <w:bookmarkStart w:id="1239" w:name="_Toc4788"/>
      <w:bookmarkStart w:id="1240" w:name="_Toc18607"/>
      <w:bookmarkStart w:id="1241" w:name="_Toc19461"/>
      <w:bookmarkStart w:id="1242" w:name="_Toc6667"/>
      <w:bookmarkStart w:id="1243" w:name="_Toc4366"/>
      <w:r>
        <w:rPr>
          <w:rFonts w:hint="eastAsia"/>
          <w:szCs w:val="24"/>
        </w:rPr>
        <w:t>4.1</w:t>
      </w:r>
      <w:r>
        <w:rPr>
          <w:rFonts w:hint="eastAsia"/>
        </w:rPr>
        <w:t>　针对Intel SGX SDK的安全增强框架总体设计</w:t>
      </w:r>
      <w:bookmarkEnd w:id="1224"/>
      <w:bookmarkEnd w:id="1225"/>
      <w:bookmarkEnd w:id="1226"/>
      <w:bookmarkEnd w:id="1227"/>
      <w:bookmarkEnd w:id="1228"/>
      <w:bookmarkEnd w:id="1229"/>
    </w:p>
    <w:p>
      <w:pPr>
        <w:pStyle w:val="4"/>
      </w:pPr>
      <w:bookmarkStart w:id="1244" w:name="_Toc29387"/>
      <w:bookmarkStart w:id="1245" w:name="_Toc13655"/>
      <w:bookmarkStart w:id="1246" w:name="_Toc30012"/>
      <w:bookmarkStart w:id="1247" w:name="_Toc10425"/>
      <w:bookmarkStart w:id="1248" w:name="_Toc16652"/>
      <w:bookmarkStart w:id="1249" w:name="_Toc2989"/>
      <w:r>
        <w:rPr>
          <w:rFonts w:hint="eastAsia"/>
        </w:rPr>
        <w:t>4.1.1　审计检查点插桩方式</w:t>
      </w:r>
      <w:bookmarkEnd w:id="1230"/>
      <w:bookmarkEnd w:id="1231"/>
      <w:bookmarkEnd w:id="1232"/>
      <w:bookmarkEnd w:id="1233"/>
      <w:bookmarkEnd w:id="1234"/>
      <w:bookmarkEnd w:id="1235"/>
      <w:bookmarkEnd w:id="1236"/>
      <w:bookmarkEnd w:id="1237"/>
      <w:bookmarkEnd w:id="1238"/>
      <w:bookmarkEnd w:id="1239"/>
      <w:bookmarkEnd w:id="1240"/>
      <w:bookmarkEnd w:id="1244"/>
      <w:bookmarkEnd w:id="1245"/>
      <w:bookmarkEnd w:id="1246"/>
      <w:bookmarkEnd w:id="1247"/>
      <w:bookmarkEnd w:id="1248"/>
      <w:bookmarkEnd w:id="1249"/>
    </w:p>
    <w:p>
      <w:pPr>
        <w:ind w:firstLine="480" w:firstLineChars="200"/>
      </w:pPr>
      <w:bookmarkStart w:id="1250" w:name="OLE_LINK27"/>
      <w:r>
        <w:rPr>
          <w:rFonts w:hint="eastAsia"/>
        </w:rPr>
        <w:t>为了审计检查SGX关键执行路径中的安全事件</w:t>
      </w:r>
      <w:bookmarkEnd w:id="1250"/>
      <w:r>
        <w:rPr>
          <w:rFonts w:hint="eastAsia"/>
        </w:rPr>
        <w:t>，需要对安全关键点插桩审计检查代码。本节对比分析了三种审计检查点插桩方式（如图4.1所示）：</w:t>
      </w:r>
    </w:p>
    <w:p>
      <w:pPr>
        <w:numPr>
          <w:ilvl w:val="0"/>
          <w:numId w:val="16"/>
        </w:numPr>
        <w:ind w:left="845"/>
      </w:pPr>
      <w:r>
        <w:rPr>
          <w:rFonts w:hint="eastAsia"/>
        </w:rPr>
        <w:t>使用编译器插桩技术在Enclave代码插桩审计检查点。LLVM-Pass等编译器插桩技术适合插桩模式固定的场景，操作简单且自动化，但需要先验的插桩模式。本文旨在对关键执行路径插桩，没有先验的固定模式。Enclave代码不如tRTS能获取更多的安全事件信息。</w:t>
      </w:r>
    </w:p>
    <w:p>
      <w:pPr>
        <w:numPr>
          <w:ilvl w:val="0"/>
          <w:numId w:val="16"/>
        </w:numPr>
        <w:ind w:left="845"/>
      </w:pPr>
      <w:r>
        <w:rPr>
          <w:rFonts w:hint="eastAsia"/>
        </w:rPr>
        <w:t>中间层（Shield框架和沙箱）内嵌审计检查点。中间层丰富扩充了Enclave功能，但也引入大量TCB。中间层不如tRTS能获取更多安全事件信息。</w:t>
      </w:r>
    </w:p>
    <w:p>
      <w:pPr>
        <w:numPr>
          <w:ilvl w:val="0"/>
          <w:numId w:val="16"/>
        </w:numPr>
        <w:ind w:left="845"/>
      </w:pPr>
      <w:r>
        <w:rPr>
          <w:rFonts w:hint="eastAsia"/>
        </w:rPr>
        <w:t>SGX软件栈插桩。tRTS中能获取更丰富的安全事件信息，实施更丰富的安全策略，但SGX软件栈插桩方式要求深入理解SGX软件栈。</w:t>
      </w:r>
    </w:p>
    <w:p>
      <w:pPr>
        <w:jc w:val="center"/>
      </w:pPr>
      <w:r>
        <w:rPr>
          <w:rFonts w:hint="eastAsia"/>
        </w:rPr>
        <w:drawing>
          <wp:inline distT="0" distB="0" distL="114300" distR="114300">
            <wp:extent cx="3620770" cy="1966595"/>
            <wp:effectExtent l="0" t="0" r="11430" b="1905"/>
            <wp:docPr id="5" name="图片 5" descr="1617291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17291209(1)"/>
                    <pic:cNvPicPr>
                      <a:picLocks noChangeAspect="1"/>
                    </pic:cNvPicPr>
                  </pic:nvPicPr>
                  <pic:blipFill>
                    <a:blip r:embed="rId57"/>
                    <a:stretch>
                      <a:fillRect/>
                    </a:stretch>
                  </pic:blipFill>
                  <pic:spPr>
                    <a:xfrm>
                      <a:off x="0" y="0"/>
                      <a:ext cx="3620770" cy="1966595"/>
                    </a:xfrm>
                    <a:prstGeom prst="rect">
                      <a:avLst/>
                    </a:prstGeom>
                  </pic:spPr>
                </pic:pic>
              </a:graphicData>
            </a:graphic>
          </wp:inline>
        </w:drawing>
      </w:r>
    </w:p>
    <w:p>
      <w:pPr>
        <w:pStyle w:val="6"/>
      </w:pPr>
      <w:r>
        <w:rPr>
          <w:b/>
          <w:bCs/>
        </w:rPr>
        <w:t>图</w:t>
      </w:r>
      <w:r>
        <w:rPr>
          <w:rFonts w:hint="eastAsia"/>
          <w:b/>
          <w:bCs/>
        </w:rPr>
        <w:t>4.</w:t>
      </w:r>
      <w:r>
        <w:rPr>
          <w:b/>
          <w:bCs/>
        </w:rPr>
        <w:fldChar w:fldCharType="begin"/>
      </w:r>
      <w:r>
        <w:rPr>
          <w:b/>
          <w:bCs/>
        </w:rPr>
        <w:instrText xml:space="preserve"> SEQ 图 \* ARABIC \s 1 </w:instrText>
      </w:r>
      <w:r>
        <w:rPr>
          <w:b/>
          <w:bCs/>
        </w:rPr>
        <w:fldChar w:fldCharType="separate"/>
      </w:r>
      <w:r>
        <w:rPr>
          <w:b/>
          <w:bCs/>
        </w:rPr>
        <w:t>1</w:t>
      </w:r>
      <w:r>
        <w:rPr>
          <w:b/>
          <w:bCs/>
        </w:rPr>
        <w:fldChar w:fldCharType="end"/>
      </w:r>
      <w:bookmarkStart w:id="1251" w:name="_Toc21026"/>
      <w:bookmarkStart w:id="1252" w:name="_Toc5852"/>
      <w:bookmarkStart w:id="1253" w:name="_Toc979"/>
      <w:bookmarkStart w:id="1254" w:name="_Toc11106"/>
      <w:bookmarkStart w:id="1255" w:name="_Toc9329"/>
      <w:bookmarkStart w:id="1256" w:name="_Toc20288"/>
      <w:bookmarkStart w:id="1257" w:name="_Toc3988"/>
      <w:bookmarkStart w:id="1258" w:name="_Toc24959"/>
      <w:bookmarkStart w:id="1259" w:name="_Toc9133"/>
      <w:bookmarkStart w:id="1260" w:name="_Toc10712"/>
      <w:bookmarkStart w:id="1261" w:name="_Toc25096"/>
      <w:bookmarkStart w:id="1262" w:name="_Toc12774"/>
      <w:bookmarkStart w:id="1263" w:name="_Toc27054"/>
      <w:bookmarkStart w:id="1264" w:name="_Toc13506"/>
      <w:bookmarkStart w:id="1265" w:name="_Toc25522"/>
      <w:bookmarkStart w:id="1266" w:name="_Toc24846"/>
      <w:bookmarkStart w:id="1267" w:name="_Toc19252"/>
      <w:bookmarkStart w:id="1268" w:name="_Toc14271"/>
      <w:bookmarkStart w:id="1269" w:name="_Toc17944"/>
      <w:bookmarkStart w:id="1270" w:name="_Toc16086"/>
      <w:r>
        <w:rPr>
          <w:rFonts w:hint="eastAsia"/>
        </w:rPr>
        <w:t>　插桩方式对比</w:t>
      </w:r>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pPr>
        <w:pStyle w:val="6"/>
      </w:pPr>
      <w:r>
        <w:rPr>
          <w:rFonts w:hint="eastAsia"/>
          <w:b/>
          <w:bCs/>
        </w:rPr>
        <w:t>Figure4.1</w:t>
      </w:r>
      <w:r>
        <w:rPr>
          <w:rFonts w:hint="eastAsia"/>
        </w:rPr>
        <w:t>　Comparison of instrumentation methods</w:t>
      </w:r>
    </w:p>
    <w:p>
      <w:pPr>
        <w:ind w:firstLine="480" w:firstLineChars="200"/>
      </w:pPr>
      <w:r>
        <w:rPr>
          <w:rFonts w:hint="eastAsia"/>
        </w:rPr>
        <w:t>本文设计SGX-SEF时，针对关键执行路径上的安全关键点采用SGX软件栈插桩方式插桩审计检查代码。</w:t>
      </w:r>
    </w:p>
    <w:p>
      <w:pPr>
        <w:pStyle w:val="4"/>
        <w:rPr>
          <w:szCs w:val="24"/>
        </w:rPr>
      </w:pPr>
      <w:bookmarkStart w:id="1271" w:name="_Toc27804"/>
      <w:bookmarkStart w:id="1272" w:name="_Toc19002"/>
      <w:bookmarkStart w:id="1273" w:name="_Toc26468"/>
      <w:bookmarkStart w:id="1274" w:name="_Toc25128"/>
      <w:bookmarkStart w:id="1275" w:name="_Toc11991"/>
      <w:bookmarkStart w:id="1276" w:name="_Toc14412"/>
      <w:bookmarkStart w:id="1277" w:name="_Toc22804"/>
      <w:bookmarkStart w:id="1278" w:name="_Toc25221"/>
      <w:bookmarkStart w:id="1279" w:name="_Toc26005"/>
      <w:bookmarkStart w:id="1280" w:name="_Toc10596"/>
      <w:bookmarkStart w:id="1281" w:name="_Toc169"/>
      <w:bookmarkStart w:id="1282" w:name="_Toc1177"/>
      <w:bookmarkStart w:id="1283" w:name="_Toc15814"/>
      <w:bookmarkStart w:id="1284" w:name="_Toc25041"/>
      <w:bookmarkStart w:id="1285" w:name="_Toc23885"/>
      <w:bookmarkStart w:id="1286" w:name="_Toc28998"/>
      <w:bookmarkStart w:id="1287" w:name="_Toc28843"/>
      <w:r>
        <w:rPr>
          <w:rFonts w:hint="eastAsia"/>
          <w:szCs w:val="24"/>
        </w:rPr>
        <w:t>4.1.2</w:t>
      </w:r>
      <w:r>
        <w:rPr>
          <w:rFonts w:hint="eastAsia"/>
        </w:rPr>
        <w:t>　</w:t>
      </w:r>
      <w:r>
        <w:rPr>
          <w:rFonts w:hint="eastAsia"/>
          <w:szCs w:val="24"/>
        </w:rPr>
        <w:t>审计检查点插桩位置</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p>
    <w:p>
      <w:pPr>
        <w:ind w:firstLine="480" w:firstLineChars="200"/>
      </w:pPr>
      <w:r>
        <w:rPr>
          <w:rFonts w:hint="eastAsia"/>
        </w:rPr>
        <w:t>一个安全关键点中存在若干代码点位可供插桩审计检查代码，但有些代码点位存在相关冲突，不适合插桩审计检查点。例如针对OCALL，如果在tRTS端OCALL流程中插桩审计检查点，审计检查代码内嵌子OCALL（如用于记录日志的文件操作和维护并发的互斥量/读写锁等功能需要通过OCALL调用系统调用），那么就可能出现非预期的错误。错误原因的关键点在于（如图4.2所示）：</w:t>
      </w:r>
    </w:p>
    <w:p>
      <w:pPr>
        <w:numPr>
          <w:ilvl w:val="0"/>
          <w:numId w:val="17"/>
        </w:numPr>
        <w:ind w:left="845"/>
      </w:pPr>
      <w:r>
        <w:rPr>
          <w:rFonts w:hint="eastAsia"/>
        </w:rPr>
        <w:t>带参数OCALL的tRTS端Stub函数中使用sgx_ocalloc函数将存储于Enclave内的参数复制到Enclave外，供OCALL后续使用。</w:t>
      </w:r>
    </w:p>
    <w:p>
      <w:pPr>
        <w:numPr>
          <w:ilvl w:val="0"/>
          <w:numId w:val="17"/>
        </w:numPr>
        <w:ind w:left="845"/>
      </w:pPr>
      <w:r>
        <w:rPr>
          <w:rFonts w:hint="eastAsia"/>
        </w:rPr>
        <w:t>由于当前环境为tRTS，不可信栈帧的u_RBP和u_RSP值（64位寄存器，u代表不可信）已被备份到SSA中，因此sgx_ocalloc会调整SSA中的u_RBP及u_RSP值将拷贝到Enclave外的参数包裹到不可信栈帧中。</w:t>
      </w:r>
    </w:p>
    <w:p>
      <w:pPr>
        <w:numPr>
          <w:ilvl w:val="0"/>
          <w:numId w:val="17"/>
        </w:numPr>
        <w:ind w:left="845"/>
      </w:pPr>
      <w:r>
        <w:rPr>
          <w:rFonts w:hint="eastAsia"/>
        </w:rPr>
        <w:t>但是如果父OCALL的sgx_ocalloc与sgx_ocfree之间内嵌了子OCALL（含sgx_ocalloc），那么父OCALL对u_RSP的调整操作将丢失，导致父OCALL代码出错。</w:t>
      </w:r>
    </w:p>
    <w:p>
      <w:pPr>
        <w:jc w:val="center"/>
      </w:pPr>
      <w:r>
        <w:rPr>
          <w:rFonts w:hint="eastAsia"/>
        </w:rPr>
        <w:drawing>
          <wp:inline distT="0" distB="0" distL="114300" distR="114300">
            <wp:extent cx="3714115" cy="2118360"/>
            <wp:effectExtent l="0" t="0" r="6985" b="2540"/>
            <wp:docPr id="19" name="图片 19" descr="1617293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17293077(1)"/>
                    <pic:cNvPicPr>
                      <a:picLocks noChangeAspect="1"/>
                    </pic:cNvPicPr>
                  </pic:nvPicPr>
                  <pic:blipFill>
                    <a:blip r:embed="rId58"/>
                    <a:stretch>
                      <a:fillRect/>
                    </a:stretch>
                  </pic:blipFill>
                  <pic:spPr>
                    <a:xfrm>
                      <a:off x="0" y="0"/>
                      <a:ext cx="3714115" cy="2118360"/>
                    </a:xfrm>
                    <a:prstGeom prst="rect">
                      <a:avLst/>
                    </a:prstGeom>
                  </pic:spPr>
                </pic:pic>
              </a:graphicData>
            </a:graphic>
          </wp:inline>
        </w:drawing>
      </w:r>
    </w:p>
    <w:p>
      <w:pPr>
        <w:pStyle w:val="6"/>
      </w:pPr>
      <w:r>
        <w:rPr>
          <w:b/>
          <w:bCs/>
        </w:rPr>
        <w:t>图</w:t>
      </w:r>
      <w:r>
        <w:rPr>
          <w:rFonts w:hint="eastAsia"/>
          <w:b/>
          <w:bCs/>
        </w:rPr>
        <w:t>4.</w:t>
      </w:r>
      <w:r>
        <w:rPr>
          <w:b/>
          <w:bCs/>
        </w:rPr>
        <w:fldChar w:fldCharType="begin"/>
      </w:r>
      <w:r>
        <w:rPr>
          <w:b/>
          <w:bCs/>
        </w:rPr>
        <w:instrText xml:space="preserve"> SEQ 图 \* ARABIC \s 1 </w:instrText>
      </w:r>
      <w:r>
        <w:rPr>
          <w:b/>
          <w:bCs/>
        </w:rPr>
        <w:fldChar w:fldCharType="separate"/>
      </w:r>
      <w:r>
        <w:rPr>
          <w:b/>
          <w:bCs/>
        </w:rPr>
        <w:t>2</w:t>
      </w:r>
      <w:r>
        <w:rPr>
          <w:b/>
          <w:bCs/>
        </w:rPr>
        <w:fldChar w:fldCharType="end"/>
      </w:r>
      <w:bookmarkStart w:id="1288" w:name="_Toc18143"/>
      <w:bookmarkStart w:id="1289" w:name="_Toc26425"/>
      <w:bookmarkStart w:id="1290" w:name="_Toc22944"/>
      <w:bookmarkStart w:id="1291" w:name="_Toc21194"/>
      <w:bookmarkStart w:id="1292" w:name="_Toc2015"/>
      <w:bookmarkStart w:id="1293" w:name="_Toc18106"/>
      <w:bookmarkStart w:id="1294" w:name="_Toc14474"/>
      <w:bookmarkStart w:id="1295" w:name="_Toc26002"/>
      <w:bookmarkStart w:id="1296" w:name="_Toc17047"/>
      <w:bookmarkStart w:id="1297" w:name="_Toc11984"/>
      <w:bookmarkStart w:id="1298" w:name="_Toc17414"/>
      <w:bookmarkStart w:id="1299" w:name="_Toc4450"/>
      <w:bookmarkStart w:id="1300" w:name="_Toc26094"/>
      <w:bookmarkStart w:id="1301" w:name="_Toc8816"/>
      <w:bookmarkStart w:id="1302" w:name="_Toc7201"/>
      <w:bookmarkStart w:id="1303" w:name="_Toc556"/>
      <w:bookmarkStart w:id="1304" w:name="_Toc29410"/>
      <w:bookmarkStart w:id="1305" w:name="_Toc30371"/>
      <w:bookmarkStart w:id="1306" w:name="_Toc24166"/>
      <w:bookmarkStart w:id="1307" w:name="_Toc9966"/>
      <w:r>
        <w:rPr>
          <w:rFonts w:hint="eastAsia"/>
        </w:rPr>
        <w:t>　OCALL Stub函数示意图</w:t>
      </w:r>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
    <w:p>
      <w:pPr>
        <w:pStyle w:val="6"/>
      </w:pPr>
      <w:r>
        <w:rPr>
          <w:rFonts w:hint="eastAsia"/>
          <w:b/>
          <w:bCs/>
        </w:rPr>
        <w:t>Figure4.2</w:t>
      </w:r>
      <w:r>
        <w:rPr>
          <w:rFonts w:hint="eastAsia"/>
        </w:rPr>
        <w:t>　Diagram of OCALL Stub function</w:t>
      </w:r>
    </w:p>
    <w:p>
      <w:pPr>
        <w:ind w:firstLine="480" w:firstLineChars="200"/>
      </w:pPr>
      <w:r>
        <w:rPr>
          <w:rFonts w:hint="eastAsia"/>
        </w:rPr>
        <w:t>因此，sgx_ocalloc和sgx_ocfree之间不适合内嵌（包含sgx_ocalloc的）子OCALL。SGX-SEF将针对OCALL的审计检查点位定在了tRTS端Stub函数中及sgx_ocalloc-sgx_ocfree外。</w:t>
      </w:r>
    </w:p>
    <w:p>
      <w:pPr>
        <w:ind w:firstLine="480" w:firstLineChars="200"/>
      </w:pPr>
      <w:r>
        <w:rPr>
          <w:rFonts w:hint="eastAsia"/>
        </w:rPr>
        <w:t>针对“Ordinary/Switchless ECALL/OCALL及其结束”，修改SGX Edger8r工具将审计检查点自动部署到tRTS端各个Stub函数内。针对AEX，在tRTS端异常处理函数（trts_handle_exception）中插桩审计检查点，但该审计检查点能被不可信内核绕过。针对tRTS提供的受保护文件系统库等，在其关键执行路径上插桩审计检查点，如在sgx_fread插桩审计检查点避免读取的文件内容存在恶意信息。</w:t>
      </w:r>
    </w:p>
    <w:p>
      <w:pPr>
        <w:pStyle w:val="4"/>
        <w:rPr>
          <w:rFonts w:hint="default" w:eastAsia="黑体"/>
          <w:lang w:val="en-US" w:eastAsia="zh-CN"/>
        </w:rPr>
      </w:pPr>
      <w:bookmarkStart w:id="1308" w:name="_Toc19557"/>
      <w:bookmarkStart w:id="1309" w:name="_Toc3769"/>
      <w:bookmarkStart w:id="1310" w:name="_Toc27560"/>
      <w:bookmarkStart w:id="1311" w:name="_Toc24646"/>
      <w:bookmarkStart w:id="1312" w:name="_Toc4340"/>
      <w:bookmarkStart w:id="1313" w:name="_Toc19658"/>
      <w:bookmarkStart w:id="1314" w:name="_Toc8058"/>
      <w:bookmarkStart w:id="1315" w:name="_Toc15589"/>
      <w:bookmarkStart w:id="1316" w:name="_Toc18006"/>
      <w:bookmarkStart w:id="1317" w:name="_Toc7209"/>
      <w:bookmarkStart w:id="1318" w:name="_Toc30137"/>
      <w:bookmarkStart w:id="1319" w:name="_Toc16327"/>
      <w:bookmarkStart w:id="1320" w:name="_Toc19314"/>
      <w:bookmarkStart w:id="1321" w:name="_Toc1226"/>
      <w:bookmarkStart w:id="1322" w:name="_Toc3177"/>
      <w:bookmarkStart w:id="1323" w:name="_Toc32371"/>
      <w:bookmarkStart w:id="1324" w:name="_Toc24737"/>
      <w:r>
        <w:rPr>
          <w:rFonts w:hint="eastAsia"/>
        </w:rPr>
        <w:t>4.1.3　安全事件审计</w:t>
      </w:r>
      <w:bookmarkEnd w:id="1241"/>
      <w:bookmarkEnd w:id="1242"/>
      <w:bookmarkEnd w:id="1243"/>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p>
    <w:p>
      <w:pPr>
        <w:ind w:firstLine="480" w:firstLineChars="200"/>
      </w:pPr>
      <w:r>
        <w:rPr>
          <w:rFonts w:hint="eastAsia"/>
        </w:rPr>
        <w:t>为了对SGX安全关键点进行安全加固，本节设计了针对安全事件的审计功能，旨在将安全关键点上的安全事件逐一记录，以便防御者度量安全事件并分析攻击痕迹。</w:t>
      </w:r>
    </w:p>
    <w:p>
      <w:pPr>
        <w:ind w:firstLine="480" w:firstLineChars="200"/>
      </w:pPr>
      <w:r>
        <w:rPr>
          <w:rFonts w:hint="eastAsia"/>
        </w:rPr>
        <w:t>审计功能：当代码执行到审计检查点时，将当前安全事件的环境信息【包括当前事件类型（ECALL/OCALL/AEX/其他）、函数名、函数索引值（索引值唯一对应了其地址）和参数信息等】传入审计检查点，审计检查点将安全事件记录到Enclave内的全局日志中。针对全局日志，目前实现了两种存储方式：Enclave内存方式和密封文件方式。</w:t>
      </w:r>
    </w:p>
    <w:p>
      <w:pPr>
        <w:ind w:firstLine="480" w:firstLineChars="200"/>
      </w:pPr>
      <w:r>
        <w:rPr>
          <w:rFonts w:hint="eastAsia"/>
        </w:rPr>
        <w:t>Enclave内存方式：全局日志以</w:t>
      </w:r>
      <w:r>
        <w:t>数据结构</w:t>
      </w:r>
      <w:r>
        <w:rPr>
          <w:rFonts w:hint="eastAsia"/>
        </w:rPr>
        <w:t>形式存储在Enclave内存中</w:t>
      </w:r>
      <w:r>
        <w:t>。</w:t>
      </w:r>
      <w:r>
        <w:rPr>
          <w:rFonts w:hint="eastAsia"/>
        </w:rPr>
        <w:t>本文采用有限长度的双端队列数据结构，删除最久远的日志记录避免占用过大的Enclave内存，避免程序崩溃。由于EPC物理内存大小有限（如64M/128M/256M），使得每个Enclave实例的内存大小有限，当内存使用超出限制时会导致程序崩溃。</w:t>
      </w:r>
    </w:p>
    <w:p>
      <w:pPr>
        <w:ind w:firstLine="480" w:firstLineChars="200"/>
      </w:pPr>
      <w:r>
        <w:rPr>
          <w:rFonts w:hint="eastAsia"/>
        </w:rPr>
        <w:t>密封文件方式：将日志以密封文件方式存储到外存。这能减少对Enclave内存的消耗，但由于密封文件能被攻击者恶意删除，使得全局日志的可用性无法得到保障。密封文件方式开销巨大（涉及加解密和OCALL等）使其在应用中导致程序执行时间过长。</w:t>
      </w:r>
    </w:p>
    <w:p>
      <w:pPr>
        <w:ind w:firstLine="480" w:firstLineChars="200"/>
      </w:pPr>
      <w:r>
        <w:rPr>
          <w:rFonts w:hint="eastAsia"/>
        </w:rPr>
        <w:t>SGX-SEF设计实现了这两种日志存储方式，默认使用Enclave内存方式记录全局日志，不建议使用开销巨大的密封文件方式。</w:t>
      </w:r>
    </w:p>
    <w:p>
      <w:pPr>
        <w:pStyle w:val="4"/>
        <w:rPr>
          <w:rFonts w:hint="default" w:eastAsia="黑体"/>
          <w:lang w:val="en-US" w:eastAsia="zh-CN"/>
        </w:rPr>
      </w:pPr>
      <w:bookmarkStart w:id="1325" w:name="_Toc11271"/>
      <w:bookmarkStart w:id="1326" w:name="_Toc20867"/>
      <w:bookmarkStart w:id="1327" w:name="_Toc15231"/>
      <w:bookmarkStart w:id="1328" w:name="_Toc4826"/>
      <w:bookmarkStart w:id="1329" w:name="_Toc13443"/>
      <w:bookmarkStart w:id="1330" w:name="_Toc22871"/>
      <w:bookmarkStart w:id="1331" w:name="_Toc1189"/>
      <w:bookmarkStart w:id="1332" w:name="_Toc10502"/>
      <w:bookmarkStart w:id="1333" w:name="_Toc1647"/>
      <w:bookmarkStart w:id="1334" w:name="_Toc25820"/>
      <w:bookmarkStart w:id="1335" w:name="_Toc22296"/>
      <w:bookmarkStart w:id="1336" w:name="_Toc13622"/>
      <w:bookmarkStart w:id="1337" w:name="_Toc3684"/>
      <w:bookmarkStart w:id="1338" w:name="_Toc30455"/>
      <w:bookmarkStart w:id="1339" w:name="_Toc2010"/>
      <w:bookmarkStart w:id="1340" w:name="_Toc29252"/>
      <w:bookmarkStart w:id="1341" w:name="_Toc11625"/>
      <w:bookmarkStart w:id="1342" w:name="_Toc11330"/>
      <w:bookmarkStart w:id="1343" w:name="_Toc21235"/>
      <w:bookmarkStart w:id="1344" w:name="_Toc12861"/>
      <w:r>
        <w:rPr>
          <w:rFonts w:hint="eastAsia"/>
        </w:rPr>
        <w:t>4.1.4</w:t>
      </w:r>
      <w:bookmarkStart w:id="1345" w:name="OLE_LINK43"/>
      <w:r>
        <w:rPr>
          <w:rFonts w:hint="eastAsia"/>
        </w:rPr>
        <w:t>　</w:t>
      </w:r>
      <w:bookmarkEnd w:id="1345"/>
      <w:r>
        <w:rPr>
          <w:rFonts w:hint="eastAsia"/>
        </w:rPr>
        <w:t>安全事件检查</w:t>
      </w:r>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p>
    <w:p>
      <w:pPr>
        <w:ind w:firstLine="480" w:firstLineChars="200"/>
      </w:pPr>
      <w:r>
        <w:rPr>
          <w:rFonts w:hint="eastAsia"/>
        </w:rPr>
        <w:t>设计安全事件检查功能，分析审计检查点获取的安全事件信息根据安全策略检测攻击。审计检查点内部架构如图4.3所示。Enclave内从不可信环境（依靠安全建立等技术）可信读取策略文件及符号表。当代码执行到审计检查点时，审计检查点会记录安全事件信息到全局日志中（即审计功能），根据安全策略进行安全事件检查操作（能够查询全局日志实现联动检查），若符合策略，代码继续执行，若不符合策略，审计检查点发出警告或终止代码运行等。</w:t>
      </w:r>
    </w:p>
    <w:p>
      <w:pPr>
        <w:jc w:val="center"/>
      </w:pPr>
      <w:r>
        <w:rPr>
          <w:rFonts w:hint="eastAsia"/>
        </w:rPr>
        <w:drawing>
          <wp:inline distT="0" distB="0" distL="114300" distR="114300">
            <wp:extent cx="3601085" cy="2560320"/>
            <wp:effectExtent l="0" t="0" r="5715" b="5080"/>
            <wp:docPr id="1" name="图片 1" descr="1617333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17333535(1)"/>
                    <pic:cNvPicPr>
                      <a:picLocks noChangeAspect="1"/>
                    </pic:cNvPicPr>
                  </pic:nvPicPr>
                  <pic:blipFill>
                    <a:blip r:embed="rId59"/>
                    <a:stretch>
                      <a:fillRect/>
                    </a:stretch>
                  </pic:blipFill>
                  <pic:spPr>
                    <a:xfrm>
                      <a:off x="0" y="0"/>
                      <a:ext cx="3601085" cy="2560320"/>
                    </a:xfrm>
                    <a:prstGeom prst="rect">
                      <a:avLst/>
                    </a:prstGeom>
                  </pic:spPr>
                </pic:pic>
              </a:graphicData>
            </a:graphic>
          </wp:inline>
        </w:drawing>
      </w:r>
    </w:p>
    <w:p>
      <w:pPr>
        <w:pStyle w:val="6"/>
      </w:pPr>
      <w:r>
        <w:rPr>
          <w:b/>
          <w:bCs/>
        </w:rPr>
        <w:t>图</w:t>
      </w:r>
      <w:r>
        <w:rPr>
          <w:rFonts w:hint="eastAsia"/>
          <w:b/>
          <w:bCs/>
        </w:rPr>
        <w:t>4.</w:t>
      </w:r>
      <w:r>
        <w:rPr>
          <w:b/>
          <w:bCs/>
        </w:rPr>
        <w:fldChar w:fldCharType="begin"/>
      </w:r>
      <w:r>
        <w:rPr>
          <w:b/>
          <w:bCs/>
        </w:rPr>
        <w:instrText xml:space="preserve"> SEQ 图 \* ARABIC \s 1 </w:instrText>
      </w:r>
      <w:r>
        <w:rPr>
          <w:b/>
          <w:bCs/>
        </w:rPr>
        <w:fldChar w:fldCharType="separate"/>
      </w:r>
      <w:r>
        <w:rPr>
          <w:b/>
          <w:bCs/>
        </w:rPr>
        <w:t>3</w:t>
      </w:r>
      <w:r>
        <w:rPr>
          <w:b/>
          <w:bCs/>
        </w:rPr>
        <w:fldChar w:fldCharType="end"/>
      </w:r>
      <w:bookmarkStart w:id="1346" w:name="_Toc28335"/>
      <w:bookmarkStart w:id="1347" w:name="_Toc29830"/>
      <w:bookmarkStart w:id="1348" w:name="_Toc18988"/>
      <w:bookmarkStart w:id="1349" w:name="_Toc20508"/>
      <w:bookmarkStart w:id="1350" w:name="_Toc10151"/>
      <w:bookmarkStart w:id="1351" w:name="_Toc29552"/>
      <w:bookmarkStart w:id="1352" w:name="_Toc28696"/>
      <w:bookmarkStart w:id="1353" w:name="_Toc3323"/>
      <w:bookmarkStart w:id="1354" w:name="_Toc7366"/>
      <w:r>
        <w:rPr>
          <w:rFonts w:hint="eastAsia"/>
        </w:rPr>
        <w:t>　审计检查点内部架构</w:t>
      </w:r>
      <w:bookmarkEnd w:id="1346"/>
      <w:bookmarkEnd w:id="1347"/>
      <w:bookmarkEnd w:id="1348"/>
      <w:bookmarkEnd w:id="1349"/>
      <w:bookmarkEnd w:id="1350"/>
      <w:bookmarkEnd w:id="1351"/>
      <w:bookmarkEnd w:id="1352"/>
      <w:bookmarkEnd w:id="1353"/>
      <w:bookmarkEnd w:id="1354"/>
    </w:p>
    <w:p>
      <w:pPr>
        <w:pStyle w:val="6"/>
      </w:pPr>
      <w:r>
        <w:rPr>
          <w:rStyle w:val="32"/>
          <w:rFonts w:hint="eastAsia"/>
          <w:b/>
          <w:bCs/>
        </w:rPr>
        <w:t>Figure4.3</w:t>
      </w:r>
      <w:r>
        <w:rPr>
          <w:rFonts w:hint="eastAsia"/>
        </w:rPr>
        <w:t>　Internal architecture of audit-checkpoints</w:t>
      </w:r>
    </w:p>
    <w:p>
      <w:pPr>
        <w:ind w:firstLine="480" w:firstLineChars="200"/>
      </w:pPr>
      <w:r>
        <w:rPr>
          <w:rFonts w:hint="eastAsia"/>
        </w:rPr>
        <w:t>审计检查点主要包括事件获取、日志记录、安全策略、符号表和策略匹配五个关键部分。</w:t>
      </w:r>
    </w:p>
    <w:p>
      <w:pPr>
        <w:numPr>
          <w:ilvl w:val="255"/>
          <w:numId w:val="0"/>
        </w:numPr>
        <w:ind w:firstLine="480" w:firstLineChars="200"/>
      </w:pPr>
      <w:bookmarkStart w:id="1355" w:name="_Toc12151"/>
      <w:bookmarkStart w:id="1356" w:name="_Toc27666"/>
      <w:bookmarkStart w:id="1357" w:name="_Toc614"/>
      <w:bookmarkStart w:id="1358" w:name="_Toc11374"/>
      <w:bookmarkStart w:id="1359" w:name="_Toc20282"/>
      <w:bookmarkStart w:id="1360" w:name="_Toc14661"/>
      <w:bookmarkStart w:id="1361" w:name="_Toc27841"/>
      <w:bookmarkStart w:id="1362" w:name="_Toc11186"/>
      <w:bookmarkStart w:id="1363" w:name="_Toc10908"/>
      <w:bookmarkStart w:id="1364" w:name="_Toc31853"/>
      <w:bookmarkStart w:id="1365" w:name="_Toc22180"/>
      <w:r>
        <w:rPr>
          <w:rFonts w:hint="eastAsia"/>
        </w:rPr>
        <w:t>事件获取</w:t>
      </w:r>
      <w:bookmarkEnd w:id="1355"/>
      <w:bookmarkEnd w:id="1356"/>
      <w:bookmarkEnd w:id="1357"/>
      <w:bookmarkEnd w:id="1358"/>
      <w:bookmarkEnd w:id="1359"/>
      <w:bookmarkEnd w:id="1360"/>
      <w:bookmarkEnd w:id="1361"/>
      <w:bookmarkEnd w:id="1362"/>
      <w:bookmarkEnd w:id="1363"/>
      <w:bookmarkEnd w:id="1364"/>
      <w:bookmarkEnd w:id="1365"/>
      <w:r>
        <w:rPr>
          <w:rFonts w:hint="eastAsia"/>
        </w:rPr>
        <w:t>。当代码执行到审计检查点时，将安全事件环境信息传给审计检查点。安全事件信息包括事件类型（ECALL/OCALL/AEX/其他）、函数符号名、函数索引值（索引值唯一对应其地址）和参数信息等。</w:t>
      </w:r>
      <w:bookmarkStart w:id="1366" w:name="_Toc7861"/>
      <w:bookmarkStart w:id="1367" w:name="_Toc10278"/>
    </w:p>
    <w:p>
      <w:pPr>
        <w:numPr>
          <w:ilvl w:val="255"/>
          <w:numId w:val="0"/>
        </w:numPr>
        <w:ind w:firstLine="480" w:firstLineChars="200"/>
      </w:pPr>
      <w:bookmarkStart w:id="1368" w:name="_Toc19872"/>
      <w:bookmarkStart w:id="1369" w:name="_Toc3582"/>
      <w:bookmarkStart w:id="1370" w:name="_Toc15884"/>
      <w:bookmarkStart w:id="1371" w:name="_Toc21924"/>
      <w:bookmarkStart w:id="1372" w:name="_Toc7303"/>
      <w:bookmarkStart w:id="1373" w:name="_Toc16842"/>
      <w:bookmarkStart w:id="1374" w:name="_Toc15966"/>
      <w:bookmarkStart w:id="1375" w:name="_Toc18835"/>
      <w:bookmarkStart w:id="1376" w:name="_Toc25092"/>
      <w:bookmarkStart w:id="1377" w:name="_Toc3025"/>
      <w:bookmarkStart w:id="1378" w:name="_Toc25176"/>
      <w:r>
        <w:rPr>
          <w:rFonts w:hint="eastAsia"/>
        </w:rPr>
        <w:t>日志记录</w:t>
      </w:r>
      <w:bookmarkEnd w:id="1366"/>
      <w:bookmarkEnd w:id="1367"/>
      <w:bookmarkEnd w:id="1368"/>
      <w:bookmarkEnd w:id="1369"/>
      <w:bookmarkEnd w:id="1370"/>
      <w:bookmarkEnd w:id="1371"/>
      <w:bookmarkEnd w:id="1372"/>
      <w:bookmarkEnd w:id="1373"/>
      <w:bookmarkEnd w:id="1374"/>
      <w:bookmarkEnd w:id="1375"/>
      <w:bookmarkEnd w:id="1376"/>
      <w:bookmarkEnd w:id="1377"/>
      <w:bookmarkEnd w:id="1378"/>
      <w:r>
        <w:rPr>
          <w:rFonts w:hint="eastAsia"/>
        </w:rPr>
        <w:t>。本文维护了全局日志以记录所有安全事件，检查功能中可以查询全局日志实现联动检查。针对全局日志，设计了Enclave内存方式及密封文件方式，默认采用Enclave内存方式，不推荐开销巨大的密封文件方式。</w:t>
      </w:r>
      <w:bookmarkStart w:id="1379" w:name="_Toc1616"/>
      <w:bookmarkStart w:id="1380" w:name="_Toc8158"/>
    </w:p>
    <w:p>
      <w:pPr>
        <w:numPr>
          <w:ilvl w:val="255"/>
          <w:numId w:val="0"/>
        </w:numPr>
        <w:ind w:firstLine="480" w:firstLineChars="200"/>
      </w:pPr>
      <w:bookmarkStart w:id="1381" w:name="_Toc29644"/>
      <w:bookmarkStart w:id="1382" w:name="_Toc28341"/>
      <w:bookmarkStart w:id="1383" w:name="_Toc31411"/>
      <w:bookmarkStart w:id="1384" w:name="_Toc19815"/>
      <w:bookmarkStart w:id="1385" w:name="_Toc14223"/>
      <w:bookmarkStart w:id="1386" w:name="_Toc11280"/>
      <w:bookmarkStart w:id="1387" w:name="_Toc17352"/>
      <w:bookmarkStart w:id="1388" w:name="_Toc29821"/>
      <w:bookmarkStart w:id="1389" w:name="_Toc6329"/>
      <w:bookmarkStart w:id="1390" w:name="_Toc15682"/>
      <w:bookmarkStart w:id="1391" w:name="_Toc3644"/>
      <w:r>
        <w:rPr>
          <w:rFonts w:hint="eastAsia"/>
        </w:rPr>
        <w:t>安全策略</w:t>
      </w:r>
      <w:bookmarkEnd w:id="1379"/>
      <w:bookmarkEnd w:id="1380"/>
      <w:bookmarkEnd w:id="1381"/>
      <w:bookmarkEnd w:id="1382"/>
      <w:bookmarkEnd w:id="1383"/>
      <w:bookmarkEnd w:id="1384"/>
      <w:bookmarkEnd w:id="1385"/>
      <w:bookmarkEnd w:id="1386"/>
      <w:bookmarkEnd w:id="1387"/>
      <w:bookmarkEnd w:id="1388"/>
      <w:bookmarkEnd w:id="1389"/>
      <w:bookmarkEnd w:id="1390"/>
      <w:bookmarkEnd w:id="1391"/>
      <w:r>
        <w:rPr>
          <w:rFonts w:hint="eastAsia"/>
        </w:rPr>
        <w:t>。防御者基于SGX-SEF制定安全策略，达到所要求的安全准则。tRTS端的审计检查点需要可信读取存储在不可信硬盘上的安全策略文件。本文修改SGX Edger8r以读取安全策略文件，将安全策略重新组织成tRTS端Stub内的数据结构，使安全策略与Stub一起编译到Enclave镜像文件中（Enclave镜像文件受签名保护），利用Enclave实例安全建立机制检测安全策略是否被篡改。</w:t>
      </w:r>
      <w:bookmarkStart w:id="1392" w:name="_Toc22517"/>
      <w:bookmarkStart w:id="1393" w:name="_Toc24064"/>
    </w:p>
    <w:p>
      <w:pPr>
        <w:numPr>
          <w:ilvl w:val="255"/>
          <w:numId w:val="0"/>
        </w:numPr>
        <w:ind w:firstLine="480" w:firstLineChars="200"/>
      </w:pPr>
      <w:bookmarkStart w:id="1394" w:name="_Toc4629"/>
      <w:bookmarkStart w:id="1395" w:name="_Toc16065"/>
      <w:bookmarkStart w:id="1396" w:name="_Toc30351"/>
      <w:bookmarkStart w:id="1397" w:name="_Toc14240"/>
      <w:bookmarkStart w:id="1398" w:name="_Toc14268"/>
      <w:bookmarkStart w:id="1399" w:name="_Toc12686"/>
      <w:bookmarkStart w:id="1400" w:name="_Toc4104"/>
      <w:bookmarkStart w:id="1401" w:name="_Toc32742"/>
      <w:bookmarkStart w:id="1402" w:name="_Toc13183"/>
      <w:bookmarkStart w:id="1403" w:name="_Toc24104"/>
      <w:bookmarkStart w:id="1404" w:name="_Toc6674"/>
      <w:r>
        <w:rPr>
          <w:rFonts w:hint="eastAsia"/>
        </w:rPr>
        <w:t>符号表</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r>
        <w:rPr>
          <w:rFonts w:hint="eastAsia"/>
        </w:rPr>
        <w:t>。安全策略以字符形式存储于策略文件中，但实际检查时只能使用函数和参数的地址信息（非Debug模式下去除了大部分符号名），审计检查点无法直接比对字符名与地址。对此修改SGX Edger8r，在SGX Edger8r读取EDL文件时，在Stub文件中额外生成多个符号表（包含了地址与符号名的对应关系），帮助审计检查点完成检查操作。</w:t>
      </w:r>
      <w:bookmarkStart w:id="1405" w:name="_Toc13613"/>
      <w:bookmarkStart w:id="1406" w:name="_Toc29145"/>
    </w:p>
    <w:p>
      <w:pPr>
        <w:numPr>
          <w:ilvl w:val="255"/>
          <w:numId w:val="0"/>
        </w:numPr>
        <w:ind w:firstLine="480" w:firstLineChars="200"/>
      </w:pPr>
      <w:bookmarkStart w:id="1407" w:name="_Toc25498"/>
      <w:bookmarkStart w:id="1408" w:name="_Toc20177"/>
      <w:bookmarkStart w:id="1409" w:name="_Toc7650"/>
      <w:bookmarkStart w:id="1410" w:name="_Toc31668"/>
      <w:bookmarkStart w:id="1411" w:name="_Toc1705"/>
      <w:bookmarkStart w:id="1412" w:name="_Toc15646"/>
      <w:bookmarkStart w:id="1413" w:name="_Toc9738"/>
      <w:bookmarkStart w:id="1414" w:name="_Toc18941"/>
      <w:bookmarkStart w:id="1415" w:name="_Toc19907"/>
      <w:bookmarkStart w:id="1416" w:name="_Toc14784"/>
      <w:bookmarkStart w:id="1417" w:name="_Toc2178"/>
      <w:r>
        <w:rPr>
          <w:rFonts w:hint="eastAsia"/>
        </w:rPr>
        <w:t>策略匹配</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r>
        <w:rPr>
          <w:rFonts w:hint="eastAsia"/>
        </w:rPr>
        <w:t>。本文针对调用排序、并发调用、恶意线程调度和时间侧信道攻击向量提供了安全策略文件及策略匹配算法，以检测当前程序运行是否符合安全策略，如果符合安全策略，程序继续执行，否则审计检查点返回错误码并终止程序执行。</w:t>
      </w:r>
    </w:p>
    <w:p>
      <w:pPr>
        <w:pStyle w:val="3"/>
      </w:pPr>
      <w:bookmarkStart w:id="1418" w:name="_Toc14650"/>
      <w:bookmarkStart w:id="1419" w:name="_Toc13337"/>
      <w:bookmarkStart w:id="1420" w:name="_Toc28767"/>
      <w:bookmarkStart w:id="1421" w:name="_Toc26616"/>
      <w:bookmarkStart w:id="1422" w:name="_Toc21852"/>
      <w:bookmarkStart w:id="1423" w:name="_Toc30295"/>
      <w:bookmarkStart w:id="1424" w:name="_Toc28829"/>
      <w:bookmarkStart w:id="1425" w:name="_Toc12730"/>
      <w:bookmarkStart w:id="1426" w:name="_Toc22825"/>
      <w:bookmarkStart w:id="1427" w:name="_Toc22393"/>
      <w:bookmarkStart w:id="1428" w:name="_Toc21310"/>
      <w:bookmarkStart w:id="1429" w:name="_Toc26397"/>
      <w:bookmarkStart w:id="1430" w:name="_Toc32588"/>
      <w:bookmarkStart w:id="1431" w:name="_Toc29823"/>
      <w:bookmarkStart w:id="1432" w:name="_Toc27450"/>
      <w:bookmarkStart w:id="1433" w:name="_Toc12801"/>
      <w:bookmarkStart w:id="1434" w:name="_Toc8085"/>
      <w:r>
        <w:rPr>
          <w:rFonts w:hint="eastAsia"/>
        </w:rPr>
        <w:t>4.2　对SGX原生软件栈的修改</w:t>
      </w:r>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p>
    <w:p>
      <w:pPr>
        <w:ind w:firstLine="480" w:firstLineChars="200"/>
      </w:pPr>
      <w:r>
        <w:rPr>
          <w:rFonts w:hint="eastAsia"/>
        </w:rPr>
        <w:t>SGX-SEF在SGX软件栈关键执行路径中插桩若干审计检查点，审计检查安全事件，加固安全关键点。SGX-SEF对SGX原生软件栈所做修改如图4.4所示（图中斜纹形状）：</w:t>
      </w:r>
    </w:p>
    <w:p>
      <w:pPr>
        <w:numPr>
          <w:ilvl w:val="0"/>
          <w:numId w:val="18"/>
        </w:numPr>
      </w:pPr>
      <w:r>
        <w:rPr>
          <w:rFonts w:hint="eastAsia"/>
        </w:rPr>
        <w:t xml:space="preserve">修改SGX </w:t>
      </w:r>
      <w:r>
        <w:t>E</w:t>
      </w:r>
      <w:r>
        <w:rPr>
          <w:rFonts w:hint="eastAsia"/>
        </w:rPr>
        <w:t>dger8r将安全策略、符号表和审计检查点入口等固化到tRTS端Stub，使新增内容受到Enclave实例安全建立机制的保护。</w:t>
      </w:r>
    </w:p>
    <w:p>
      <w:pPr>
        <w:numPr>
          <w:ilvl w:val="0"/>
          <w:numId w:val="18"/>
        </w:numPr>
      </w:pPr>
      <w:r>
        <w:rPr>
          <w:rFonts w:hint="eastAsia"/>
        </w:rPr>
        <w:t>在tRTS中增加了全局日志记录及策略检查等功能。</w:t>
      </w:r>
    </w:p>
    <w:p>
      <w:pPr>
        <w:jc w:val="center"/>
      </w:pPr>
      <w:r>
        <w:rPr>
          <w:sz w:val="24"/>
        </w:rPr>
        <mc:AlternateContent>
          <mc:Choice Requires="wpg">
            <w:drawing>
              <wp:anchor distT="0" distB="0" distL="114300" distR="114300" simplePos="0" relativeHeight="251665408" behindDoc="0" locked="0" layoutInCell="1" allowOverlap="1">
                <wp:simplePos x="0" y="0"/>
                <wp:positionH relativeFrom="column">
                  <wp:posOffset>4047490</wp:posOffset>
                </wp:positionH>
                <wp:positionV relativeFrom="paragraph">
                  <wp:posOffset>1659255</wp:posOffset>
                </wp:positionV>
                <wp:extent cx="450215" cy="349250"/>
                <wp:effectExtent l="4445" t="2540" r="15240" b="3810"/>
                <wp:wrapNone/>
                <wp:docPr id="6" name="组合 6"/>
                <wp:cNvGraphicFramePr/>
                <a:graphic xmlns:a="http://schemas.openxmlformats.org/drawingml/2006/main">
                  <a:graphicData uri="http://schemas.microsoft.com/office/word/2010/wordprocessingGroup">
                    <wpg:wgp>
                      <wpg:cNvGrpSpPr/>
                      <wpg:grpSpPr>
                        <a:xfrm>
                          <a:off x="0" y="0"/>
                          <a:ext cx="450215" cy="349250"/>
                          <a:chOff x="9078" y="970719"/>
                          <a:chExt cx="836" cy="607"/>
                        </a:xfrm>
                      </wpg:grpSpPr>
                      <wps:wsp>
                        <wps:cNvPr id="29" name="直接连接符 29"/>
                        <wps:cNvCnPr/>
                        <wps:spPr>
                          <a:xfrm flipH="1">
                            <a:off x="9078" y="970719"/>
                            <a:ext cx="222" cy="3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直接连接符 30"/>
                        <wps:cNvCnPr/>
                        <wps:spPr>
                          <a:xfrm flipH="1">
                            <a:off x="9692" y="970962"/>
                            <a:ext cx="222" cy="3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flipH="1">
                            <a:off x="9303" y="970720"/>
                            <a:ext cx="347" cy="5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18.7pt;margin-top:130.65pt;height:27.5pt;width:35.45pt;z-index:251665408;mso-width-relative:page;mso-height-relative:page;" coordorigin="9078,970719" coordsize="836,607" o:gfxdata="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vTVqs2wAA&#10;AAsBAAAPAAAAAAAAAAEAIAAAACIAAABkcnMvZG93bnJldi54bWxQSwECFAAUAAAACACHTuJAbkBu&#10;dcYCAAAiCQAADgAAAAAAAAABACAAAAAqAQAAZHJzL2Uyb0RvYy54bWxQSwUGAAAAAAYABgBZAQAA&#10;YgYAAAAA&#10;">
                <o:lock v:ext="edit" aspectratio="f"/>
                <v:line id="_x0000_s1026" o:spid="_x0000_s1026" o:spt="20" style="position:absolute;left:9078;top:970719;flip:x;height:364;width:222;" filled="f" stroked="t" coordsize="21600,21600" o:gfxdata="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orNW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line id="_x0000_s1026" o:spid="_x0000_s1026" o:spt="20" style="position:absolute;left:9692;top:970962;flip:x;height:364;width:222;" filled="f" stroked="t" coordsize="21600,21600" o:gfxdata="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QYwWugAAANsA&#10;AAAPAAAAAAAAAAEAIAAAACIAAABkcnMvZG93bnJldi54bWxQSwECFAAUAAAACACHTuJAMy8FnjsA&#10;AAA5AAAAEAAAAAAAAAABACAAAAAJAQAAZHJzL3NoYXBleG1sLnhtbFBLBQYAAAAABgAGAFsBAACz&#10;AwAAAAA=&#10;">
                  <v:fill on="f" focussize="0,0"/>
                  <v:stroke color="#4A7EBB [3204]" joinstyle="round"/>
                  <v:imagedata o:title=""/>
                  <o:lock v:ext="edit" aspectratio="f"/>
                </v:line>
                <v:line id="_x0000_s1026" o:spid="_x0000_s1026" o:spt="20" style="position:absolute;left:9303;top:970720;flip:x;height:575;width:347;" filled="f" stroked="t" coordsize="21600,21600" o:gfxdata="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DSmN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group>
            </w:pict>
          </mc:Fallback>
        </mc:AlternateContent>
      </w:r>
      <w:r>
        <w:rPr>
          <w:sz w:val="24"/>
        </w:rPr>
        <mc:AlternateContent>
          <mc:Choice Requires="wpg">
            <w:drawing>
              <wp:anchor distT="0" distB="0" distL="114300" distR="114300" simplePos="0" relativeHeight="251666432" behindDoc="0" locked="0" layoutInCell="1" allowOverlap="1">
                <wp:simplePos x="0" y="0"/>
                <wp:positionH relativeFrom="column">
                  <wp:posOffset>2598420</wp:posOffset>
                </wp:positionH>
                <wp:positionV relativeFrom="paragraph">
                  <wp:posOffset>1012825</wp:posOffset>
                </wp:positionV>
                <wp:extent cx="356235" cy="291465"/>
                <wp:effectExtent l="3810" t="3175" r="8255" b="10160"/>
                <wp:wrapNone/>
                <wp:docPr id="14" name="组合 14"/>
                <wp:cNvGraphicFramePr/>
                <a:graphic xmlns:a="http://schemas.openxmlformats.org/drawingml/2006/main">
                  <a:graphicData uri="http://schemas.microsoft.com/office/word/2010/wordprocessingGroup">
                    <wpg:wgp>
                      <wpg:cNvGrpSpPr/>
                      <wpg:grpSpPr>
                        <a:xfrm>
                          <a:off x="0" y="0"/>
                          <a:ext cx="356235" cy="291465"/>
                          <a:chOff x="6681" y="969558"/>
                          <a:chExt cx="546" cy="586"/>
                        </a:xfrm>
                      </wpg:grpSpPr>
                      <wps:wsp>
                        <wps:cNvPr id="25" name="直接连接符 25"/>
                        <wps:cNvCnPr/>
                        <wps:spPr>
                          <a:xfrm flipH="1">
                            <a:off x="6681" y="969558"/>
                            <a:ext cx="222" cy="3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flipH="1">
                            <a:off x="7003" y="969748"/>
                            <a:ext cx="225" cy="3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flipH="1">
                            <a:off x="6803" y="969613"/>
                            <a:ext cx="319" cy="497"/>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04.6pt;margin-top:79.75pt;height:22.95pt;width:28.05pt;z-index:251666432;mso-width-relative:page;mso-height-relative:page;" coordorigin="6681,969558" coordsize="546,586" o:gfxdata="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DcEf4y&#10;2wAAAAsBAAAPAAAAAAAAAAEAIAAAACIAAABkcnMvZG93bnJldi54bWxQSwECFAAUAAAACACHTuJA&#10;3RvDdckCAAAkCQAADgAAAAAAAAABACAAAAAqAQAAZHJzL2Uyb0RvYy54bWxQSwUGAAAAAAYABgBZ&#10;AQAAZQYAAAAA&#10;">
                <o:lock v:ext="edit" aspectratio="f"/>
                <v:line id="_x0000_s1026" o:spid="_x0000_s1026" o:spt="20" style="position:absolute;left:6681;top:969558;flip:x;height:364;width:222;" filled="f" stroked="t" coordsize="21600,21600" o:gfxdata="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vuVO8AAAA&#10;2wAAAA8AAAAAAAAAAQAgAAAAIgAAAGRycy9kb3ducmV2LnhtbFBLAQIUABQAAAAIAIdO4kAzLwWe&#10;OwAAADkAAAAQAAAAAAAAAAEAIAAAAAsBAABkcnMvc2hhcGV4bWwueG1sUEsFBgAAAAAGAAYAWwEA&#10;ALUDAAAAAA==&#10;">
                  <v:fill on="f" focussize="0,0"/>
                  <v:stroke color="#4A7EBB [3204]" joinstyle="round"/>
                  <v:imagedata o:title=""/>
                  <o:lock v:ext="edit" aspectratio="f"/>
                </v:line>
                <v:line id="_x0000_s1026" o:spid="_x0000_s1026" o:spt="20" style="position:absolute;left:7003;top:969748;flip:x;height:397;width:225;" filled="f" stroked="t" coordsize="21600,21600" o:gfxdata="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cYK/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line id="_x0000_s1026" o:spid="_x0000_s1026" o:spt="20" style="position:absolute;left:6803;top:969613;flip:x;height:497;width:319;" filled="f" stroked="t" coordsize="21600,21600" o:gfxdata="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7hbNugAAANsA&#10;AAAPAAAAAAAAAAEAIAAAACIAAABkcnMvZG93bnJldi54bWxQSwECFAAUAAAACACHTuJAMy8FnjsA&#10;AAA5AAAAEAAAAAAAAAABACAAAAAJAQAAZHJzL3NoYXBleG1sLnhtbFBLBQYAAAAABgAGAFsBAACz&#10;AwAAAAA=&#10;">
                  <v:fill on="f" focussize="0,0"/>
                  <v:stroke color="#4A7EBB [3204]" joinstyle="round"/>
                  <v:imagedata o:title=""/>
                  <o:lock v:ext="edit" aspectratio="f"/>
                </v:line>
              </v:group>
            </w:pict>
          </mc:Fallback>
        </mc:AlternateContent>
      </w:r>
      <w:r>
        <w:rPr>
          <w:rFonts w:hint="eastAsia"/>
        </w:rPr>
        <w:drawing>
          <wp:inline distT="0" distB="0" distL="114300" distR="114300">
            <wp:extent cx="4922520" cy="3197225"/>
            <wp:effectExtent l="0" t="0" r="5080" b="3175"/>
            <wp:docPr id="24" name="图片 24" descr="SGX-SEF对SGX软件栈的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GX-SEF对SGX软件栈的修改"/>
                    <pic:cNvPicPr>
                      <a:picLocks noChangeAspect="1"/>
                    </pic:cNvPicPr>
                  </pic:nvPicPr>
                  <pic:blipFill>
                    <a:blip r:embed="rId60"/>
                    <a:stretch>
                      <a:fillRect/>
                    </a:stretch>
                  </pic:blipFill>
                  <pic:spPr>
                    <a:xfrm>
                      <a:off x="0" y="0"/>
                      <a:ext cx="4922520" cy="3197225"/>
                    </a:xfrm>
                    <a:prstGeom prst="rect">
                      <a:avLst/>
                    </a:prstGeom>
                  </pic:spPr>
                </pic:pic>
              </a:graphicData>
            </a:graphic>
          </wp:inline>
        </w:drawing>
      </w:r>
    </w:p>
    <w:p>
      <w:pPr>
        <w:pStyle w:val="6"/>
      </w:pPr>
      <w:r>
        <w:rPr>
          <w:b/>
          <w:bCs/>
        </w:rPr>
        <w:t>图</w:t>
      </w:r>
      <w:r>
        <w:rPr>
          <w:rFonts w:hint="eastAsia"/>
          <w:b/>
          <w:bCs/>
        </w:rPr>
        <w:t>4.</w:t>
      </w:r>
      <w:r>
        <w:rPr>
          <w:b/>
          <w:bCs/>
        </w:rPr>
        <w:fldChar w:fldCharType="begin"/>
      </w:r>
      <w:r>
        <w:rPr>
          <w:b/>
          <w:bCs/>
        </w:rPr>
        <w:instrText xml:space="preserve"> SEQ 图 \* ARABIC \s 1 </w:instrText>
      </w:r>
      <w:r>
        <w:rPr>
          <w:b/>
          <w:bCs/>
        </w:rPr>
        <w:fldChar w:fldCharType="separate"/>
      </w:r>
      <w:r>
        <w:rPr>
          <w:b/>
          <w:bCs/>
        </w:rPr>
        <w:t>4</w:t>
      </w:r>
      <w:r>
        <w:rPr>
          <w:b/>
          <w:bCs/>
        </w:rPr>
        <w:fldChar w:fldCharType="end"/>
      </w:r>
      <w:bookmarkStart w:id="1435" w:name="_Toc24837"/>
      <w:bookmarkStart w:id="1436" w:name="_Toc8578"/>
      <w:bookmarkStart w:id="1437" w:name="_Toc13976"/>
      <w:bookmarkStart w:id="1438" w:name="_Toc7350"/>
      <w:bookmarkStart w:id="1439" w:name="_Toc18465"/>
      <w:bookmarkStart w:id="1440" w:name="_Toc7217"/>
      <w:bookmarkStart w:id="1441" w:name="_Toc16922"/>
      <w:bookmarkStart w:id="1442" w:name="_Toc16387"/>
      <w:bookmarkStart w:id="1443" w:name="_Toc7222"/>
      <w:bookmarkStart w:id="1444" w:name="_Toc8604"/>
      <w:bookmarkStart w:id="1445" w:name="_Toc10201"/>
      <w:bookmarkStart w:id="1446" w:name="_Toc30162"/>
      <w:bookmarkStart w:id="1447" w:name="_Toc14680"/>
      <w:bookmarkStart w:id="1448" w:name="_Toc4601"/>
      <w:bookmarkStart w:id="1449" w:name="_Toc17716"/>
      <w:bookmarkStart w:id="1450" w:name="_Toc13063"/>
      <w:bookmarkStart w:id="1451" w:name="_Toc19471"/>
      <w:bookmarkStart w:id="1452" w:name="_Toc26932"/>
      <w:bookmarkStart w:id="1453" w:name="_Toc8041"/>
      <w:bookmarkStart w:id="1454" w:name="_Toc9816"/>
      <w:bookmarkStart w:id="1455" w:name="_Toc26142"/>
      <w:bookmarkStart w:id="1456" w:name="_Toc7885"/>
      <w:bookmarkStart w:id="1457" w:name="_Toc30229"/>
      <w:bookmarkStart w:id="1458" w:name="_Toc3327"/>
      <w:r>
        <w:rPr>
          <w:rFonts w:hint="eastAsia"/>
        </w:rPr>
        <w:t>　SGX-SEF对SGX软件栈的修改</w:t>
      </w:r>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p>
    <w:p>
      <w:pPr>
        <w:pStyle w:val="6"/>
      </w:pPr>
      <w:r>
        <w:rPr>
          <w:rFonts w:hint="eastAsia"/>
          <w:b/>
          <w:bCs/>
        </w:rPr>
        <w:t>Figure4.</w:t>
      </w:r>
      <w:bookmarkStart w:id="1459" w:name="OLE_LINK13"/>
      <w:r>
        <w:rPr>
          <w:rFonts w:hint="eastAsia"/>
          <w:b/>
          <w:bCs/>
        </w:rPr>
        <w:t>4</w:t>
      </w:r>
      <w:r>
        <w:rPr>
          <w:rFonts w:hint="eastAsia"/>
        </w:rPr>
        <w:t>　</w:t>
      </w:r>
      <w:bookmarkEnd w:id="1459"/>
      <w:r>
        <w:rPr>
          <w:rFonts w:hint="eastAsia"/>
        </w:rPr>
        <w:t>Modification of SGX software stack by SGX-SEF</w:t>
      </w:r>
    </w:p>
    <w:p>
      <w:pPr>
        <w:pStyle w:val="3"/>
      </w:pPr>
      <w:bookmarkStart w:id="1460" w:name="_Toc22169"/>
      <w:bookmarkStart w:id="1461" w:name="_Toc12076"/>
      <w:bookmarkStart w:id="1462" w:name="_Toc31386"/>
      <w:bookmarkStart w:id="1463" w:name="_Toc13700"/>
      <w:bookmarkStart w:id="1464" w:name="_Toc24052"/>
      <w:bookmarkStart w:id="1465" w:name="_Toc31082"/>
      <w:bookmarkStart w:id="1466" w:name="_Toc11208"/>
      <w:bookmarkStart w:id="1467" w:name="_Toc26482"/>
      <w:bookmarkStart w:id="1468" w:name="_Toc12946"/>
      <w:bookmarkStart w:id="1469" w:name="_Toc31148"/>
      <w:bookmarkStart w:id="1470" w:name="_Toc6216"/>
      <w:bookmarkStart w:id="1471" w:name="_Toc1487"/>
      <w:bookmarkStart w:id="1472" w:name="_Toc6685"/>
      <w:bookmarkStart w:id="1473" w:name="_Toc24288"/>
      <w:bookmarkStart w:id="1474" w:name="_Toc10631"/>
      <w:bookmarkStart w:id="1475" w:name="_Toc16589"/>
      <w:bookmarkStart w:id="1476" w:name="_Toc8038"/>
      <w:bookmarkStart w:id="1477" w:name="_Toc24315"/>
      <w:bookmarkStart w:id="1478" w:name="_Toc15215"/>
      <w:bookmarkStart w:id="1479" w:name="_Toc23253"/>
      <w:r>
        <w:rPr>
          <w:rFonts w:hint="eastAsia"/>
        </w:rPr>
        <w:t>4.3　本章小结</w:t>
      </w:r>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p>
    <w:p>
      <w:pPr>
        <w:ind w:firstLine="480" w:firstLineChars="200"/>
      </w:pPr>
      <w:r>
        <w:rPr>
          <w:rFonts w:hint="eastAsia"/>
        </w:rPr>
        <w:t>为了审计检查SGX关键执行路径中的安全事件，本章对比分析了多种审计检查点插桩方式，选择SGX软件栈插桩方式。分析了审计检查代码冲突点位及冲突原因，针对各个安全关键点选择审计检查点位。设计了审计功能，阐述了用于记录全局日志的Enclave内存方式和密封文件方式。设计了检查功能，阐述了检查功能中五</w:t>
      </w:r>
      <w:r>
        <w:rPr>
          <w:rFonts w:hint="eastAsia"/>
          <w:lang w:val="en-US" w:eastAsia="zh-CN"/>
        </w:rPr>
        <w:t>个</w:t>
      </w:r>
      <w:r>
        <w:rPr>
          <w:rFonts w:hint="eastAsia"/>
        </w:rPr>
        <w:t>关键部分。形成了针对Intel SGX SDK的安全增强框架（SGX-SEF），指出了SGX-SEF对SGX原生软件栈所做的修改，对SGX原生Enclave实例安全建立机制的利用。</w:t>
      </w:r>
    </w:p>
    <w:p>
      <w:pPr>
        <w:ind w:firstLine="480" w:firstLineChars="200"/>
      </w:pPr>
    </w:p>
    <w:p>
      <w:pPr>
        <w:ind w:firstLine="480" w:firstLineChars="200"/>
        <w:sectPr>
          <w:headerReference r:id="rId29" w:type="default"/>
          <w:pgSz w:w="11906" w:h="16838"/>
          <w:pgMar w:top="1440" w:right="1800" w:bottom="1440" w:left="1800" w:header="851" w:footer="850" w:gutter="0"/>
          <w:cols w:space="425" w:num="1"/>
          <w:docGrid w:type="lines" w:linePitch="312" w:charSpace="0"/>
        </w:sectPr>
      </w:pPr>
    </w:p>
    <w:p>
      <w:pPr>
        <w:pStyle w:val="2"/>
        <w:rPr>
          <w:rFonts w:hint="eastAsia" w:eastAsia="黑体"/>
          <w:lang w:eastAsia="zh-CN"/>
        </w:rPr>
      </w:pPr>
      <w:bookmarkStart w:id="1480" w:name="_Toc7996"/>
      <w:bookmarkStart w:id="1481" w:name="_Toc32267"/>
      <w:bookmarkStart w:id="1482" w:name="_Toc11130"/>
      <w:bookmarkStart w:id="1483" w:name="OLE_LINK46"/>
      <w:bookmarkStart w:id="1484" w:name="_Toc12786"/>
      <w:bookmarkStart w:id="1485" w:name="_Toc28502"/>
      <w:bookmarkStart w:id="1486" w:name="_Toc9097"/>
      <w:bookmarkStart w:id="1487" w:name="_Toc31822"/>
      <w:bookmarkStart w:id="1488" w:name="_Toc27553"/>
      <w:bookmarkStart w:id="1489" w:name="_Toc26582"/>
      <w:bookmarkStart w:id="1490" w:name="_Toc28752"/>
      <w:bookmarkStart w:id="1491" w:name="_Toc13714"/>
      <w:bookmarkStart w:id="1492" w:name="_Toc31682"/>
      <w:bookmarkStart w:id="1493" w:name="_Toc3588"/>
      <w:bookmarkStart w:id="1494" w:name="_Toc21060"/>
      <w:bookmarkStart w:id="1495" w:name="_Toc31269"/>
      <w:bookmarkStart w:id="1496" w:name="_Toc22706"/>
      <w:bookmarkStart w:id="1497" w:name="_Toc9358"/>
      <w:r>
        <w:rPr>
          <w:rFonts w:hint="eastAsia"/>
        </w:rPr>
        <w:t>第五章　针对Intel SGX SDK的安全增强框架</w:t>
      </w:r>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r>
        <w:rPr>
          <w:rFonts w:hint="eastAsia"/>
          <w:lang w:val="en-US" w:eastAsia="zh-CN"/>
        </w:rPr>
        <w:t>验证</w:t>
      </w:r>
      <w:bookmarkEnd w:id="1493"/>
      <w:bookmarkEnd w:id="1494"/>
      <w:bookmarkEnd w:id="1495"/>
      <w:bookmarkEnd w:id="1496"/>
      <w:bookmarkEnd w:id="1497"/>
    </w:p>
    <w:p>
      <w:pPr>
        <w:ind w:firstLine="480" w:firstLineChars="200"/>
      </w:pPr>
      <w:r>
        <w:rPr>
          <w:rFonts w:hint="eastAsia"/>
        </w:rPr>
        <w:t>本章描述实验过程中的实验环境。展示SGX-SEF的审计效果，评估SGX-SEF审计功能的性能开销，分析引起性能开销的原因。针对调用排序、并发调用、恶意线程调度和时间侧信道攻击向量编写安全策略验证SGX-SEF防御（检查功能）效果。</w:t>
      </w:r>
    </w:p>
    <w:p>
      <w:pPr>
        <w:pStyle w:val="3"/>
      </w:pPr>
      <w:bookmarkStart w:id="1498" w:name="_Toc532"/>
      <w:bookmarkStart w:id="1499" w:name="_Toc7266"/>
      <w:bookmarkStart w:id="1500" w:name="_Toc93"/>
      <w:bookmarkStart w:id="1501" w:name="_Toc27074"/>
      <w:bookmarkStart w:id="1502" w:name="_Toc6898"/>
      <w:bookmarkStart w:id="1503" w:name="_Toc22525"/>
      <w:bookmarkStart w:id="1504" w:name="_Toc25940"/>
      <w:bookmarkStart w:id="1505" w:name="_Toc27754"/>
      <w:bookmarkStart w:id="1506" w:name="_Toc4814"/>
      <w:bookmarkStart w:id="1507" w:name="_Toc4324"/>
      <w:bookmarkStart w:id="1508" w:name="_Toc11611"/>
      <w:bookmarkStart w:id="1509" w:name="_Toc25638"/>
      <w:bookmarkStart w:id="1510" w:name="_Toc6057"/>
      <w:bookmarkStart w:id="1511" w:name="_Toc10562"/>
      <w:bookmarkStart w:id="1512" w:name="_Toc31503"/>
      <w:bookmarkStart w:id="1513" w:name="_Toc29612"/>
      <w:bookmarkStart w:id="1514" w:name="_Toc5010"/>
      <w:bookmarkStart w:id="1515" w:name="_Toc26286"/>
      <w:bookmarkStart w:id="1516" w:name="_Toc2591"/>
      <w:bookmarkStart w:id="1517" w:name="_Toc2025"/>
      <w:r>
        <w:rPr>
          <w:rFonts w:hint="eastAsia"/>
        </w:rPr>
        <w:t>5.1　实验环境</w:t>
      </w:r>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pPr>
        <w:ind w:firstLine="480" w:firstLineChars="200"/>
      </w:pPr>
      <w:r>
        <w:rPr>
          <w:rFonts w:hint="eastAsia"/>
        </w:rPr>
        <w:t>本文的实验环境为笔记本，CPU型号为i5-9300H，内存大小为16GB，操作系统为Ubuntu20.04，Linux内核版本为5.4，linux-sgx（Intel SGX PSW及SDK）版本为2.11，linux-sgx-driver（Intel SGX驱动）版本为2.11，CPU及BIOS均支持SGX。</w:t>
      </w:r>
    </w:p>
    <w:p>
      <w:pPr>
        <w:ind w:firstLine="480" w:firstLineChars="200"/>
      </w:pPr>
      <w:r>
        <w:rPr>
          <w:rFonts w:hint="eastAsia"/>
        </w:rPr>
        <w:t>SkyLake及更新架构的CPU均支持Intel SGX特性，但部分架构（如TigerLake）不支持Intel SGX，具体内容可以前往Intel官网查询。除需要CPU支持SGX特性外，还需要确保BIOS中开启了SGX。有些旧版BIOS不支持SGX，但部分电脑厂商在后续BIOS更新中增加SGX开启选项，对此可以升级BIOS以获得SGX开启选项。</w:t>
      </w:r>
    </w:p>
    <w:p>
      <w:pPr>
        <w:ind w:firstLine="480" w:firstLineChars="200"/>
      </w:pPr>
      <w:r>
        <w:rPr>
          <w:rFonts w:hint="eastAsia"/>
        </w:rPr>
        <w:t>建议使用真机（Bare Metal）形式安装Ubuntu操作系统，VMWare Workstation等大部分虚拟机管理程序中安装的Ubuntu虚拟机不支持SGX特性（即使CPU及BIOS均支持SGX，但VMWare Workstation自身不能向虚拟机提供Intel SGX特性）。KVM-SGX及QEMU-SGX能够帮助SGX用户在QEMU虚拟机中开启SGX特性。</w:t>
      </w:r>
    </w:p>
    <w:p>
      <w:pPr>
        <w:ind w:firstLine="480" w:firstLineChars="200"/>
      </w:pPr>
      <w:r>
        <w:rPr>
          <w:rFonts w:hint="eastAsia"/>
        </w:rPr>
        <w:t>可以通过sgx-software-enable Github仓库或参照SGX手册使用CPUID硬件指令检测当前平台是否成功开启了SGX。</w:t>
      </w:r>
    </w:p>
    <w:p>
      <w:pPr>
        <w:pStyle w:val="3"/>
        <w:rPr>
          <w:rFonts w:hint="eastAsia" w:eastAsia="黑体"/>
          <w:lang w:val="en-US" w:eastAsia="zh-CN"/>
        </w:rPr>
      </w:pPr>
      <w:bookmarkStart w:id="1518" w:name="_Toc11286"/>
      <w:bookmarkStart w:id="1519" w:name="_Toc27308"/>
      <w:bookmarkStart w:id="1520" w:name="_Toc28764"/>
      <w:bookmarkStart w:id="1521" w:name="_Toc1839"/>
      <w:bookmarkStart w:id="1522" w:name="_Toc16029"/>
      <w:bookmarkStart w:id="1523" w:name="_Toc9956"/>
      <w:bookmarkStart w:id="1524" w:name="_Toc15288"/>
      <w:bookmarkStart w:id="1525" w:name="_Toc22113"/>
      <w:bookmarkStart w:id="1526" w:name="_Toc27169"/>
      <w:bookmarkStart w:id="1527" w:name="_Toc16848"/>
      <w:bookmarkStart w:id="1528" w:name="_Toc26"/>
      <w:bookmarkStart w:id="1529" w:name="_Toc14469"/>
      <w:bookmarkStart w:id="1530" w:name="_Toc17658"/>
      <w:bookmarkStart w:id="1531" w:name="_Toc22807"/>
      <w:bookmarkStart w:id="1532" w:name="_Toc17709"/>
      <w:bookmarkStart w:id="1533" w:name="_Toc31473"/>
      <w:bookmarkStart w:id="1534" w:name="_Toc519"/>
      <w:bookmarkStart w:id="1535" w:name="_Toc8336"/>
      <w:bookmarkStart w:id="1536" w:name="_Toc27501"/>
      <w:bookmarkStart w:id="1537" w:name="_Toc9269"/>
      <w:r>
        <w:rPr>
          <w:rFonts w:hint="eastAsia"/>
        </w:rPr>
        <w:t>5.2　审计功能效果</w:t>
      </w:r>
      <w:r>
        <w:rPr>
          <w:rFonts w:hint="eastAsia"/>
          <w:lang w:val="en-US" w:eastAsia="zh-CN"/>
        </w:rPr>
        <w:t>验证</w:t>
      </w:r>
      <w:r>
        <w:rPr>
          <w:rFonts w:hint="eastAsia"/>
        </w:rPr>
        <w:t>及性能</w:t>
      </w:r>
      <w:bookmarkEnd w:id="1518"/>
      <w:r>
        <w:rPr>
          <w:rFonts w:hint="eastAsia"/>
          <w:lang w:val="en-US" w:eastAsia="zh-CN"/>
        </w:rPr>
        <w:t>分析</w:t>
      </w:r>
      <w:bookmarkEnd w:id="1519"/>
      <w:bookmarkEnd w:id="1520"/>
      <w:bookmarkEnd w:id="1521"/>
      <w:bookmarkEnd w:id="1522"/>
      <w:bookmarkEnd w:id="1523"/>
    </w:p>
    <w:p>
      <w:pPr>
        <w:ind w:firstLine="480" w:firstLineChars="200"/>
      </w:pPr>
      <w:r>
        <w:rPr>
          <w:rFonts w:hint="eastAsia"/>
        </w:rPr>
        <w:t>本节展示审计功能效果，评估审计功能开销，分析引起开销的原因。</w:t>
      </w:r>
    </w:p>
    <w:p>
      <w:pPr>
        <w:pStyle w:val="4"/>
      </w:pPr>
      <w:bookmarkStart w:id="1538" w:name="_Toc22545"/>
      <w:bookmarkStart w:id="1539" w:name="_Toc12444"/>
      <w:bookmarkStart w:id="1540" w:name="_Toc8050"/>
      <w:bookmarkStart w:id="1541" w:name="_Toc21932"/>
      <w:bookmarkStart w:id="1542" w:name="_Toc5903"/>
      <w:bookmarkStart w:id="1543" w:name="_Toc21791"/>
      <w:r>
        <w:rPr>
          <w:rFonts w:hint="eastAsia"/>
        </w:rPr>
        <w:t>5.2.1　审计功能效果验证</w:t>
      </w:r>
      <w:bookmarkEnd w:id="1538"/>
      <w:bookmarkEnd w:id="1539"/>
      <w:bookmarkEnd w:id="1540"/>
      <w:bookmarkEnd w:id="1541"/>
      <w:bookmarkEnd w:id="1542"/>
      <w:bookmarkEnd w:id="1543"/>
    </w:p>
    <w:p>
      <w:pPr>
        <w:ind w:firstLine="480" w:firstLineChars="200"/>
      </w:pPr>
      <w:r>
        <w:rPr>
          <w:rFonts w:hint="eastAsia"/>
        </w:rPr>
        <w:t>审计功能的实现效果如图5.1所示。对SampleEnclave中的安全事件进行审计，安全事件信息包含接口类型、接口名称、接口索引和参数（实现中可以捕获参数，但由于参数数量各异，先用0值填充）等。图中的演示效果是通过调用ECALL打印（printf）位于Enclave内的全局日志。由于printf需要通过OCALL实现（Enclave内不支持），因此要求审计检查点在审计时过滤printf所用的OCALL，避免无限次嵌套导致程序崩溃。</w:t>
      </w:r>
    </w:p>
    <w:p>
      <w:pPr>
        <w:jc w:val="center"/>
      </w:pPr>
      <w:r>
        <w:drawing>
          <wp:inline distT="0" distB="0" distL="0" distR="0">
            <wp:extent cx="5023485" cy="2524760"/>
            <wp:effectExtent l="0" t="0" r="5715" b="2540"/>
            <wp:docPr id="11" name="图片 7" descr="2021-03-15 16-37-28 的屏幕截图"/>
            <wp:cNvGraphicFramePr/>
            <a:graphic xmlns:a="http://schemas.openxmlformats.org/drawingml/2006/main">
              <a:graphicData uri="http://schemas.openxmlformats.org/drawingml/2006/picture">
                <pic:pic xmlns:pic="http://schemas.openxmlformats.org/drawingml/2006/picture">
                  <pic:nvPicPr>
                    <pic:cNvPr id="11" name="图片 7" descr="2021-03-15 16-37-28 的屏幕截图"/>
                    <pic:cNvPicPr/>
                  </pic:nvPicPr>
                  <pic:blipFill>
                    <a:blip r:embed="rId61" cstate="print"/>
                    <a:srcRect/>
                    <a:stretch>
                      <a:fillRect/>
                    </a:stretch>
                  </pic:blipFill>
                  <pic:spPr>
                    <a:xfrm>
                      <a:off x="0" y="0"/>
                      <a:ext cx="5023485" cy="2524760"/>
                    </a:xfrm>
                    <a:prstGeom prst="rect">
                      <a:avLst/>
                    </a:prstGeom>
                  </pic:spPr>
                </pic:pic>
              </a:graphicData>
            </a:graphic>
          </wp:inline>
        </w:drawing>
      </w:r>
    </w:p>
    <w:p>
      <w:pPr>
        <w:pStyle w:val="6"/>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1</w:t>
      </w:r>
      <w:r>
        <w:rPr>
          <w:b/>
          <w:bCs/>
        </w:rPr>
        <w:fldChar w:fldCharType="end"/>
      </w:r>
      <w:bookmarkStart w:id="1544" w:name="_Toc20659"/>
      <w:bookmarkStart w:id="1545" w:name="_Toc10382"/>
      <w:bookmarkStart w:id="1546" w:name="_Toc22686"/>
      <w:bookmarkStart w:id="1547" w:name="_Toc27787"/>
      <w:bookmarkStart w:id="1548" w:name="_Toc18243"/>
      <w:bookmarkStart w:id="1549" w:name="_Toc31169"/>
      <w:bookmarkStart w:id="1550" w:name="_Toc22344"/>
      <w:bookmarkStart w:id="1551" w:name="_Toc485"/>
      <w:bookmarkStart w:id="1552" w:name="_Toc32328"/>
      <w:r>
        <w:rPr>
          <w:rFonts w:hint="eastAsia"/>
        </w:rPr>
        <w:t>　审计功能的效果</w:t>
      </w:r>
      <w:bookmarkEnd w:id="1544"/>
      <w:bookmarkEnd w:id="1545"/>
      <w:bookmarkEnd w:id="1546"/>
      <w:bookmarkEnd w:id="1547"/>
      <w:bookmarkEnd w:id="1548"/>
      <w:bookmarkEnd w:id="1549"/>
      <w:bookmarkEnd w:id="1550"/>
      <w:bookmarkEnd w:id="1551"/>
      <w:bookmarkEnd w:id="1552"/>
    </w:p>
    <w:p>
      <w:pPr>
        <w:pStyle w:val="6"/>
      </w:pPr>
      <w:r>
        <w:rPr>
          <w:rFonts w:hint="eastAsia"/>
          <w:b/>
          <w:bCs/>
        </w:rPr>
        <w:t>Figure5.1</w:t>
      </w:r>
      <w:r>
        <w:rPr>
          <w:rFonts w:hint="eastAsia"/>
        </w:rPr>
        <w:t>　Effect of Audit function</w:t>
      </w:r>
    </w:p>
    <w:p>
      <w:pPr>
        <w:pStyle w:val="4"/>
      </w:pPr>
      <w:bookmarkStart w:id="1553" w:name="_Toc12559"/>
      <w:bookmarkStart w:id="1554" w:name="_Toc29110"/>
      <w:bookmarkStart w:id="1555" w:name="_Toc20956"/>
      <w:bookmarkStart w:id="1556" w:name="_Toc23141"/>
      <w:bookmarkStart w:id="1557" w:name="_Toc11996"/>
      <w:bookmarkStart w:id="1558" w:name="_Toc13699"/>
      <w:r>
        <w:rPr>
          <w:rFonts w:hint="eastAsia"/>
        </w:rPr>
        <w:t>5.2.2　审计功能性能开销分析</w:t>
      </w:r>
      <w:bookmarkEnd w:id="1553"/>
      <w:bookmarkEnd w:id="1554"/>
      <w:bookmarkEnd w:id="1555"/>
      <w:bookmarkEnd w:id="1556"/>
      <w:bookmarkEnd w:id="1557"/>
      <w:bookmarkEnd w:id="1558"/>
    </w:p>
    <w:p>
      <w:pPr>
        <w:ind w:firstLine="480" w:firstLineChars="200"/>
      </w:pPr>
      <w:r>
        <w:rPr>
          <w:rFonts w:hint="eastAsia"/>
        </w:rPr>
        <w:t>SGX-SEF审计功能实现中，采用密封文件方式记录全局日志会导致性能开销过大，原因在于加解密和OCALL等会造成巨大开销，建议采用Enclave内存方式记录全局日志。本小节将对采用Enclave内存方式记录全局日志的审计功能进行性能分析。基于linux-sgx Github仓库的SampleEnclave和Switchless示例代码，评估审计功能（在Switchless/Ordinary ECALL/OCALL上）的性能开销，并分析其原因。本文所测时间值以秒为单位，小数点精确到微秒，所有时间值均已被测量三次取平均。</w:t>
      </w:r>
    </w:p>
    <w:p>
      <w:pPr>
        <w:ind w:firstLine="480" w:firstLineChars="200"/>
      </w:pPr>
      <w:r>
        <w:rPr>
          <w:rFonts w:hint="eastAsia"/>
        </w:rPr>
        <w:t>基于Switchless示例代码评估SGX-SEF审计功能性能开销。Switchless代码中重复50000次Switchless和Ordinary调用，所调用函数中没有任何代码（即空负载），因此该评估工作旨在测量Switchless和Ordinary调用的固有开销。由于EPC物理内存大小有限，因此审计功能采用有限长度的（删除最久之前的记录）双端队列以内存形式记录全局日志。双端队列大小为10000、1000、100、10项以及不使用SGX-SEF时的时间开销如下表5.1所示。</w:t>
      </w:r>
    </w:p>
    <w:p>
      <w:pPr>
        <w:pStyle w:val="6"/>
        <w:spacing w:after="120"/>
      </w:pPr>
      <w:r>
        <w:rPr>
          <w:b/>
          <w:bCs/>
        </w:rPr>
        <w:t>表</w:t>
      </w:r>
      <w:r>
        <w:rPr>
          <w:rFonts w:hint="eastAsia"/>
          <w:b/>
          <w:bCs/>
        </w:rPr>
        <w:t>5.</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Start w:id="1559" w:name="_Toc32116"/>
      <w:bookmarkStart w:id="1560" w:name="_Toc21883"/>
      <w:bookmarkStart w:id="1561" w:name="_Toc31347"/>
      <w:bookmarkStart w:id="1562" w:name="_Toc26622"/>
      <w:bookmarkStart w:id="1563" w:name="_Toc28503"/>
      <w:bookmarkStart w:id="1564" w:name="_Toc30000"/>
      <w:bookmarkStart w:id="1565" w:name="_Toc20823"/>
      <w:bookmarkStart w:id="1566" w:name="_Toc992"/>
      <w:bookmarkStart w:id="1567" w:name="_Toc5580"/>
      <w:r>
        <w:rPr>
          <w:rFonts w:hint="eastAsia"/>
        </w:rPr>
        <w:t>　基于Switchless的审计功能性能开销测量表</w:t>
      </w:r>
      <w:bookmarkEnd w:id="1559"/>
      <w:bookmarkEnd w:id="1560"/>
      <w:bookmarkEnd w:id="1561"/>
      <w:bookmarkEnd w:id="1562"/>
      <w:bookmarkEnd w:id="1563"/>
      <w:bookmarkEnd w:id="1564"/>
      <w:bookmarkEnd w:id="1565"/>
      <w:bookmarkEnd w:id="1566"/>
      <w:bookmarkEnd w:id="1567"/>
    </w:p>
    <w:p>
      <w:pPr>
        <w:pStyle w:val="6"/>
        <w:spacing w:after="120"/>
      </w:pPr>
      <w:r>
        <w:rPr>
          <w:rFonts w:hint="eastAsia"/>
          <w:b/>
          <w:bCs/>
        </w:rPr>
        <w:t>Table5.1</w:t>
      </w:r>
      <w:r>
        <w:rPr>
          <w:rFonts w:hint="eastAsia"/>
        </w:rPr>
        <w:t>　Table of audit performance overhead measurement based on Switchless</w:t>
      </w:r>
    </w:p>
    <w:tbl>
      <w:tblPr>
        <w:tblStyle w:val="17"/>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3215"/>
        <w:gridCol w:w="934"/>
        <w:gridCol w:w="934"/>
        <w:gridCol w:w="934"/>
        <w:gridCol w:w="934"/>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0" w:hRule="atLeast"/>
          <w:jc w:val="center"/>
        </w:trPr>
        <w:tc>
          <w:tcPr>
            <w:tcW w:w="1930"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日志记录项数</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10000项</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1000项</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100项</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10项</w:t>
            </w:r>
          </w:p>
        </w:tc>
        <w:tc>
          <w:tcPr>
            <w:tcW w:w="822"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No SGX-SEF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0" w:hRule="atLeast"/>
          <w:jc w:val="center"/>
        </w:trPr>
        <w:tc>
          <w:tcPr>
            <w:tcW w:w="1930"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Switchless OCALL时长（秒）</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3.149677</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0.346707</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0.081700</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0.057652</w:t>
            </w:r>
          </w:p>
        </w:tc>
        <w:tc>
          <w:tcPr>
            <w:tcW w:w="822"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0.016433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0" w:hRule="atLeast"/>
          <w:jc w:val="center"/>
        </w:trPr>
        <w:tc>
          <w:tcPr>
            <w:tcW w:w="1930"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Ordinary OCALL时长（秒）</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3.494144</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0.527837</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0.263078</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0.238200</w:t>
            </w:r>
          </w:p>
        </w:tc>
        <w:tc>
          <w:tcPr>
            <w:tcW w:w="822"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0.174782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0" w:hRule="atLeast"/>
          <w:jc w:val="center"/>
        </w:trPr>
        <w:tc>
          <w:tcPr>
            <w:tcW w:w="1930"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Switchless ECALL时长（秒）</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3.254656</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0.363362</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0.096939</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0.067975</w:t>
            </w:r>
          </w:p>
        </w:tc>
        <w:tc>
          <w:tcPr>
            <w:tcW w:w="822"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0.021817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0" w:hRule="atLeast"/>
          <w:jc w:val="center"/>
        </w:trPr>
        <w:tc>
          <w:tcPr>
            <w:tcW w:w="1930"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Ordinary ECALL时长（秒）</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3.587716</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0.722888</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0.452293</w:t>
            </w:r>
          </w:p>
        </w:tc>
        <w:tc>
          <w:tcPr>
            <w:tcW w:w="561"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0.429314</w:t>
            </w:r>
          </w:p>
        </w:tc>
        <w:tc>
          <w:tcPr>
            <w:tcW w:w="822"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0.382114</w:t>
            </w:r>
          </w:p>
        </w:tc>
      </w:tr>
    </w:tbl>
    <w:p>
      <w:pPr>
        <w:ind w:firstLine="480" w:firstLineChars="200"/>
      </w:pPr>
      <w:r>
        <w:rPr>
          <w:rFonts w:hint="eastAsia"/>
          <w:lang w:val="en-US" w:eastAsia="zh-CN"/>
        </w:rPr>
        <w:t>当日志记录项数增大时，审计功能对</w:t>
      </w:r>
      <w:r>
        <w:rPr>
          <w:rFonts w:hint="eastAsia"/>
        </w:rPr>
        <w:t>各种调用方式</w:t>
      </w:r>
      <w:r>
        <w:rPr>
          <w:rFonts w:hint="eastAsia"/>
          <w:lang w:val="en-US" w:eastAsia="zh-CN"/>
        </w:rPr>
        <w:t>产生的</w:t>
      </w:r>
      <w:r>
        <w:rPr>
          <w:rFonts w:hint="eastAsia"/>
        </w:rPr>
        <w:t>开销</w:t>
      </w:r>
      <w:r>
        <w:rPr>
          <w:rFonts w:hint="eastAsia"/>
          <w:lang w:val="en-US" w:eastAsia="zh-CN"/>
        </w:rPr>
        <w:t>增大</w:t>
      </w:r>
      <w:r>
        <w:rPr>
          <w:rFonts w:hint="eastAsia"/>
        </w:rPr>
        <w:t>，原因在于日志使用维护开销</w:t>
      </w:r>
      <w:r>
        <w:rPr>
          <w:rFonts w:hint="eastAsia"/>
          <w:lang w:val="en-US" w:eastAsia="zh-CN"/>
        </w:rPr>
        <w:t>增大，</w:t>
      </w:r>
      <w:r>
        <w:rPr>
          <w:rFonts w:hint="eastAsia"/>
        </w:rPr>
        <w:t>缓存命中</w:t>
      </w:r>
      <w:r>
        <w:rPr>
          <w:rFonts w:hint="eastAsia"/>
          <w:lang w:val="en-US" w:eastAsia="zh-CN"/>
        </w:rPr>
        <w:t>率降低进一步导致</w:t>
      </w:r>
      <w:r>
        <w:rPr>
          <w:rFonts w:hint="eastAsia"/>
        </w:rPr>
        <w:t>开销增大。当日志项数过大时，</w:t>
      </w:r>
      <w:r>
        <w:rPr>
          <w:rFonts w:hint="eastAsia"/>
          <w:lang w:val="en-US" w:eastAsia="zh-CN"/>
        </w:rPr>
        <w:t>占用内存</w:t>
      </w:r>
      <w:r>
        <w:rPr>
          <w:rFonts w:hint="eastAsia"/>
        </w:rPr>
        <w:t>超出Enclave实例可用EPC大小，Enclave实例崩溃。使用SGX-SEF审计功能相较于不使用SGX-SEF时，Switchless调用方式开销增幅明显，Ordinary调用方式开销增幅较小，原因在于Switchless调用方式中多个Enclave工人线程并发记录日志所用的同步机制及OCALL大幅增加性能开销，记录日志代码流程待优化。</w:t>
      </w:r>
      <w:r>
        <w:rPr>
          <w:rFonts w:hint="eastAsia"/>
          <w:lang w:val="en-US" w:eastAsia="zh-CN"/>
        </w:rPr>
        <w:t>依据实验中接触的Enclave应用场景及反复实验得出的经验，日志大小为100项的审计功能对各种调用方式引起的开销增幅不明显，但又足够记录最近的安全事件用于审计检查功能</w:t>
      </w:r>
      <w:r>
        <w:rPr>
          <w:rFonts w:hint="eastAsia"/>
          <w:lang w:eastAsia="zh-CN"/>
        </w:rPr>
        <w:t>。</w:t>
      </w:r>
      <w:r>
        <w:rPr>
          <w:rFonts w:hint="eastAsia"/>
        </w:rPr>
        <w:t>日志大小100项的SGX-SEF审计功能最优情况</w:t>
      </w:r>
      <w:r>
        <w:rPr>
          <w:rFonts w:hint="eastAsia"/>
          <w:lang w:eastAsia="zh-CN"/>
        </w:rPr>
        <w:t>（</w:t>
      </w:r>
      <w:r>
        <w:rPr>
          <w:rFonts w:hint="eastAsia"/>
          <w:lang w:val="en-US" w:eastAsia="zh-CN"/>
        </w:rPr>
        <w:t>Ordinary调用方式</w:t>
      </w:r>
      <w:r>
        <w:rPr>
          <w:rFonts w:hint="eastAsia"/>
          <w:lang w:eastAsia="zh-CN"/>
        </w:rPr>
        <w:t>）</w:t>
      </w:r>
      <w:r>
        <w:rPr>
          <w:rFonts w:hint="eastAsia"/>
        </w:rPr>
        <w:t>下开销增幅仅为18%。</w:t>
      </w:r>
    </w:p>
    <w:p>
      <w:pPr>
        <w:ind w:firstLine="480" w:firstLineChars="200"/>
        <w:rPr>
          <w:rFonts w:hint="eastAsia"/>
        </w:rPr>
      </w:pPr>
      <w:r>
        <w:rPr>
          <w:rFonts w:hint="eastAsia"/>
        </w:rPr>
        <w:t>基于SampleEnclave示例代码评估SGX-SEF审计功能性能开销。SampleEnclave代码流程以Ordinary调用为主，调用函数并非空负载，该评估工作旨在评估审计功能在SGX实际应用中产生的性能开销。测量过程使用日志大小100项Enclave内存形式日志的SGX-SEF审计功能，结果如表5.2所示，使用SGX-SEF审计功能时，SampleEnclave总时间开销为0.072994秒，而不使用SGX-SEF时的时间开销为0.064461秒，开销增幅为13%。</w:t>
      </w:r>
    </w:p>
    <w:p>
      <w:pPr>
        <w:ind w:firstLine="480" w:firstLineChars="200"/>
        <w:rPr>
          <w:rFonts w:hint="eastAsia"/>
        </w:rPr>
      </w:pPr>
    </w:p>
    <w:p>
      <w:pPr>
        <w:ind w:firstLine="480" w:firstLineChars="200"/>
        <w:rPr>
          <w:rFonts w:hint="eastAsia"/>
        </w:rPr>
      </w:pPr>
    </w:p>
    <w:p>
      <w:pPr>
        <w:pStyle w:val="6"/>
        <w:spacing w:after="120"/>
      </w:pPr>
      <w:r>
        <w:rPr>
          <w:b/>
          <w:bCs/>
        </w:rPr>
        <w:t>表</w:t>
      </w:r>
      <w:r>
        <w:rPr>
          <w:rFonts w:hint="eastAsia"/>
          <w:b/>
          <w:bCs/>
        </w:rPr>
        <w:t>5.</w:t>
      </w:r>
      <w:r>
        <w:rPr>
          <w:b/>
          <w:bCs/>
        </w:rPr>
        <w:fldChar w:fldCharType="begin"/>
      </w:r>
      <w:r>
        <w:rPr>
          <w:b/>
          <w:bCs/>
        </w:rPr>
        <w:instrText xml:space="preserve"> SEQ 表 \* ARABIC \s 1 </w:instrText>
      </w:r>
      <w:r>
        <w:rPr>
          <w:b/>
          <w:bCs/>
        </w:rPr>
        <w:fldChar w:fldCharType="separate"/>
      </w:r>
      <w:r>
        <w:rPr>
          <w:b/>
          <w:bCs/>
        </w:rPr>
        <w:t>2</w:t>
      </w:r>
      <w:r>
        <w:rPr>
          <w:b/>
          <w:bCs/>
        </w:rPr>
        <w:fldChar w:fldCharType="end"/>
      </w:r>
      <w:bookmarkStart w:id="1568" w:name="_Toc7403"/>
      <w:bookmarkStart w:id="1569" w:name="_Toc15595"/>
      <w:bookmarkStart w:id="1570" w:name="_Toc28039"/>
      <w:bookmarkStart w:id="1571" w:name="_Toc18040"/>
      <w:bookmarkStart w:id="1572" w:name="_Toc14416"/>
      <w:bookmarkStart w:id="1573" w:name="_Toc20494"/>
      <w:bookmarkStart w:id="1574" w:name="_Toc11610"/>
      <w:bookmarkStart w:id="1575" w:name="_Toc19263"/>
      <w:bookmarkStart w:id="1576" w:name="_Toc3757"/>
      <w:r>
        <w:rPr>
          <w:rFonts w:hint="eastAsia"/>
        </w:rPr>
        <w:t>　基于SampleEnclave的审计功能性能开销测量表</w:t>
      </w:r>
      <w:bookmarkEnd w:id="1568"/>
      <w:bookmarkEnd w:id="1569"/>
      <w:bookmarkEnd w:id="1570"/>
      <w:bookmarkEnd w:id="1571"/>
      <w:bookmarkEnd w:id="1572"/>
      <w:bookmarkEnd w:id="1573"/>
      <w:bookmarkEnd w:id="1574"/>
      <w:bookmarkEnd w:id="1575"/>
      <w:bookmarkEnd w:id="1576"/>
    </w:p>
    <w:p>
      <w:pPr>
        <w:pStyle w:val="6"/>
        <w:spacing w:after="120"/>
      </w:pPr>
      <w:r>
        <w:rPr>
          <w:rFonts w:hint="eastAsia"/>
          <w:b/>
          <w:bCs/>
        </w:rPr>
        <w:t>Table5.2</w:t>
      </w:r>
      <w:r>
        <w:rPr>
          <w:rFonts w:hint="eastAsia"/>
        </w:rPr>
        <w:t>　Table of audit performance overhead measurement based on SampleEnclave</w:t>
      </w:r>
    </w:p>
    <w:tbl>
      <w:tblPr>
        <w:tblStyle w:val="17"/>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5189"/>
        <w:gridCol w:w="1507"/>
        <w:gridCol w:w="1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0" w:hRule="atLeast"/>
          <w:jc w:val="center"/>
        </w:trPr>
        <w:tc>
          <w:tcPr>
            <w:tcW w:w="3116"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日志记录项数</w:t>
            </w:r>
          </w:p>
        </w:tc>
        <w:tc>
          <w:tcPr>
            <w:tcW w:w="905"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100项</w:t>
            </w:r>
          </w:p>
        </w:tc>
        <w:tc>
          <w:tcPr>
            <w:tcW w:w="977"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No SGX-SEF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0" w:hRule="atLeast"/>
          <w:jc w:val="center"/>
        </w:trPr>
        <w:tc>
          <w:tcPr>
            <w:tcW w:w="3116"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SampleEnclave执行时长（秒）</w:t>
            </w:r>
          </w:p>
        </w:tc>
        <w:tc>
          <w:tcPr>
            <w:tcW w:w="905"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0.072994</w:t>
            </w:r>
          </w:p>
        </w:tc>
        <w:tc>
          <w:tcPr>
            <w:tcW w:w="977" w:type="pct"/>
            <w:tcBorders>
              <w:tl2br w:val="nil"/>
              <w:tr2bl w:val="nil"/>
            </w:tcBorders>
            <w:shd w:val="clear" w:color="auto" w:fill="auto"/>
            <w:noWrap/>
            <w:tcMar>
              <w:top w:w="10" w:type="dxa"/>
              <w:left w:w="10" w:type="dxa"/>
              <w:right w:w="10" w:type="dxa"/>
            </w:tcMar>
            <w:vAlign w:val="center"/>
          </w:tcPr>
          <w:p>
            <w:pPr>
              <w:rPr>
                <w:sz w:val="21"/>
                <w:szCs w:val="21"/>
              </w:rPr>
            </w:pPr>
            <w:r>
              <w:rPr>
                <w:rFonts w:hint="eastAsia"/>
                <w:sz w:val="21"/>
                <w:szCs w:val="21"/>
              </w:rPr>
              <w:t>0.064461</w:t>
            </w:r>
          </w:p>
        </w:tc>
      </w:tr>
    </w:tbl>
    <w:p>
      <w:pPr>
        <w:ind w:firstLine="480" w:firstLineChars="200"/>
      </w:pPr>
      <w:r>
        <w:rPr>
          <w:rFonts w:hint="eastAsia"/>
        </w:rPr>
        <w:t>综上所述，SGX-SEF审计功能最优情况下产生13%~18%的开销增幅。</w:t>
      </w:r>
    </w:p>
    <w:p>
      <w:pPr>
        <w:pStyle w:val="3"/>
        <w:rPr>
          <w:rFonts w:hint="eastAsia" w:eastAsia="黑体"/>
          <w:lang w:val="en-US" w:eastAsia="zh-CN"/>
        </w:rPr>
      </w:pPr>
      <w:bookmarkStart w:id="1577" w:name="_Toc9485"/>
      <w:bookmarkStart w:id="1578" w:name="_Toc28216"/>
      <w:bookmarkStart w:id="1579" w:name="_Toc25721"/>
      <w:bookmarkStart w:id="1580" w:name="_Toc1428"/>
      <w:bookmarkStart w:id="1581" w:name="_Toc22930"/>
      <w:bookmarkStart w:id="1582" w:name="_Toc28369"/>
      <w:r>
        <w:rPr>
          <w:rFonts w:hint="eastAsia"/>
        </w:rPr>
        <w:t>5.3　防御</w:t>
      </w:r>
      <w:r>
        <w:rPr>
          <w:rFonts w:hint="eastAsia"/>
          <w:lang w:eastAsia="zh-CN"/>
        </w:rPr>
        <w:t>（</w:t>
      </w:r>
      <w:r>
        <w:rPr>
          <w:rFonts w:hint="eastAsia"/>
          <w:lang w:val="en-US" w:eastAsia="zh-CN"/>
        </w:rPr>
        <w:t>检查</w:t>
      </w:r>
      <w:r>
        <w:rPr>
          <w:rFonts w:hint="eastAsia"/>
        </w:rPr>
        <w:t>功能</w:t>
      </w:r>
      <w:r>
        <w:rPr>
          <w:rFonts w:hint="eastAsia"/>
          <w:lang w:eastAsia="zh-CN"/>
        </w:rPr>
        <w:t>）</w:t>
      </w:r>
      <w:r>
        <w:rPr>
          <w:rFonts w:hint="eastAsia"/>
        </w:rPr>
        <w:t>效果</w:t>
      </w:r>
      <w:bookmarkEnd w:id="1577"/>
      <w:r>
        <w:rPr>
          <w:rFonts w:hint="eastAsia"/>
          <w:lang w:val="en-US" w:eastAsia="zh-CN"/>
        </w:rPr>
        <w:t>验证</w:t>
      </w:r>
      <w:bookmarkEnd w:id="1578"/>
      <w:bookmarkEnd w:id="1579"/>
      <w:bookmarkEnd w:id="1580"/>
      <w:bookmarkEnd w:id="1581"/>
      <w:bookmarkEnd w:id="1582"/>
    </w:p>
    <w:p>
      <w:pPr>
        <w:ind w:firstLine="480" w:firstLineChars="200"/>
      </w:pPr>
      <w:r>
        <w:rPr>
          <w:rFonts w:hint="eastAsia"/>
        </w:rPr>
        <w:t>本节针对调用排序、并发调用、恶意线程调度和时间侧信道攻击向量编写安全策略验证防御（检查功能）效果。</w:t>
      </w:r>
    </w:p>
    <w:p>
      <w:pPr>
        <w:pStyle w:val="4"/>
      </w:pPr>
      <w:bookmarkStart w:id="1583" w:name="_Toc18145"/>
      <w:bookmarkStart w:id="1584" w:name="_Toc1717"/>
      <w:bookmarkStart w:id="1585" w:name="_Toc11904"/>
      <w:bookmarkStart w:id="1586" w:name="_Toc31852"/>
      <w:bookmarkStart w:id="1587" w:name="_Toc19028"/>
      <w:bookmarkStart w:id="1588" w:name="_Toc25206"/>
      <w:r>
        <w:rPr>
          <w:rFonts w:hint="eastAsia"/>
        </w:rPr>
        <w:t>5.3.1　针对“调用排序”攻击向量的防御效果</w:t>
      </w:r>
      <w:bookmarkEnd w:id="1524"/>
      <w:bookmarkEnd w:id="1525"/>
      <w:r>
        <w:rPr>
          <w:rFonts w:hint="eastAsia"/>
        </w:rPr>
        <w:t>验证</w:t>
      </w:r>
      <w:bookmarkEnd w:id="1526"/>
      <w:bookmarkEnd w:id="1527"/>
      <w:bookmarkEnd w:id="1528"/>
      <w:bookmarkEnd w:id="1529"/>
      <w:bookmarkEnd w:id="1530"/>
      <w:bookmarkEnd w:id="1531"/>
      <w:bookmarkEnd w:id="1532"/>
      <w:bookmarkEnd w:id="1533"/>
      <w:bookmarkEnd w:id="1534"/>
      <w:bookmarkEnd w:id="1535"/>
      <w:bookmarkEnd w:id="1536"/>
      <w:bookmarkEnd w:id="1537"/>
      <w:bookmarkEnd w:id="1583"/>
      <w:bookmarkEnd w:id="1584"/>
      <w:bookmarkEnd w:id="1585"/>
      <w:bookmarkEnd w:id="1586"/>
      <w:bookmarkEnd w:id="1587"/>
      <w:bookmarkEnd w:id="1588"/>
    </w:p>
    <w:p>
      <w:pPr>
        <w:ind w:firstLine="480" w:firstLineChars="200"/>
      </w:pPr>
      <w:r>
        <w:rPr>
          <w:rFonts w:hint="eastAsia"/>
        </w:rPr>
        <w:t>实验过程中构造实现了“调用排序”攻击向量的POC。攻击之前，ECALL调用顺序先后为ecall_malloc_obj1函数、ecall_malloc_obj2_use_obj1函数和ecall_free_obj1函数，ecall_malloc_obj1函数在Enclave堆上创建值为“hello”的对象1（即所指内容为“hello”的对象1指针，下文不再对此特别说明），ecall_malloc_obj2_use_obj1函数在Enclave堆上创建值为“uaf”的对象2并使用对象1的值“hello”，ecall_free_obj1函数释放对象1但未将对象1置NULL（对象1成为悬空指针，悬空指针即所指对象已被释放但自身未被置NULL的指针）。程序结果如图5.2所示</w:t>
      </w:r>
    </w:p>
    <w:p>
      <w:pPr>
        <w:ind w:firstLine="0" w:firstLineChars="0"/>
        <w:jc w:val="center"/>
      </w:pPr>
      <w:r>
        <w:rPr>
          <w:rFonts w:hint="eastAsia"/>
        </w:rPr>
        <w:drawing>
          <wp:inline distT="0" distB="0" distL="114300" distR="114300">
            <wp:extent cx="3761105" cy="862330"/>
            <wp:effectExtent l="0" t="0" r="10795" b="1270"/>
            <wp:docPr id="22" name="图片 22" descr="call permuta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all permutation before"/>
                    <pic:cNvPicPr>
                      <a:picLocks noChangeAspect="1"/>
                    </pic:cNvPicPr>
                  </pic:nvPicPr>
                  <pic:blipFill>
                    <a:blip r:embed="rId62"/>
                    <a:srcRect l="2203" t="2850" r="1836" b="66105"/>
                    <a:stretch>
                      <a:fillRect/>
                    </a:stretch>
                  </pic:blipFill>
                  <pic:spPr>
                    <a:xfrm>
                      <a:off x="0" y="0"/>
                      <a:ext cx="3761105" cy="862330"/>
                    </a:xfrm>
                    <a:prstGeom prst="rect">
                      <a:avLst/>
                    </a:prstGeom>
                  </pic:spPr>
                </pic:pic>
              </a:graphicData>
            </a:graphic>
          </wp:inline>
        </w:drawing>
      </w:r>
    </w:p>
    <w:p>
      <w:pPr>
        <w:pStyle w:val="6"/>
        <w:ind w:firstLine="0" w:firstLineChars="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2</w:t>
      </w:r>
      <w:r>
        <w:rPr>
          <w:b/>
          <w:bCs/>
        </w:rPr>
        <w:fldChar w:fldCharType="end"/>
      </w:r>
      <w:bookmarkStart w:id="1589" w:name="_Toc22322"/>
      <w:bookmarkStart w:id="1590" w:name="_Toc30465"/>
      <w:bookmarkStart w:id="1591" w:name="_Toc30165"/>
      <w:bookmarkStart w:id="1592" w:name="_Toc25927"/>
      <w:bookmarkStart w:id="1593" w:name="_Toc26580"/>
      <w:bookmarkStart w:id="1594" w:name="_Toc6887"/>
      <w:bookmarkStart w:id="1595" w:name="_Toc16838"/>
      <w:bookmarkStart w:id="1596" w:name="_Toc6421"/>
      <w:bookmarkStart w:id="1597" w:name="_Toc14203"/>
      <w:r>
        <w:rPr>
          <w:rFonts w:hint="eastAsia"/>
        </w:rPr>
        <w:t>　调用排序攻击之前程序执行结果图</w:t>
      </w:r>
      <w:bookmarkEnd w:id="1589"/>
      <w:bookmarkEnd w:id="1590"/>
      <w:bookmarkEnd w:id="1591"/>
      <w:bookmarkEnd w:id="1592"/>
      <w:bookmarkEnd w:id="1593"/>
      <w:bookmarkEnd w:id="1594"/>
      <w:bookmarkEnd w:id="1595"/>
      <w:bookmarkEnd w:id="1596"/>
      <w:bookmarkEnd w:id="1597"/>
    </w:p>
    <w:p>
      <w:pPr>
        <w:pStyle w:val="6"/>
      </w:pPr>
      <w:r>
        <w:rPr>
          <w:rFonts w:hint="eastAsia"/>
          <w:b/>
          <w:bCs/>
        </w:rPr>
        <w:t>Figure5.2</w:t>
      </w:r>
      <w:r>
        <w:rPr>
          <w:rFonts w:hint="eastAsia"/>
        </w:rPr>
        <w:t>　Diagram of program execution result before Calling Permutation Attack</w:t>
      </w:r>
    </w:p>
    <w:p>
      <w:pPr>
        <w:ind w:firstLine="480" w:firstLineChars="200"/>
        <w:rPr>
          <w:rFonts w:hint="eastAsia"/>
        </w:rPr>
      </w:pPr>
      <w:r>
        <w:rPr>
          <w:rFonts w:hint="eastAsia"/>
        </w:rPr>
        <w:t>恶意将ecall_malloc_obj1函数、ecall_malloc_obj2_use_obj1函数和ecall_free_obj1函数的先后顺序修改为ecall_malloc_obj1函数、ecall_free_obj1函数和ecall_malloc_obj2_use_obj1函数，使得ecall_free_obj1中的悬空指针（即对象1指针）被ecall_malloc_obj2_use_obj1使用，触发UAF。程序执行结果如图5.3所示，ecall_malloc_obj2_use_obj1函数中，对象2指针被分配了在与悬空指针（对象1指针）相同的地址，使用悬空指针（对象1指针）所指内容等同于使用对象2的值“uaf”。</w:t>
      </w:r>
    </w:p>
    <w:p>
      <w:pPr>
        <w:ind w:firstLine="0" w:firstLineChars="0"/>
        <w:jc w:val="center"/>
      </w:pPr>
      <w:r>
        <w:rPr>
          <w:rFonts w:hint="eastAsia"/>
        </w:rPr>
        <w:drawing>
          <wp:inline distT="0" distB="0" distL="114300" distR="114300">
            <wp:extent cx="3471545" cy="786130"/>
            <wp:effectExtent l="0" t="0" r="8255" b="1270"/>
            <wp:docPr id="23" name="图片 23" descr="call permutation u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all permutation uaf"/>
                    <pic:cNvPicPr>
                      <a:picLocks noChangeAspect="1"/>
                    </pic:cNvPicPr>
                  </pic:nvPicPr>
                  <pic:blipFill>
                    <a:blip r:embed="rId63"/>
                    <a:srcRect l="2445" t="2957" r="2095" b="66535"/>
                    <a:stretch>
                      <a:fillRect/>
                    </a:stretch>
                  </pic:blipFill>
                  <pic:spPr>
                    <a:xfrm>
                      <a:off x="0" y="0"/>
                      <a:ext cx="3471545" cy="786130"/>
                    </a:xfrm>
                    <a:prstGeom prst="rect">
                      <a:avLst/>
                    </a:prstGeom>
                  </pic:spPr>
                </pic:pic>
              </a:graphicData>
            </a:graphic>
          </wp:inline>
        </w:drawing>
      </w:r>
    </w:p>
    <w:p>
      <w:pPr>
        <w:pStyle w:val="6"/>
        <w:ind w:firstLine="0" w:firstLineChars="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3</w:t>
      </w:r>
      <w:r>
        <w:rPr>
          <w:b/>
          <w:bCs/>
        </w:rPr>
        <w:fldChar w:fldCharType="end"/>
      </w:r>
      <w:bookmarkStart w:id="1598" w:name="_Toc15672"/>
      <w:bookmarkStart w:id="1599" w:name="_Toc7612"/>
      <w:bookmarkStart w:id="1600" w:name="_Toc20756"/>
      <w:bookmarkStart w:id="1601" w:name="_Toc4684"/>
      <w:bookmarkStart w:id="1602" w:name="_Toc22313"/>
      <w:bookmarkStart w:id="1603" w:name="_Toc24649"/>
      <w:bookmarkStart w:id="1604" w:name="_Toc22570"/>
      <w:bookmarkStart w:id="1605" w:name="_Toc15251"/>
      <w:bookmarkStart w:id="1606" w:name="_Toc7155"/>
      <w:r>
        <w:rPr>
          <w:rFonts w:hint="eastAsia"/>
        </w:rPr>
        <w:t>　调用排序攻击之后程序执行结果图</w:t>
      </w:r>
      <w:bookmarkEnd w:id="1598"/>
      <w:bookmarkEnd w:id="1599"/>
      <w:bookmarkEnd w:id="1600"/>
      <w:bookmarkEnd w:id="1601"/>
      <w:bookmarkEnd w:id="1602"/>
      <w:bookmarkEnd w:id="1603"/>
      <w:bookmarkEnd w:id="1604"/>
      <w:bookmarkEnd w:id="1605"/>
      <w:bookmarkEnd w:id="1606"/>
    </w:p>
    <w:p>
      <w:pPr>
        <w:pStyle w:val="6"/>
      </w:pPr>
      <w:r>
        <w:rPr>
          <w:rFonts w:hint="eastAsia"/>
          <w:b/>
          <w:bCs/>
        </w:rPr>
        <w:t>Figure5.3</w:t>
      </w:r>
      <w:r>
        <w:rPr>
          <w:rFonts w:hint="eastAsia"/>
        </w:rPr>
        <w:t>　Diagram of program execution result after Calling Permutation Attack</w:t>
      </w:r>
    </w:p>
    <w:p>
      <w:pPr>
        <w:ind w:firstLine="480" w:firstLineChars="200"/>
      </w:pPr>
      <w:r>
        <w:rPr>
          <w:rFonts w:hint="eastAsia"/>
          <w:lang w:val="en-US" w:eastAsia="zh-CN"/>
        </w:rPr>
        <w:t>为了对抗“调用排序”攻击</w:t>
      </w:r>
      <w:r>
        <w:rPr>
          <w:rFonts w:hint="eastAsia"/>
        </w:rPr>
        <w:t>，</w:t>
      </w:r>
      <w:r>
        <w:rPr>
          <w:rFonts w:hint="eastAsia"/>
          <w:lang w:val="en-US" w:eastAsia="zh-CN"/>
        </w:rPr>
        <w:t>Enclave开发者能够依据先验的预期执行情况编写策略文件，</w:t>
      </w:r>
      <w:r>
        <w:rPr>
          <w:rFonts w:hint="eastAsia"/>
        </w:rPr>
        <w:t>在SGX-SEF中设置“ECALL</w:t>
      </w:r>
      <w:r>
        <w:rPr>
          <w:rFonts w:hint="eastAsia"/>
          <w:lang w:val="en-US" w:eastAsia="zh-CN"/>
        </w:rPr>
        <w:t>调用</w:t>
      </w:r>
      <w:r>
        <w:rPr>
          <w:rFonts w:hint="eastAsia"/>
        </w:rPr>
        <w:t>顺序白名单”安全策略，要求检测到的ECALL调用顺序先后分别为ecall_malloc_obj1函数、ecall_malloc_obj2_use_obj1函数和ecall_free_obj1函数，否则</w:t>
      </w:r>
      <w:r>
        <w:rPr>
          <w:rFonts w:hint="eastAsia"/>
          <w:lang w:val="en-US" w:eastAsia="zh-CN"/>
        </w:rPr>
        <w:t>SGX-SEF将向Enclave代码</w:t>
      </w:r>
      <w:r>
        <w:rPr>
          <w:rFonts w:hint="eastAsia"/>
        </w:rPr>
        <w:t>返回错误码SGX_ERROR_CHECK_POINT并终止代码运行。如图5.4所示</w:t>
      </w:r>
      <w:r>
        <w:rPr>
          <w:rFonts w:hint="eastAsia"/>
          <w:lang w:eastAsia="zh-CN"/>
        </w:rPr>
        <w:t>，</w:t>
      </w:r>
      <w:r>
        <w:rPr>
          <w:rFonts w:hint="eastAsia"/>
          <w:lang w:val="en-US" w:eastAsia="zh-CN"/>
        </w:rPr>
        <w:t>在SGX-SEF中设置</w:t>
      </w:r>
      <w:r>
        <w:rPr>
          <w:rFonts w:hint="eastAsia"/>
        </w:rPr>
        <w:t>“ECALL</w:t>
      </w:r>
      <w:r>
        <w:rPr>
          <w:rFonts w:hint="eastAsia"/>
          <w:lang w:val="en-US" w:eastAsia="zh-CN"/>
        </w:rPr>
        <w:t>调用</w:t>
      </w:r>
      <w:r>
        <w:rPr>
          <w:rFonts w:hint="eastAsia"/>
        </w:rPr>
        <w:t>顺序白名单”</w:t>
      </w:r>
      <w:r>
        <w:rPr>
          <w:rFonts w:hint="eastAsia"/>
          <w:lang w:val="en-US" w:eastAsia="zh-CN"/>
        </w:rPr>
        <w:t>策略能成功检测非预期的调用顺序</w:t>
      </w:r>
      <w:r>
        <w:rPr>
          <w:rFonts w:hint="eastAsia"/>
        </w:rPr>
        <w:t>。</w:t>
      </w:r>
    </w:p>
    <w:p>
      <w:pPr>
        <w:ind w:firstLine="0" w:firstLineChars="0"/>
        <w:jc w:val="center"/>
      </w:pPr>
      <w:r>
        <w:rPr>
          <w:rFonts w:hint="eastAsia"/>
        </w:rPr>
        <w:drawing>
          <wp:inline distT="0" distB="0" distL="114300" distR="114300">
            <wp:extent cx="4182745" cy="661670"/>
            <wp:effectExtent l="0" t="0" r="8255" b="11430"/>
            <wp:docPr id="26" name="图片 26" descr="call permutation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all permutation detect"/>
                    <pic:cNvPicPr>
                      <a:picLocks noChangeAspect="1"/>
                    </pic:cNvPicPr>
                  </pic:nvPicPr>
                  <pic:blipFill>
                    <a:blip r:embed="rId64"/>
                    <a:srcRect l="2307" t="2754" r="2129" b="75914"/>
                    <a:stretch>
                      <a:fillRect/>
                    </a:stretch>
                  </pic:blipFill>
                  <pic:spPr>
                    <a:xfrm>
                      <a:off x="0" y="0"/>
                      <a:ext cx="4182745" cy="661670"/>
                    </a:xfrm>
                    <a:prstGeom prst="rect">
                      <a:avLst/>
                    </a:prstGeom>
                  </pic:spPr>
                </pic:pic>
              </a:graphicData>
            </a:graphic>
          </wp:inline>
        </w:drawing>
      </w:r>
    </w:p>
    <w:p>
      <w:pPr>
        <w:pStyle w:val="6"/>
        <w:ind w:firstLine="0" w:firstLineChars="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4</w:t>
      </w:r>
      <w:r>
        <w:rPr>
          <w:b/>
          <w:bCs/>
        </w:rPr>
        <w:fldChar w:fldCharType="end"/>
      </w:r>
      <w:bookmarkStart w:id="1607" w:name="_Toc5420"/>
      <w:bookmarkStart w:id="1608" w:name="_Toc14895"/>
      <w:bookmarkStart w:id="1609" w:name="_Toc29787"/>
      <w:bookmarkStart w:id="1610" w:name="_Toc22665"/>
      <w:bookmarkStart w:id="1611" w:name="_Toc22264"/>
      <w:bookmarkStart w:id="1612" w:name="_Toc17397"/>
      <w:bookmarkStart w:id="1613" w:name="_Toc31555"/>
      <w:bookmarkStart w:id="1614" w:name="_Toc11026"/>
      <w:bookmarkStart w:id="1615" w:name="_Toc17835"/>
      <w:r>
        <w:rPr>
          <w:rFonts w:hint="eastAsia"/>
        </w:rPr>
        <w:t>　调用排序攻击检测结果</w:t>
      </w:r>
      <w:bookmarkEnd w:id="1607"/>
      <w:bookmarkEnd w:id="1608"/>
      <w:bookmarkEnd w:id="1609"/>
      <w:bookmarkEnd w:id="1610"/>
      <w:bookmarkEnd w:id="1611"/>
      <w:bookmarkEnd w:id="1612"/>
      <w:bookmarkEnd w:id="1613"/>
      <w:bookmarkEnd w:id="1614"/>
      <w:bookmarkEnd w:id="1615"/>
    </w:p>
    <w:p>
      <w:pPr>
        <w:pStyle w:val="6"/>
        <w:rPr>
          <w:rFonts w:hint="eastAsia"/>
        </w:rPr>
      </w:pPr>
      <w:r>
        <w:rPr>
          <w:rFonts w:hint="eastAsia"/>
          <w:b/>
          <w:bCs/>
        </w:rPr>
        <w:t>Figure5.4</w:t>
      </w:r>
      <w:r>
        <w:rPr>
          <w:rFonts w:hint="eastAsia"/>
        </w:rPr>
        <w:t>　Detection results of Call Permutation Attack</w:t>
      </w:r>
    </w:p>
    <w:p>
      <w:pPr>
        <w:ind w:firstLine="480" w:firstLineChars="200"/>
        <w:rPr>
          <w:rFonts w:hint="default"/>
          <w:lang w:val="en-US" w:eastAsia="zh-CN"/>
        </w:rPr>
      </w:pPr>
      <w:r>
        <w:rPr>
          <w:rFonts w:hint="eastAsia"/>
          <w:lang w:val="en-US" w:eastAsia="zh-CN"/>
        </w:rPr>
        <w:t>Github上开源的SGX_SQLite中存在数据库句柄释放后未置NULL成为悬空指针的情况，能够被“调用排序”攻击。“调用排序”攻击前SGX_SQLite程序执行情况如图5.5所示，即打开数据库句柄（ecall_opendb），使用数据库句柄执行SQL语句（ecall_execute_sql），关闭数据库句柄（ecall_closedb）。</w:t>
      </w:r>
    </w:p>
    <w:p>
      <w:pPr>
        <w:jc w:val="center"/>
        <w:rPr>
          <w:rFonts w:hint="default"/>
          <w:lang w:val="en-US" w:eastAsia="zh-CN"/>
        </w:rPr>
      </w:pPr>
      <w:r>
        <w:rPr>
          <w:rFonts w:hint="default"/>
          <w:lang w:val="en-US" w:eastAsia="zh-CN"/>
        </w:rPr>
        <w:drawing>
          <wp:inline distT="0" distB="0" distL="114300" distR="114300">
            <wp:extent cx="3556635" cy="2119630"/>
            <wp:effectExtent l="0" t="0" r="12065" b="1270"/>
            <wp:docPr id="34" name="图片 34" descr="cp 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p nor"/>
                    <pic:cNvPicPr>
                      <a:picLocks noChangeAspect="1"/>
                    </pic:cNvPicPr>
                  </pic:nvPicPr>
                  <pic:blipFill>
                    <a:blip r:embed="rId65"/>
                    <a:srcRect l="2532" t="3232" r="2411" b="16842"/>
                    <a:stretch>
                      <a:fillRect/>
                    </a:stretch>
                  </pic:blipFill>
                  <pic:spPr>
                    <a:xfrm>
                      <a:off x="0" y="0"/>
                      <a:ext cx="3556635" cy="2119630"/>
                    </a:xfrm>
                    <a:prstGeom prst="rect">
                      <a:avLst/>
                    </a:prstGeom>
                  </pic:spPr>
                </pic:pic>
              </a:graphicData>
            </a:graphic>
          </wp:inline>
        </w:drawing>
      </w:r>
    </w:p>
    <w:p>
      <w:pPr>
        <w:pStyle w:val="6"/>
        <w:rPr>
          <w:rFonts w:hint="eastAsia"/>
        </w:rPr>
      </w:pPr>
      <w:r>
        <w:rPr>
          <w:b/>
          <w:bCs/>
        </w:rPr>
        <w:t>图</w:t>
      </w:r>
      <w:r>
        <w:rPr>
          <w:rFonts w:hint="eastAsia"/>
          <w:b/>
          <w:bCs/>
          <w:lang w:val="en-US" w:eastAsia="zh-CN"/>
        </w:rPr>
        <w:t>5</w:t>
      </w:r>
      <w:r>
        <w:rPr>
          <w:rFonts w:hint="eastAsia"/>
          <w:b/>
          <w:bCs/>
          <w:lang w:eastAsia="zh-CN"/>
        </w:rPr>
        <w:t>.</w:t>
      </w:r>
      <w:r>
        <w:rPr>
          <w:b/>
          <w:bCs/>
        </w:rPr>
        <w:fldChar w:fldCharType="begin"/>
      </w:r>
      <w:r>
        <w:rPr>
          <w:b/>
          <w:bCs/>
        </w:rPr>
        <w:instrText xml:space="preserve"> SEQ 图 \* ARABIC \s 1 </w:instrText>
      </w:r>
      <w:r>
        <w:rPr>
          <w:b/>
          <w:bCs/>
        </w:rPr>
        <w:fldChar w:fldCharType="separate"/>
      </w:r>
      <w:r>
        <w:rPr>
          <w:b/>
          <w:bCs/>
        </w:rPr>
        <w:t>5</w:t>
      </w:r>
      <w:r>
        <w:rPr>
          <w:b/>
          <w:bCs/>
        </w:rPr>
        <w:fldChar w:fldCharType="end"/>
      </w:r>
      <w:bookmarkStart w:id="1616" w:name="_Toc9531"/>
      <w:r>
        <w:rPr>
          <w:rFonts w:hint="eastAsia"/>
        </w:rPr>
        <w:t>　调用排序攻击前</w:t>
      </w:r>
      <w:r>
        <w:rPr>
          <w:rFonts w:hint="eastAsia"/>
          <w:lang w:val="en-US" w:eastAsia="zh-CN"/>
        </w:rPr>
        <w:t>SGX_SQLite</w:t>
      </w:r>
      <w:r>
        <w:rPr>
          <w:rFonts w:hint="eastAsia"/>
        </w:rPr>
        <w:t>执行</w:t>
      </w:r>
      <w:r>
        <w:rPr>
          <w:rFonts w:hint="eastAsia"/>
          <w:lang w:val="en-US" w:eastAsia="zh-CN"/>
        </w:rPr>
        <w:t>情况</w:t>
      </w:r>
      <w:r>
        <w:rPr>
          <w:rFonts w:hint="eastAsia"/>
        </w:rPr>
        <w:t>图</w:t>
      </w:r>
      <w:bookmarkEnd w:id="1616"/>
    </w:p>
    <w:p>
      <w:pPr>
        <w:pStyle w:val="6"/>
        <w:rPr>
          <w:rFonts w:hint="eastAsia"/>
        </w:rPr>
      </w:pPr>
      <w:r>
        <w:rPr>
          <w:rFonts w:hint="eastAsia"/>
          <w:b/>
          <w:bCs/>
          <w:lang w:val="en-US" w:eastAsia="zh-CN"/>
        </w:rPr>
        <w:t>Figure5.5</w:t>
      </w:r>
      <w:r>
        <w:rPr>
          <w:rFonts w:hint="eastAsia"/>
        </w:rPr>
        <w:t>　</w:t>
      </w:r>
      <w:r>
        <w:rPr>
          <w:rFonts w:hint="eastAsia"/>
          <w:lang w:val="en-US" w:eastAsia="zh-CN"/>
        </w:rPr>
        <w:t>D</w:t>
      </w:r>
      <w:r>
        <w:rPr>
          <w:rFonts w:hint="eastAsia"/>
        </w:rPr>
        <w:t xml:space="preserve">iagram </w:t>
      </w:r>
      <w:r>
        <w:rPr>
          <w:rFonts w:hint="eastAsia"/>
          <w:lang w:val="en-US" w:eastAsia="zh-CN"/>
        </w:rPr>
        <w:t xml:space="preserve">of </w:t>
      </w:r>
      <w:r>
        <w:rPr>
          <w:rFonts w:hint="eastAsia"/>
        </w:rPr>
        <w:t xml:space="preserve">SGX_SQLite execution before </w:t>
      </w:r>
      <w:r>
        <w:rPr>
          <w:rFonts w:hint="eastAsia"/>
          <w:lang w:val="en-US" w:eastAsia="zh-CN"/>
        </w:rPr>
        <w:t>C</w:t>
      </w:r>
      <w:r>
        <w:rPr>
          <w:rFonts w:hint="eastAsia"/>
        </w:rPr>
        <w:t>all</w:t>
      </w:r>
      <w:r>
        <w:rPr>
          <w:rFonts w:hint="eastAsia"/>
          <w:lang w:val="en-US" w:eastAsia="zh-CN"/>
        </w:rPr>
        <w:t xml:space="preserve"> Permutation</w:t>
      </w:r>
      <w:r>
        <w:rPr>
          <w:rFonts w:hint="eastAsia"/>
        </w:rPr>
        <w:t xml:space="preserve"> attack</w:t>
      </w:r>
    </w:p>
    <w:p>
      <w:pPr>
        <w:ind w:firstLine="480" w:firstLineChars="200"/>
        <w:rPr>
          <w:rFonts w:hint="default"/>
          <w:lang w:val="en-US" w:eastAsia="zh-CN"/>
        </w:rPr>
      </w:pPr>
      <w:r>
        <w:rPr>
          <w:rFonts w:hint="eastAsia"/>
          <w:lang w:val="en-US" w:eastAsia="zh-CN"/>
        </w:rPr>
        <w:t>恶意篡改SGX_SQLite中ECALL函数的调用顺序，使得数据库句柄关闭（ecall_closedb）后未置NULL形成的悬空指针被继续使用（ecall_execute_sql），形成安全隐患。程序执行情况如图5.6所示。</w:t>
      </w:r>
    </w:p>
    <w:p>
      <w:pPr>
        <w:jc w:val="center"/>
        <w:rPr>
          <w:rFonts w:hint="default"/>
          <w:lang w:val="en-US" w:eastAsia="zh-CN"/>
        </w:rPr>
      </w:pPr>
      <w:r>
        <w:rPr>
          <w:rFonts w:hint="default"/>
          <w:lang w:val="en-US" w:eastAsia="zh-CN"/>
        </w:rPr>
        <w:drawing>
          <wp:inline distT="0" distB="0" distL="114300" distR="114300">
            <wp:extent cx="4685665" cy="1608455"/>
            <wp:effectExtent l="0" t="0" r="635" b="4445"/>
            <wp:docPr id="35" name="图片 35" descr="cp 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p bad"/>
                    <pic:cNvPicPr>
                      <a:picLocks noChangeAspect="1"/>
                    </pic:cNvPicPr>
                  </pic:nvPicPr>
                  <pic:blipFill>
                    <a:blip r:embed="rId66"/>
                    <a:srcRect r="29781" b="52519"/>
                    <a:stretch>
                      <a:fillRect/>
                    </a:stretch>
                  </pic:blipFill>
                  <pic:spPr>
                    <a:xfrm>
                      <a:off x="0" y="0"/>
                      <a:ext cx="4685665" cy="1608455"/>
                    </a:xfrm>
                    <a:prstGeom prst="rect">
                      <a:avLst/>
                    </a:prstGeom>
                  </pic:spPr>
                </pic:pic>
              </a:graphicData>
            </a:graphic>
          </wp:inline>
        </w:drawing>
      </w:r>
    </w:p>
    <w:p>
      <w:pPr>
        <w:pStyle w:val="6"/>
        <w:jc w:val="center"/>
        <w:rPr>
          <w:rFonts w:hint="eastAsia"/>
          <w:lang w:eastAsia="zh-CN"/>
        </w:rPr>
      </w:pPr>
      <w:r>
        <w:rPr>
          <w:b/>
          <w:bCs/>
        </w:rPr>
        <w:t>图</w:t>
      </w:r>
      <w:r>
        <w:rPr>
          <w:rFonts w:hint="eastAsia"/>
          <w:b/>
          <w:bCs/>
          <w:lang w:val="en-US" w:eastAsia="zh-CN"/>
        </w:rPr>
        <w:t>5</w:t>
      </w:r>
      <w:r>
        <w:rPr>
          <w:rFonts w:hint="eastAsia"/>
          <w:b/>
          <w:bCs/>
          <w:lang w:eastAsia="zh-CN"/>
        </w:rPr>
        <w:t>.</w:t>
      </w:r>
      <w:r>
        <w:rPr>
          <w:b/>
          <w:bCs/>
        </w:rPr>
        <w:fldChar w:fldCharType="begin"/>
      </w:r>
      <w:r>
        <w:rPr>
          <w:b/>
          <w:bCs/>
        </w:rPr>
        <w:instrText xml:space="preserve"> SEQ 图 \* ARABIC \s 1 </w:instrText>
      </w:r>
      <w:r>
        <w:rPr>
          <w:b/>
          <w:bCs/>
        </w:rPr>
        <w:fldChar w:fldCharType="separate"/>
      </w:r>
      <w:r>
        <w:rPr>
          <w:b/>
          <w:bCs/>
        </w:rPr>
        <w:t>6</w:t>
      </w:r>
      <w:r>
        <w:rPr>
          <w:b/>
          <w:bCs/>
        </w:rPr>
        <w:fldChar w:fldCharType="end"/>
      </w:r>
      <w:bookmarkStart w:id="1617" w:name="_Toc25414"/>
      <w:r>
        <w:rPr>
          <w:rFonts w:hint="eastAsia"/>
        </w:rPr>
        <w:t>　</w:t>
      </w:r>
      <w:r>
        <w:rPr>
          <w:rFonts w:hint="eastAsia"/>
          <w:lang w:eastAsia="zh-CN"/>
        </w:rPr>
        <w:t>调用排序攻击</w:t>
      </w:r>
      <w:r>
        <w:rPr>
          <w:rFonts w:hint="eastAsia"/>
          <w:lang w:val="en-US" w:eastAsia="zh-CN"/>
        </w:rPr>
        <w:t>后</w:t>
      </w:r>
      <w:r>
        <w:rPr>
          <w:rFonts w:hint="eastAsia"/>
          <w:lang w:eastAsia="zh-CN"/>
        </w:rPr>
        <w:t>SGX_SQLite执行情况图</w:t>
      </w:r>
      <w:bookmarkEnd w:id="1617"/>
    </w:p>
    <w:p>
      <w:pPr>
        <w:pStyle w:val="6"/>
        <w:rPr>
          <w:rFonts w:hint="eastAsia"/>
        </w:rPr>
      </w:pPr>
      <w:r>
        <w:rPr>
          <w:rFonts w:hint="eastAsia"/>
          <w:b/>
          <w:bCs/>
          <w:lang w:val="en-US" w:eastAsia="zh-CN"/>
        </w:rPr>
        <w:t>Figure5.6</w:t>
      </w:r>
      <w:r>
        <w:rPr>
          <w:rFonts w:hint="eastAsia"/>
        </w:rPr>
        <w:t>　</w:t>
      </w:r>
      <w:r>
        <w:rPr>
          <w:rFonts w:hint="eastAsia"/>
          <w:lang w:val="en-US" w:eastAsia="zh-CN"/>
        </w:rPr>
        <w:t>D</w:t>
      </w:r>
      <w:r>
        <w:rPr>
          <w:rFonts w:hint="eastAsia"/>
        </w:rPr>
        <w:t xml:space="preserve">iagram </w:t>
      </w:r>
      <w:r>
        <w:rPr>
          <w:rFonts w:hint="eastAsia"/>
          <w:lang w:val="en-US" w:eastAsia="zh-CN"/>
        </w:rPr>
        <w:t xml:space="preserve">of </w:t>
      </w:r>
      <w:r>
        <w:rPr>
          <w:rFonts w:hint="eastAsia"/>
        </w:rPr>
        <w:t xml:space="preserve">SGX_SQLite execution </w:t>
      </w:r>
      <w:r>
        <w:rPr>
          <w:rFonts w:hint="eastAsia"/>
          <w:lang w:val="en-US" w:eastAsia="zh-CN"/>
        </w:rPr>
        <w:t>after C</w:t>
      </w:r>
      <w:r>
        <w:rPr>
          <w:rFonts w:hint="eastAsia"/>
        </w:rPr>
        <w:t>all</w:t>
      </w:r>
      <w:r>
        <w:rPr>
          <w:rFonts w:hint="eastAsia"/>
          <w:lang w:val="en-US" w:eastAsia="zh-CN"/>
        </w:rPr>
        <w:t xml:space="preserve"> Permutation</w:t>
      </w:r>
      <w:r>
        <w:rPr>
          <w:rFonts w:hint="eastAsia"/>
        </w:rPr>
        <w:t xml:space="preserve"> attack</w:t>
      </w:r>
    </w:p>
    <w:p>
      <w:pPr>
        <w:ind w:firstLine="480" w:firstLineChars="200"/>
        <w:rPr>
          <w:rFonts w:hint="default"/>
          <w:lang w:val="en-US" w:eastAsia="zh-CN"/>
        </w:rPr>
      </w:pPr>
      <w:r>
        <w:rPr>
          <w:rFonts w:hint="eastAsia"/>
          <w:lang w:val="en-US" w:eastAsia="zh-CN"/>
        </w:rPr>
        <w:t>为了缓解“调用排序”攻击，Enclave开发者能够依据先验的预期执行情况编写策略文件，在SGX-SEF上设置“ECALL调用顺序白名单”策略，</w:t>
      </w:r>
      <w:r>
        <w:rPr>
          <w:rFonts w:hint="eastAsia"/>
        </w:rPr>
        <w:t>要求检测到的ECALL调用顺序先后分别为ecall_</w:t>
      </w:r>
      <w:r>
        <w:rPr>
          <w:rFonts w:hint="eastAsia"/>
          <w:lang w:val="en-US" w:eastAsia="zh-CN"/>
        </w:rPr>
        <w:t>open_db</w:t>
      </w:r>
      <w:r>
        <w:rPr>
          <w:rFonts w:hint="eastAsia"/>
        </w:rPr>
        <w:t>函数、</w:t>
      </w:r>
      <w:r>
        <w:rPr>
          <w:rFonts w:hint="eastAsia"/>
          <w:lang w:val="en-US" w:eastAsia="zh-CN"/>
        </w:rPr>
        <w:t>ecall_execute_sql</w:t>
      </w:r>
      <w:r>
        <w:rPr>
          <w:rFonts w:hint="eastAsia"/>
        </w:rPr>
        <w:t>函数和ecall_</w:t>
      </w:r>
      <w:r>
        <w:rPr>
          <w:rFonts w:hint="eastAsia"/>
          <w:lang w:val="en-US" w:eastAsia="zh-CN"/>
        </w:rPr>
        <w:t>close_db</w:t>
      </w:r>
      <w:r>
        <w:rPr>
          <w:rFonts w:hint="eastAsia"/>
        </w:rPr>
        <w:t>函数</w:t>
      </w:r>
      <w:r>
        <w:rPr>
          <w:rFonts w:hint="eastAsia"/>
          <w:lang w:val="en-US" w:eastAsia="zh-CN"/>
        </w:rPr>
        <w:t>。如果执行情况违反策略，SGX-SEF将返回</w:t>
      </w:r>
      <w:r>
        <w:rPr>
          <w:rFonts w:hint="eastAsia"/>
        </w:rPr>
        <w:t>错误码SGX_ERROR_CHECK_POINT</w:t>
      </w:r>
      <w:r>
        <w:rPr>
          <w:rFonts w:hint="eastAsia"/>
          <w:lang w:eastAsia="zh-CN"/>
        </w:rPr>
        <w:t>（</w:t>
      </w:r>
      <w:r>
        <w:rPr>
          <w:rFonts w:hint="eastAsia"/>
          <w:lang w:val="en-US" w:eastAsia="zh-CN"/>
        </w:rPr>
        <w:t>0x9001</w:t>
      </w:r>
      <w:r>
        <w:rPr>
          <w:rFonts w:hint="eastAsia"/>
          <w:lang w:eastAsia="zh-CN"/>
        </w:rPr>
        <w:t>）</w:t>
      </w:r>
      <w:r>
        <w:rPr>
          <w:rFonts w:hint="eastAsia"/>
          <w:lang w:val="en-US" w:eastAsia="zh-CN"/>
        </w:rPr>
        <w:t>并终止程序运行。如图5.7所示，在SGX-SEF中设置</w:t>
      </w:r>
      <w:r>
        <w:rPr>
          <w:rFonts w:hint="eastAsia"/>
        </w:rPr>
        <w:t>“</w:t>
      </w:r>
      <w:r>
        <w:rPr>
          <w:rFonts w:hint="eastAsia"/>
          <w:lang w:val="en-US" w:eastAsia="zh-CN"/>
        </w:rPr>
        <w:t>ECALL调用</w:t>
      </w:r>
      <w:r>
        <w:rPr>
          <w:rFonts w:hint="eastAsia"/>
        </w:rPr>
        <w:t>顺序白名单”</w:t>
      </w:r>
      <w:r>
        <w:rPr>
          <w:rFonts w:hint="eastAsia"/>
          <w:lang w:val="en-US" w:eastAsia="zh-CN"/>
        </w:rPr>
        <w:t>策略能成功检测非预期的调用顺序。</w:t>
      </w:r>
    </w:p>
    <w:p>
      <w:pPr>
        <w:jc w:val="center"/>
        <w:rPr>
          <w:rFonts w:hint="default"/>
          <w:lang w:val="en-US" w:eastAsia="zh-CN"/>
        </w:rPr>
      </w:pPr>
      <w:r>
        <w:rPr>
          <w:rFonts w:hint="default"/>
          <w:lang w:val="en-US" w:eastAsia="zh-CN"/>
        </w:rPr>
        <w:drawing>
          <wp:inline distT="0" distB="0" distL="114300" distR="114300">
            <wp:extent cx="4619625" cy="942340"/>
            <wp:effectExtent l="0" t="0" r="3175" b="10160"/>
            <wp:docPr id="36" name="图片 36" descr="cp 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p ck"/>
                    <pic:cNvPicPr>
                      <a:picLocks noChangeAspect="1"/>
                    </pic:cNvPicPr>
                  </pic:nvPicPr>
                  <pic:blipFill>
                    <a:blip r:embed="rId67"/>
                    <a:srcRect l="2291" t="2722" r="2678" b="69922"/>
                    <a:stretch>
                      <a:fillRect/>
                    </a:stretch>
                  </pic:blipFill>
                  <pic:spPr>
                    <a:xfrm>
                      <a:off x="0" y="0"/>
                      <a:ext cx="4619625" cy="942340"/>
                    </a:xfrm>
                    <a:prstGeom prst="rect">
                      <a:avLst/>
                    </a:prstGeom>
                  </pic:spPr>
                </pic:pic>
              </a:graphicData>
            </a:graphic>
          </wp:inline>
        </w:drawing>
      </w:r>
    </w:p>
    <w:p>
      <w:pPr>
        <w:pStyle w:val="6"/>
        <w:jc w:val="center"/>
        <w:rPr>
          <w:rFonts w:hint="eastAsia"/>
          <w:lang w:eastAsia="zh-CN"/>
        </w:rPr>
      </w:pPr>
      <w:r>
        <w:rPr>
          <w:b/>
          <w:bCs/>
        </w:rPr>
        <w:t>图</w:t>
      </w:r>
      <w:r>
        <w:rPr>
          <w:rFonts w:hint="eastAsia"/>
          <w:b/>
          <w:bCs/>
          <w:lang w:val="en-US" w:eastAsia="zh-CN"/>
        </w:rPr>
        <w:t>5</w:t>
      </w:r>
      <w:r>
        <w:rPr>
          <w:rFonts w:hint="eastAsia"/>
          <w:b/>
          <w:bCs/>
          <w:lang w:eastAsia="zh-CN"/>
        </w:rPr>
        <w:t>.</w:t>
      </w:r>
      <w:r>
        <w:rPr>
          <w:b/>
          <w:bCs/>
        </w:rPr>
        <w:fldChar w:fldCharType="begin"/>
      </w:r>
      <w:r>
        <w:rPr>
          <w:b/>
          <w:bCs/>
        </w:rPr>
        <w:instrText xml:space="preserve"> SEQ 图 \* ARABIC \s 1 </w:instrText>
      </w:r>
      <w:r>
        <w:rPr>
          <w:b/>
          <w:bCs/>
        </w:rPr>
        <w:fldChar w:fldCharType="separate"/>
      </w:r>
      <w:r>
        <w:rPr>
          <w:b/>
          <w:bCs/>
        </w:rPr>
        <w:t>7</w:t>
      </w:r>
      <w:r>
        <w:rPr>
          <w:b/>
          <w:bCs/>
        </w:rPr>
        <w:fldChar w:fldCharType="end"/>
      </w:r>
      <w:bookmarkStart w:id="1618" w:name="_Toc7567"/>
      <w:r>
        <w:rPr>
          <w:rFonts w:hint="eastAsia"/>
        </w:rPr>
        <w:t>　</w:t>
      </w:r>
      <w:r>
        <w:rPr>
          <w:rFonts w:hint="eastAsia"/>
          <w:lang w:val="en-US" w:eastAsia="zh-CN"/>
        </w:rPr>
        <w:t>SGX_SQLite中</w:t>
      </w:r>
      <w:r>
        <w:rPr>
          <w:rFonts w:hint="eastAsia"/>
          <w:lang w:eastAsia="zh-CN"/>
        </w:rPr>
        <w:t>调用排序攻击检测结果</w:t>
      </w:r>
      <w:bookmarkEnd w:id="1618"/>
    </w:p>
    <w:p>
      <w:pPr>
        <w:pStyle w:val="6"/>
        <w:rPr>
          <w:rFonts w:hint="default" w:eastAsia="宋体"/>
          <w:lang w:val="en-US" w:eastAsia="zh-CN"/>
        </w:rPr>
      </w:pPr>
      <w:r>
        <w:rPr>
          <w:rFonts w:hint="eastAsia"/>
          <w:b/>
          <w:bCs/>
          <w:lang w:val="en-US" w:eastAsia="zh-CN"/>
        </w:rPr>
        <w:t>Figure5.7</w:t>
      </w:r>
      <w:r>
        <w:rPr>
          <w:rFonts w:hint="eastAsia"/>
        </w:rPr>
        <w:t>　Detection results of Call Permutation Attack</w:t>
      </w:r>
      <w:r>
        <w:rPr>
          <w:rFonts w:hint="eastAsia"/>
          <w:lang w:val="en-US" w:eastAsia="zh-CN"/>
        </w:rPr>
        <w:t xml:space="preserve"> in SGX_SQLite</w:t>
      </w:r>
    </w:p>
    <w:p>
      <w:pPr>
        <w:ind w:firstLine="480" w:firstLineChars="200"/>
      </w:pPr>
      <w:r>
        <w:rPr>
          <w:rFonts w:hint="eastAsia"/>
        </w:rPr>
        <w:t>除Glamdring外尚无防御方案针对SGX调用排序攻击向量进行有效防御。Glamdring减少ECALL数量以避免调用排序攻击，该方法效果有限，因为有些ECALL函数无法被裁剪。</w:t>
      </w:r>
    </w:p>
    <w:p>
      <w:pPr>
        <w:pStyle w:val="4"/>
      </w:pPr>
      <w:bookmarkStart w:id="1619" w:name="_Toc157"/>
      <w:bookmarkStart w:id="1620" w:name="_Toc19904"/>
      <w:bookmarkStart w:id="1621" w:name="_Toc23961"/>
      <w:bookmarkStart w:id="1622" w:name="_Toc21656"/>
      <w:bookmarkStart w:id="1623" w:name="_Toc24361"/>
      <w:bookmarkStart w:id="1624" w:name="_Toc26545"/>
      <w:bookmarkStart w:id="1625" w:name="_Toc13285"/>
      <w:bookmarkStart w:id="1626" w:name="_Toc29231"/>
      <w:bookmarkStart w:id="1627" w:name="_Toc9147"/>
      <w:bookmarkStart w:id="1628" w:name="_Toc31174"/>
      <w:bookmarkStart w:id="1629" w:name="_Toc617"/>
      <w:bookmarkStart w:id="1630" w:name="_Toc16949"/>
      <w:bookmarkStart w:id="1631" w:name="_Toc12295"/>
      <w:bookmarkStart w:id="1632" w:name="_Toc23959"/>
      <w:bookmarkStart w:id="1633" w:name="_Toc25688"/>
      <w:bookmarkStart w:id="1634" w:name="_Toc20279"/>
      <w:bookmarkStart w:id="1635" w:name="_Toc26715"/>
      <w:bookmarkStart w:id="1636" w:name="_Toc29738"/>
      <w:bookmarkStart w:id="1637" w:name="_Toc15334"/>
      <w:bookmarkStart w:id="1638" w:name="_Toc19213"/>
      <w:r>
        <w:rPr>
          <w:rFonts w:hint="eastAsia"/>
        </w:rPr>
        <w:t>5.3.2　针对“并发调用”攻击向量的防御效果</w:t>
      </w:r>
      <w:bookmarkEnd w:id="1619"/>
      <w:bookmarkEnd w:id="1620"/>
      <w:r>
        <w:rPr>
          <w:rFonts w:hint="eastAsia"/>
        </w:rPr>
        <w:t>验证</w:t>
      </w:r>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p>
    <w:p>
      <w:pPr>
        <w:ind w:firstLine="480" w:firstLineChars="200"/>
      </w:pPr>
      <w:r>
        <w:rPr>
          <w:rFonts w:hint="eastAsia"/>
        </w:rPr>
        <w:t>实验构造实现了“并发调用”攻击向量POC。并发调用攻击之前，</w:t>
      </w:r>
      <w:r>
        <w:rPr>
          <w:rFonts w:hint="eastAsia"/>
          <w:lang w:val="en-US" w:eastAsia="zh-CN"/>
        </w:rPr>
        <w:t>ECALL调用顺序</w:t>
      </w:r>
      <w:r>
        <w:rPr>
          <w:rFonts w:hint="eastAsia"/>
        </w:rPr>
        <w:t>先后分别为ecall_malloc_obj1函数、ecall_malloc_obj2_use_obj1函数和ecall_free_obj1函数。程序执行结果如图5.</w:t>
      </w:r>
      <w:r>
        <w:rPr>
          <w:rFonts w:hint="eastAsia"/>
          <w:lang w:val="en-US" w:eastAsia="zh-CN"/>
        </w:rPr>
        <w:t>8</w:t>
      </w:r>
      <w:r>
        <w:rPr>
          <w:rFonts w:hint="eastAsia"/>
        </w:rPr>
        <w:t>所示，主线程调用ecall_malloc_obj1函数在Enclave堆上创建对象1并等待线程1使用对象1，线程1在Enclave堆上创建对象2并使用对象1的值“hello”，线程1结束后主线程释放对象1但未将对象1置NULL（对象1指针成为悬</w:t>
      </w:r>
      <w:bookmarkStart w:id="1639" w:name="OLE_LINK50"/>
      <w:r>
        <w:rPr>
          <w:rFonts w:hint="eastAsia"/>
        </w:rPr>
        <w:t>空</w:t>
      </w:r>
      <w:bookmarkEnd w:id="1639"/>
      <w:r>
        <w:rPr>
          <w:rFonts w:hint="eastAsia"/>
        </w:rPr>
        <w:t>指针）。</w:t>
      </w:r>
    </w:p>
    <w:p>
      <w:pPr>
        <w:ind w:firstLine="0" w:firstLineChars="0"/>
        <w:jc w:val="center"/>
      </w:pPr>
      <w:r>
        <w:rPr>
          <w:rFonts w:hint="eastAsia"/>
        </w:rPr>
        <w:drawing>
          <wp:inline distT="0" distB="0" distL="114300" distR="114300">
            <wp:extent cx="4171315" cy="1099820"/>
            <wp:effectExtent l="0" t="0" r="6985" b="5080"/>
            <wp:docPr id="32" name="图片 32" descr="concurrent calls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oncurrent calls before"/>
                    <pic:cNvPicPr>
                      <a:picLocks noChangeAspect="1"/>
                    </pic:cNvPicPr>
                  </pic:nvPicPr>
                  <pic:blipFill>
                    <a:blip r:embed="rId68"/>
                    <a:srcRect l="2356" t="3325" r="2199" b="61162"/>
                    <a:stretch>
                      <a:fillRect/>
                    </a:stretch>
                  </pic:blipFill>
                  <pic:spPr>
                    <a:xfrm>
                      <a:off x="0" y="0"/>
                      <a:ext cx="4171315" cy="1099820"/>
                    </a:xfrm>
                    <a:prstGeom prst="rect">
                      <a:avLst/>
                    </a:prstGeom>
                  </pic:spPr>
                </pic:pic>
              </a:graphicData>
            </a:graphic>
          </wp:inline>
        </w:drawing>
      </w:r>
    </w:p>
    <w:p>
      <w:pPr>
        <w:pStyle w:val="6"/>
        <w:ind w:firstLine="0" w:firstLineChars="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8</w:t>
      </w:r>
      <w:r>
        <w:rPr>
          <w:b/>
          <w:bCs/>
        </w:rPr>
        <w:fldChar w:fldCharType="end"/>
      </w:r>
      <w:bookmarkStart w:id="1640" w:name="_Toc6257"/>
      <w:bookmarkStart w:id="1641" w:name="_Toc13772"/>
      <w:bookmarkStart w:id="1642" w:name="_Toc17563"/>
      <w:bookmarkStart w:id="1643" w:name="_Toc22005"/>
      <w:bookmarkStart w:id="1644" w:name="_Toc32276"/>
      <w:bookmarkStart w:id="1645" w:name="_Toc796"/>
      <w:bookmarkStart w:id="1646" w:name="_Toc22127"/>
      <w:bookmarkStart w:id="1647" w:name="_Toc9392"/>
      <w:bookmarkStart w:id="1648" w:name="_Toc14861"/>
      <w:r>
        <w:rPr>
          <w:rFonts w:hint="eastAsia"/>
        </w:rPr>
        <w:t>　并发调用攻击之前程序执行结果</w:t>
      </w:r>
      <w:bookmarkEnd w:id="1640"/>
      <w:bookmarkEnd w:id="1641"/>
      <w:bookmarkEnd w:id="1642"/>
      <w:bookmarkEnd w:id="1643"/>
      <w:bookmarkEnd w:id="1644"/>
      <w:bookmarkEnd w:id="1645"/>
      <w:bookmarkEnd w:id="1646"/>
      <w:bookmarkEnd w:id="1647"/>
      <w:bookmarkEnd w:id="1648"/>
    </w:p>
    <w:p>
      <w:pPr>
        <w:pStyle w:val="6"/>
      </w:pPr>
      <w:r>
        <w:rPr>
          <w:rFonts w:hint="eastAsia"/>
          <w:b/>
          <w:bCs/>
        </w:rPr>
        <w:t>Figure5.</w:t>
      </w:r>
      <w:r>
        <w:rPr>
          <w:rFonts w:hint="eastAsia"/>
          <w:b/>
          <w:bCs/>
          <w:lang w:val="en-US" w:eastAsia="zh-CN"/>
        </w:rPr>
        <w:t>8</w:t>
      </w:r>
      <w:r>
        <w:rPr>
          <w:rFonts w:hint="eastAsia"/>
        </w:rPr>
        <w:t>　Program execution result before Concurrent Calls Attack</w:t>
      </w:r>
    </w:p>
    <w:p>
      <w:pPr>
        <w:ind w:firstLine="480" w:firstLineChars="200"/>
      </w:pPr>
      <w:r>
        <w:rPr>
          <w:rFonts w:hint="eastAsia"/>
        </w:rPr>
        <w:t>恶意暂停线程1执行ecall_malloc_obj2_use_obj1函数，将ecall_malloc_obj1函数、ecall_malloc_obj2_use_obj1函数和ecall_free_obj1函数的ECALL</w:t>
      </w:r>
      <w:r>
        <w:rPr>
          <w:rFonts w:hint="eastAsia"/>
          <w:lang w:val="en-US" w:eastAsia="zh-CN"/>
        </w:rPr>
        <w:t>调用顺序</w:t>
      </w:r>
      <w:r>
        <w:rPr>
          <w:rFonts w:hint="eastAsia"/>
        </w:rPr>
        <w:t>篡改为ecall_malloc_obj1函数、ecall_free_obj1函数和ecall_malloc_obj2_use_obj1函数的</w:t>
      </w:r>
      <w:r>
        <w:rPr>
          <w:rFonts w:hint="eastAsia"/>
          <w:lang w:val="en-US" w:eastAsia="zh-CN"/>
        </w:rPr>
        <w:t>调用顺序</w:t>
      </w:r>
      <w:r>
        <w:rPr>
          <w:rFonts w:hint="eastAsia"/>
        </w:rPr>
        <w:t>（如图5.</w:t>
      </w:r>
      <w:r>
        <w:rPr>
          <w:rFonts w:hint="eastAsia"/>
          <w:lang w:val="en-US" w:eastAsia="zh-CN"/>
        </w:rPr>
        <w:t>9</w:t>
      </w:r>
      <w:r>
        <w:rPr>
          <w:rFonts w:hint="eastAsia"/>
        </w:rPr>
        <w:t>所示），使得ecall_free_obj1中的悬空指针（对象1指针）被ecall_malloc_obj2_use_obj1使用，触发UAF。程序执行结果如图5.</w:t>
      </w:r>
      <w:r>
        <w:rPr>
          <w:rFonts w:hint="eastAsia"/>
          <w:lang w:val="en-US" w:eastAsia="zh-CN"/>
        </w:rPr>
        <w:t>10</w:t>
      </w:r>
      <w:r>
        <w:rPr>
          <w:rFonts w:hint="eastAsia"/>
        </w:rPr>
        <w:t>所示，ecall_malloc_obj2_use_obj1函数中，对象2被分配在与悬空指针（对象1指针）相同的地址，使用悬空指针（对象1指针）所指内容等同于使用对象2的值“uaf”。</w:t>
      </w:r>
    </w:p>
    <w:p>
      <w:pPr>
        <w:jc w:val="center"/>
      </w:pPr>
      <w:r>
        <w:rPr>
          <w:rFonts w:hint="eastAsia"/>
        </w:rPr>
        <w:drawing>
          <wp:inline distT="0" distB="0" distL="114300" distR="114300">
            <wp:extent cx="2555875" cy="2883535"/>
            <wp:effectExtent l="0" t="0" r="9525" b="12065"/>
            <wp:docPr id="33" name="图片 33" descr="161794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17940949(1)"/>
                    <pic:cNvPicPr>
                      <a:picLocks noChangeAspect="1"/>
                    </pic:cNvPicPr>
                  </pic:nvPicPr>
                  <pic:blipFill>
                    <a:blip r:embed="rId69"/>
                    <a:stretch>
                      <a:fillRect/>
                    </a:stretch>
                  </pic:blipFill>
                  <pic:spPr>
                    <a:xfrm>
                      <a:off x="0" y="0"/>
                      <a:ext cx="2555875" cy="2883535"/>
                    </a:xfrm>
                    <a:prstGeom prst="rect">
                      <a:avLst/>
                    </a:prstGeom>
                  </pic:spPr>
                </pic:pic>
              </a:graphicData>
            </a:graphic>
          </wp:inline>
        </w:drawing>
      </w:r>
    </w:p>
    <w:p>
      <w:pPr>
        <w:pStyle w:val="6"/>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9</w:t>
      </w:r>
      <w:r>
        <w:rPr>
          <w:b/>
          <w:bCs/>
        </w:rPr>
        <w:fldChar w:fldCharType="end"/>
      </w:r>
      <w:bookmarkStart w:id="1649" w:name="OLE_LINK34"/>
      <w:bookmarkStart w:id="1650" w:name="_Toc8609"/>
      <w:bookmarkStart w:id="1651" w:name="_Toc10904"/>
      <w:bookmarkStart w:id="1652" w:name="_Toc27446"/>
      <w:bookmarkStart w:id="1653" w:name="_Toc30633"/>
      <w:bookmarkStart w:id="1654" w:name="_Toc14376"/>
      <w:bookmarkStart w:id="1655" w:name="_Toc6542"/>
      <w:bookmarkStart w:id="1656" w:name="_Toc937"/>
      <w:bookmarkStart w:id="1657" w:name="_Toc22170"/>
      <w:bookmarkStart w:id="1658" w:name="_Toc3904"/>
      <w:bookmarkStart w:id="1659" w:name="_Toc3622"/>
      <w:bookmarkStart w:id="1660" w:name="_Toc3814"/>
      <w:bookmarkStart w:id="1661" w:name="_Toc26448"/>
      <w:bookmarkStart w:id="1662" w:name="_Toc22715"/>
      <w:bookmarkStart w:id="1663" w:name="_Toc7537"/>
      <w:bookmarkStart w:id="1664" w:name="_Toc12547"/>
      <w:bookmarkStart w:id="1665" w:name="_Toc25943"/>
      <w:bookmarkStart w:id="1666" w:name="_Toc19043"/>
      <w:bookmarkStart w:id="1667" w:name="_Toc24630"/>
      <w:bookmarkStart w:id="1668" w:name="_Toc2456"/>
      <w:bookmarkStart w:id="1669" w:name="_Toc11648"/>
      <w:bookmarkStart w:id="1670" w:name="_Toc15725"/>
      <w:bookmarkStart w:id="1671" w:name="_Toc13684"/>
      <w:bookmarkStart w:id="1672" w:name="_Toc20587"/>
      <w:bookmarkStart w:id="1673" w:name="_Toc24332"/>
      <w:r>
        <w:rPr>
          <w:rFonts w:hint="eastAsia"/>
        </w:rPr>
        <w:t>　</w:t>
      </w:r>
      <w:bookmarkEnd w:id="1649"/>
      <w:r>
        <w:rPr>
          <w:rFonts w:hint="eastAsia"/>
        </w:rPr>
        <w:t>恶意篡改并发</w:t>
      </w:r>
      <w:r>
        <w:rPr>
          <w:rFonts w:hint="eastAsia"/>
          <w:lang w:val="en-US" w:eastAsia="zh-CN"/>
        </w:rPr>
        <w:t>调用</w:t>
      </w:r>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pPr>
        <w:pStyle w:val="6"/>
        <w:rPr>
          <w:rFonts w:hint="default" w:eastAsia="宋体"/>
          <w:lang w:val="en-US" w:eastAsia="zh-CN"/>
        </w:rPr>
      </w:pPr>
      <w:r>
        <w:rPr>
          <w:rFonts w:hint="eastAsia"/>
          <w:b/>
          <w:bCs/>
        </w:rPr>
        <w:t>Figure5.</w:t>
      </w:r>
      <w:r>
        <w:rPr>
          <w:rFonts w:hint="eastAsia"/>
          <w:b/>
          <w:bCs/>
          <w:lang w:val="en-US" w:eastAsia="zh-CN"/>
        </w:rPr>
        <w:t>9</w:t>
      </w:r>
      <w:r>
        <w:rPr>
          <w:rFonts w:hint="eastAsia"/>
        </w:rPr>
        <w:t>　Maliciously tampers with the concurren</w:t>
      </w:r>
      <w:r>
        <w:rPr>
          <w:rFonts w:hint="eastAsia"/>
          <w:lang w:val="en-US" w:eastAsia="zh-CN"/>
        </w:rPr>
        <w:t>t</w:t>
      </w:r>
      <w:r>
        <w:rPr>
          <w:rFonts w:hint="eastAsia"/>
        </w:rPr>
        <w:t xml:space="preserve"> </w:t>
      </w:r>
      <w:r>
        <w:rPr>
          <w:rFonts w:hint="eastAsia"/>
          <w:lang w:val="en-US" w:eastAsia="zh-CN"/>
        </w:rPr>
        <w:t>calls</w:t>
      </w:r>
    </w:p>
    <w:p>
      <w:pPr>
        <w:ind w:firstLine="0" w:firstLineChars="0"/>
        <w:jc w:val="center"/>
      </w:pPr>
      <w:r>
        <w:rPr>
          <w:rFonts w:hint="eastAsia"/>
        </w:rPr>
        <w:drawing>
          <wp:inline distT="0" distB="0" distL="114300" distR="114300">
            <wp:extent cx="4177030" cy="1082675"/>
            <wp:effectExtent l="0" t="0" r="1270" b="9525"/>
            <wp:docPr id="37" name="图片 37" descr="并发调用攻击之后程序执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并发调用攻击之后程序执行结果"/>
                    <pic:cNvPicPr>
                      <a:picLocks noChangeAspect="1"/>
                    </pic:cNvPicPr>
                  </pic:nvPicPr>
                  <pic:blipFill>
                    <a:blip r:embed="rId70"/>
                    <a:srcRect l="2168" t="3531" r="2002" b="61422"/>
                    <a:stretch>
                      <a:fillRect/>
                    </a:stretch>
                  </pic:blipFill>
                  <pic:spPr>
                    <a:xfrm>
                      <a:off x="0" y="0"/>
                      <a:ext cx="4177030" cy="1082675"/>
                    </a:xfrm>
                    <a:prstGeom prst="rect">
                      <a:avLst/>
                    </a:prstGeom>
                  </pic:spPr>
                </pic:pic>
              </a:graphicData>
            </a:graphic>
          </wp:inline>
        </w:drawing>
      </w:r>
    </w:p>
    <w:p>
      <w:pPr>
        <w:pStyle w:val="6"/>
        <w:ind w:firstLine="0" w:firstLineChars="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10</w:t>
      </w:r>
      <w:r>
        <w:rPr>
          <w:b/>
          <w:bCs/>
        </w:rPr>
        <w:fldChar w:fldCharType="end"/>
      </w:r>
      <w:bookmarkStart w:id="1674" w:name="_Toc2267"/>
      <w:bookmarkStart w:id="1675" w:name="_Toc24595"/>
      <w:bookmarkStart w:id="1676" w:name="_Toc28999"/>
      <w:bookmarkStart w:id="1677" w:name="_Toc19840"/>
      <w:bookmarkStart w:id="1678" w:name="_Toc1103"/>
      <w:bookmarkStart w:id="1679" w:name="_Toc32008"/>
      <w:bookmarkStart w:id="1680" w:name="_Toc1298"/>
      <w:bookmarkStart w:id="1681" w:name="_Toc11599"/>
      <w:bookmarkStart w:id="1682" w:name="_Toc28304"/>
      <w:r>
        <w:rPr>
          <w:rFonts w:hint="eastAsia"/>
        </w:rPr>
        <w:t>　并发调用攻击之后程序执行结果</w:t>
      </w:r>
      <w:bookmarkEnd w:id="1674"/>
      <w:bookmarkEnd w:id="1675"/>
      <w:bookmarkEnd w:id="1676"/>
      <w:bookmarkEnd w:id="1677"/>
      <w:bookmarkEnd w:id="1678"/>
      <w:bookmarkEnd w:id="1679"/>
      <w:bookmarkEnd w:id="1680"/>
      <w:bookmarkEnd w:id="1681"/>
      <w:bookmarkEnd w:id="1682"/>
    </w:p>
    <w:p>
      <w:pPr>
        <w:pStyle w:val="6"/>
      </w:pPr>
      <w:r>
        <w:rPr>
          <w:rFonts w:hint="eastAsia"/>
          <w:b/>
          <w:bCs/>
        </w:rPr>
        <w:t>Figure5.</w:t>
      </w:r>
      <w:r>
        <w:rPr>
          <w:rFonts w:hint="eastAsia"/>
          <w:b/>
          <w:bCs/>
          <w:lang w:val="en-US" w:eastAsia="zh-CN"/>
        </w:rPr>
        <w:t>10</w:t>
      </w:r>
      <w:r>
        <w:rPr>
          <w:rFonts w:hint="eastAsia"/>
        </w:rPr>
        <w:t>　Program execution result after Concurrent Calls Attack</w:t>
      </w:r>
    </w:p>
    <w:p>
      <w:pPr>
        <w:ind w:firstLine="480" w:firstLineChars="200"/>
      </w:pPr>
      <w:r>
        <w:rPr>
          <w:rFonts w:hint="eastAsia"/>
          <w:lang w:val="en-US" w:eastAsia="zh-CN"/>
        </w:rPr>
        <w:t>对此，Enclave开发者依据先验的预期执行情况编写策略文件，</w:t>
      </w:r>
      <w:r>
        <w:rPr>
          <w:rFonts w:hint="eastAsia"/>
        </w:rPr>
        <w:t>基于SGX-SEF设置“ECALL</w:t>
      </w:r>
      <w:r>
        <w:rPr>
          <w:rFonts w:hint="eastAsia"/>
          <w:lang w:val="en-US" w:eastAsia="zh-CN"/>
        </w:rPr>
        <w:t>调用顺序</w:t>
      </w:r>
      <w:r>
        <w:rPr>
          <w:rFonts w:hint="eastAsia"/>
        </w:rPr>
        <w:t>白名单”安全策略，要求检测到的ECALL</w:t>
      </w:r>
      <w:r>
        <w:rPr>
          <w:rFonts w:hint="eastAsia"/>
          <w:lang w:val="en-US" w:eastAsia="zh-CN"/>
        </w:rPr>
        <w:t>调用顺序</w:t>
      </w:r>
      <w:r>
        <w:rPr>
          <w:rFonts w:hint="eastAsia"/>
        </w:rPr>
        <w:t>满足ecall_malloc_obj1函数、ecall_malloc_obj2_use_obj1函数和ecall_free_obj1函数的先后</w:t>
      </w:r>
      <w:r>
        <w:rPr>
          <w:rFonts w:hint="eastAsia"/>
          <w:lang w:val="en-US" w:eastAsia="zh-CN"/>
        </w:rPr>
        <w:t>顺序</w:t>
      </w:r>
      <w:r>
        <w:rPr>
          <w:rFonts w:hint="eastAsia"/>
        </w:rPr>
        <w:t>，否则</w:t>
      </w:r>
      <w:r>
        <w:rPr>
          <w:rFonts w:hint="eastAsia"/>
          <w:lang w:val="en-US" w:eastAsia="zh-CN"/>
        </w:rPr>
        <w:t>SGX-SEF</w:t>
      </w:r>
      <w:r>
        <w:rPr>
          <w:rFonts w:hint="eastAsia"/>
        </w:rPr>
        <w:t>返回错误码SGX_ERROR_CHECK_POINT并终止代码运行。如图5.</w:t>
      </w:r>
      <w:r>
        <w:rPr>
          <w:rFonts w:hint="eastAsia"/>
          <w:lang w:val="en-US" w:eastAsia="zh-CN"/>
        </w:rPr>
        <w:t>11</w:t>
      </w:r>
      <w:r>
        <w:rPr>
          <w:rFonts w:hint="eastAsia"/>
        </w:rPr>
        <w:t>所示，</w:t>
      </w:r>
      <w:r>
        <w:rPr>
          <w:rFonts w:hint="eastAsia"/>
          <w:lang w:val="en-US" w:eastAsia="zh-CN"/>
        </w:rPr>
        <w:t>在SGX-SEF中设置</w:t>
      </w:r>
      <w:r>
        <w:rPr>
          <w:rFonts w:hint="eastAsia"/>
        </w:rPr>
        <w:t>“ECALL</w:t>
      </w:r>
      <w:r>
        <w:rPr>
          <w:rFonts w:hint="eastAsia"/>
          <w:lang w:val="en-US" w:eastAsia="zh-CN"/>
        </w:rPr>
        <w:t>调用</w:t>
      </w:r>
      <w:r>
        <w:rPr>
          <w:rFonts w:hint="eastAsia"/>
        </w:rPr>
        <w:t>顺序白名单”</w:t>
      </w:r>
      <w:r>
        <w:rPr>
          <w:rFonts w:hint="eastAsia"/>
          <w:lang w:val="en-US" w:eastAsia="zh-CN"/>
        </w:rPr>
        <w:t>策略能成功检测非预期的调用顺序，</w:t>
      </w:r>
      <w:r>
        <w:rPr>
          <w:rFonts w:hint="eastAsia"/>
        </w:rPr>
        <w:t>核心已转储的原因是主线程调用ecall_free_obj1不符合安全策略被终止，线程1随主线程的终止而终止并发出核心已转储等信息。</w:t>
      </w:r>
    </w:p>
    <w:p>
      <w:pPr>
        <w:ind w:firstLine="0" w:firstLineChars="0"/>
        <w:jc w:val="center"/>
      </w:pPr>
      <w:r>
        <w:rPr>
          <w:rFonts w:hint="eastAsia"/>
        </w:rPr>
        <w:drawing>
          <wp:inline distT="0" distB="0" distL="114300" distR="114300">
            <wp:extent cx="4288155" cy="926465"/>
            <wp:effectExtent l="0" t="0" r="4445" b="635"/>
            <wp:docPr id="38" name="图片 38" descr="并发调用攻击检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并发调用攻击检测"/>
                    <pic:cNvPicPr>
                      <a:picLocks noChangeAspect="1"/>
                    </pic:cNvPicPr>
                  </pic:nvPicPr>
                  <pic:blipFill>
                    <a:blip r:embed="rId71"/>
                    <a:srcRect l="2379" t="3357" r="2379" b="67610"/>
                    <a:stretch>
                      <a:fillRect/>
                    </a:stretch>
                  </pic:blipFill>
                  <pic:spPr>
                    <a:xfrm>
                      <a:off x="0" y="0"/>
                      <a:ext cx="4288155" cy="926465"/>
                    </a:xfrm>
                    <a:prstGeom prst="rect">
                      <a:avLst/>
                    </a:prstGeom>
                  </pic:spPr>
                </pic:pic>
              </a:graphicData>
            </a:graphic>
          </wp:inline>
        </w:drawing>
      </w:r>
    </w:p>
    <w:p>
      <w:pPr>
        <w:pStyle w:val="6"/>
        <w:ind w:firstLine="0" w:firstLineChars="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11</w:t>
      </w:r>
      <w:r>
        <w:rPr>
          <w:b/>
          <w:bCs/>
        </w:rPr>
        <w:fldChar w:fldCharType="end"/>
      </w:r>
      <w:bookmarkStart w:id="1683" w:name="_Toc24708"/>
      <w:bookmarkStart w:id="1684" w:name="_Toc721"/>
      <w:bookmarkStart w:id="1685" w:name="_Toc8737"/>
      <w:bookmarkStart w:id="1686" w:name="_Toc31860"/>
      <w:bookmarkStart w:id="1687" w:name="_Toc5729"/>
      <w:bookmarkStart w:id="1688" w:name="_Toc258"/>
      <w:bookmarkStart w:id="1689" w:name="_Toc29538"/>
      <w:bookmarkStart w:id="1690" w:name="_Toc15782"/>
      <w:bookmarkStart w:id="1691" w:name="_Toc1382"/>
      <w:r>
        <w:rPr>
          <w:rFonts w:hint="eastAsia"/>
          <w:b/>
          <w:bCs/>
        </w:rPr>
        <w:t>　</w:t>
      </w:r>
      <w:r>
        <w:rPr>
          <w:rFonts w:hint="eastAsia"/>
        </w:rPr>
        <w:t>并发调用攻击检测结果</w:t>
      </w:r>
      <w:bookmarkEnd w:id="1683"/>
      <w:bookmarkEnd w:id="1684"/>
      <w:bookmarkEnd w:id="1685"/>
      <w:bookmarkEnd w:id="1686"/>
      <w:bookmarkEnd w:id="1687"/>
      <w:bookmarkEnd w:id="1688"/>
      <w:bookmarkEnd w:id="1689"/>
      <w:bookmarkEnd w:id="1690"/>
      <w:bookmarkEnd w:id="1691"/>
    </w:p>
    <w:p>
      <w:pPr>
        <w:pStyle w:val="6"/>
        <w:rPr>
          <w:rFonts w:hint="eastAsia"/>
        </w:rPr>
      </w:pPr>
      <w:r>
        <w:rPr>
          <w:rFonts w:hint="eastAsia"/>
          <w:b/>
          <w:bCs/>
        </w:rPr>
        <w:t>Figure5.</w:t>
      </w:r>
      <w:r>
        <w:rPr>
          <w:rFonts w:hint="eastAsia"/>
          <w:b/>
          <w:bCs/>
          <w:lang w:val="en-US" w:eastAsia="zh-CN"/>
        </w:rPr>
        <w:t>11</w:t>
      </w:r>
      <w:r>
        <w:rPr>
          <w:rFonts w:hint="eastAsia"/>
        </w:rPr>
        <w:t>　Detection result of Concurrent Calls Attack</w:t>
      </w:r>
    </w:p>
    <w:p>
      <w:pPr>
        <w:ind w:firstLine="480" w:firstLineChars="200"/>
      </w:pPr>
      <w:r>
        <w:rPr>
          <w:rFonts w:hint="eastAsia"/>
          <w:lang w:val="en-US" w:eastAsia="zh-CN"/>
        </w:rPr>
        <w:t>SGX_SQLite中的悬空指针的情况，也能被“并发调用”攻击。攻击前SGX_SQLite程序执行情况如图5.12所示，即主线程打开数据库句柄（ecall_opendb），线程1使用数据库句柄执行SQL语句（ecall_execute_sql），主线程关闭数据库句柄（ecall_closedb）。</w:t>
      </w:r>
    </w:p>
    <w:p>
      <w:pPr>
        <w:bidi w:val="0"/>
        <w:jc w:val="center"/>
        <w:rPr>
          <w:rFonts w:hint="eastAsia"/>
          <w:lang w:eastAsia="zh-CN"/>
        </w:rPr>
      </w:pPr>
      <w:r>
        <w:rPr>
          <w:rFonts w:hint="eastAsia"/>
          <w:lang w:eastAsia="zh-CN"/>
        </w:rPr>
        <w:drawing>
          <wp:inline distT="0" distB="0" distL="114300" distR="114300">
            <wp:extent cx="3580130" cy="2383155"/>
            <wp:effectExtent l="0" t="0" r="1270" b="4445"/>
            <wp:docPr id="44" name="图片 44" descr="cc 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c nor"/>
                    <pic:cNvPicPr>
                      <a:picLocks noChangeAspect="1"/>
                    </pic:cNvPicPr>
                  </pic:nvPicPr>
                  <pic:blipFill>
                    <a:blip r:embed="rId72"/>
                    <a:srcRect l="2291" t="2892" r="2291" b="7486"/>
                    <a:stretch>
                      <a:fillRect/>
                    </a:stretch>
                  </pic:blipFill>
                  <pic:spPr>
                    <a:xfrm>
                      <a:off x="0" y="0"/>
                      <a:ext cx="3580130" cy="2383155"/>
                    </a:xfrm>
                    <a:prstGeom prst="rect">
                      <a:avLst/>
                    </a:prstGeom>
                  </pic:spPr>
                </pic:pic>
              </a:graphicData>
            </a:graphic>
          </wp:inline>
        </w:drawing>
      </w:r>
    </w:p>
    <w:p>
      <w:pPr>
        <w:pStyle w:val="6"/>
        <w:bidi w:val="0"/>
        <w:rPr>
          <w:rFonts w:hint="default"/>
          <w:lang w:val="en-US" w:eastAsia="zh-CN"/>
        </w:rPr>
      </w:pPr>
      <w:r>
        <w:rPr>
          <w:b/>
          <w:bCs/>
        </w:rPr>
        <w:t>图</w:t>
      </w:r>
      <w:r>
        <w:rPr>
          <w:rFonts w:hint="eastAsia"/>
          <w:b/>
          <w:bCs/>
          <w:lang w:val="en-US" w:eastAsia="zh-CN"/>
        </w:rPr>
        <w:t>5</w:t>
      </w:r>
      <w:r>
        <w:rPr>
          <w:rFonts w:hint="eastAsia"/>
          <w:b/>
          <w:bCs/>
          <w:lang w:eastAsia="zh-CN"/>
        </w:rPr>
        <w:t>.</w:t>
      </w:r>
      <w:r>
        <w:rPr>
          <w:b/>
          <w:bCs/>
        </w:rPr>
        <w:fldChar w:fldCharType="begin"/>
      </w:r>
      <w:r>
        <w:rPr>
          <w:b/>
          <w:bCs/>
        </w:rPr>
        <w:instrText xml:space="preserve"> SEQ 图 \* ARABIC \s 1 </w:instrText>
      </w:r>
      <w:r>
        <w:rPr>
          <w:b/>
          <w:bCs/>
        </w:rPr>
        <w:fldChar w:fldCharType="separate"/>
      </w:r>
      <w:r>
        <w:rPr>
          <w:b/>
          <w:bCs/>
        </w:rPr>
        <w:t>12</w:t>
      </w:r>
      <w:r>
        <w:rPr>
          <w:b/>
          <w:bCs/>
        </w:rPr>
        <w:fldChar w:fldCharType="end"/>
      </w:r>
      <w:bookmarkStart w:id="1692" w:name="_Toc10765"/>
      <w:r>
        <w:rPr>
          <w:rFonts w:hint="eastAsia"/>
        </w:rPr>
        <w:t>　</w:t>
      </w:r>
      <w:r>
        <w:rPr>
          <w:rFonts w:hint="eastAsia"/>
          <w:lang w:eastAsia="zh-CN"/>
        </w:rPr>
        <w:t>并发调用攻击前SGX_SQLite执行情况</w:t>
      </w:r>
      <w:r>
        <w:rPr>
          <w:rFonts w:hint="eastAsia"/>
          <w:lang w:val="en-US" w:eastAsia="zh-CN"/>
        </w:rPr>
        <w:t>图</w:t>
      </w:r>
      <w:bookmarkEnd w:id="1692"/>
    </w:p>
    <w:p>
      <w:pPr>
        <w:pStyle w:val="6"/>
        <w:ind w:firstLine="422" w:firstLineChars="200"/>
        <w:rPr>
          <w:rFonts w:hint="eastAsia"/>
          <w:lang w:eastAsia="zh-CN"/>
        </w:rPr>
      </w:pPr>
      <w:r>
        <w:rPr>
          <w:rFonts w:hint="eastAsia"/>
          <w:b/>
          <w:bCs/>
          <w:lang w:val="en-US" w:eastAsia="zh-CN"/>
        </w:rPr>
        <w:t>Figure5.12</w:t>
      </w:r>
      <w:r>
        <w:rPr>
          <w:rFonts w:hint="eastAsia"/>
        </w:rPr>
        <w:t>　</w:t>
      </w:r>
      <w:r>
        <w:rPr>
          <w:rFonts w:hint="eastAsia"/>
          <w:lang w:val="en-US" w:eastAsia="zh-CN"/>
        </w:rPr>
        <w:t>D</w:t>
      </w:r>
      <w:r>
        <w:rPr>
          <w:rFonts w:hint="eastAsia"/>
        </w:rPr>
        <w:t xml:space="preserve">iagram </w:t>
      </w:r>
      <w:r>
        <w:rPr>
          <w:rFonts w:hint="eastAsia"/>
          <w:lang w:val="en-US" w:eastAsia="zh-CN"/>
        </w:rPr>
        <w:t xml:space="preserve">of </w:t>
      </w:r>
      <w:r>
        <w:rPr>
          <w:rFonts w:hint="eastAsia"/>
        </w:rPr>
        <w:t xml:space="preserve">SGX_SQLite execution before </w:t>
      </w:r>
      <w:r>
        <w:rPr>
          <w:rFonts w:hint="eastAsia"/>
          <w:lang w:val="en-US" w:eastAsia="zh-CN"/>
        </w:rPr>
        <w:t>Concurrent C</w:t>
      </w:r>
      <w:r>
        <w:rPr>
          <w:rFonts w:hint="eastAsia"/>
        </w:rPr>
        <w:t>all</w:t>
      </w:r>
      <w:r>
        <w:rPr>
          <w:rFonts w:hint="eastAsia"/>
          <w:lang w:val="en-US" w:eastAsia="zh-CN"/>
        </w:rPr>
        <w:t>s</w:t>
      </w:r>
      <w:r>
        <w:rPr>
          <w:rFonts w:hint="eastAsia"/>
        </w:rPr>
        <w:t xml:space="preserve"> attack</w:t>
      </w:r>
    </w:p>
    <w:p>
      <w:pPr>
        <w:ind w:firstLine="480" w:firstLineChars="200"/>
        <w:rPr>
          <w:rFonts w:hint="eastAsia"/>
          <w:lang w:eastAsia="zh-CN"/>
        </w:rPr>
      </w:pPr>
      <w:r>
        <w:rPr>
          <w:rFonts w:hint="eastAsia"/>
        </w:rPr>
        <w:t>恶意</w:t>
      </w:r>
      <w:r>
        <w:rPr>
          <w:rFonts w:hint="eastAsia"/>
          <w:lang w:val="en-US" w:eastAsia="zh-CN"/>
        </w:rPr>
        <w:t>拖延</w:t>
      </w:r>
      <w:r>
        <w:rPr>
          <w:rFonts w:hint="eastAsia"/>
        </w:rPr>
        <w:t>线程1执行</w:t>
      </w:r>
      <w:r>
        <w:rPr>
          <w:rFonts w:hint="eastAsia"/>
          <w:lang w:val="en-US" w:eastAsia="zh-CN"/>
        </w:rPr>
        <w:t>SQL语句的时机</w:t>
      </w:r>
      <w:r>
        <w:rPr>
          <w:rFonts w:hint="eastAsia"/>
          <w:lang w:eastAsia="zh-CN"/>
        </w:rPr>
        <w:t>，</w:t>
      </w:r>
      <w:r>
        <w:rPr>
          <w:rFonts w:hint="eastAsia"/>
          <w:lang w:val="en-US" w:eastAsia="zh-CN"/>
        </w:rPr>
        <w:t>使得主线程中数据库句柄关闭（ecall_closedb）后未置NULL形成的悬空指针被继续使用（ecall_execute_sql），形成安全隐患。程序执行情况如图5.13所示。</w:t>
      </w:r>
    </w:p>
    <w:p>
      <w:pPr>
        <w:bidi w:val="0"/>
        <w:jc w:val="center"/>
        <w:rPr>
          <w:rFonts w:hint="eastAsia"/>
          <w:lang w:eastAsia="zh-CN"/>
        </w:rPr>
      </w:pPr>
      <w:r>
        <w:rPr>
          <w:rFonts w:hint="eastAsia"/>
          <w:lang w:eastAsia="zh-CN"/>
        </w:rPr>
        <w:drawing>
          <wp:inline distT="0" distB="0" distL="114300" distR="114300">
            <wp:extent cx="3351530" cy="2188210"/>
            <wp:effectExtent l="0" t="0" r="1270" b="8890"/>
            <wp:docPr id="45" name="图片 45" descr="cc 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c bad"/>
                    <pic:cNvPicPr>
                      <a:picLocks noChangeAspect="1"/>
                    </pic:cNvPicPr>
                  </pic:nvPicPr>
                  <pic:blipFill>
                    <a:blip r:embed="rId73"/>
                    <a:srcRect l="2408" t="3359" r="2890" b="10413"/>
                    <a:stretch>
                      <a:fillRect/>
                    </a:stretch>
                  </pic:blipFill>
                  <pic:spPr>
                    <a:xfrm>
                      <a:off x="0" y="0"/>
                      <a:ext cx="3351530" cy="2188210"/>
                    </a:xfrm>
                    <a:prstGeom prst="rect">
                      <a:avLst/>
                    </a:prstGeom>
                  </pic:spPr>
                </pic:pic>
              </a:graphicData>
            </a:graphic>
          </wp:inline>
        </w:drawing>
      </w:r>
    </w:p>
    <w:p>
      <w:pPr>
        <w:pStyle w:val="6"/>
        <w:bidi w:val="0"/>
        <w:rPr>
          <w:rFonts w:hint="eastAsia"/>
          <w:lang w:eastAsia="zh-CN"/>
        </w:rPr>
      </w:pPr>
      <w:r>
        <w:rPr>
          <w:b/>
          <w:bCs/>
        </w:rPr>
        <w:t>图</w:t>
      </w:r>
      <w:r>
        <w:rPr>
          <w:rFonts w:hint="eastAsia"/>
          <w:b/>
          <w:bCs/>
          <w:lang w:val="en-US" w:eastAsia="zh-CN"/>
        </w:rPr>
        <w:t>5</w:t>
      </w:r>
      <w:r>
        <w:rPr>
          <w:rFonts w:hint="eastAsia"/>
          <w:b/>
          <w:bCs/>
          <w:lang w:eastAsia="zh-CN"/>
        </w:rPr>
        <w:t>.</w:t>
      </w:r>
      <w:r>
        <w:rPr>
          <w:b/>
          <w:bCs/>
        </w:rPr>
        <w:fldChar w:fldCharType="begin"/>
      </w:r>
      <w:r>
        <w:rPr>
          <w:b/>
          <w:bCs/>
        </w:rPr>
        <w:instrText xml:space="preserve"> SEQ 图 \* ARABIC \s 1 </w:instrText>
      </w:r>
      <w:r>
        <w:rPr>
          <w:b/>
          <w:bCs/>
        </w:rPr>
        <w:fldChar w:fldCharType="separate"/>
      </w:r>
      <w:r>
        <w:rPr>
          <w:b/>
          <w:bCs/>
        </w:rPr>
        <w:t>13</w:t>
      </w:r>
      <w:r>
        <w:rPr>
          <w:b/>
          <w:bCs/>
        </w:rPr>
        <w:fldChar w:fldCharType="end"/>
      </w:r>
      <w:bookmarkStart w:id="1693" w:name="_Toc3220"/>
      <w:r>
        <w:rPr>
          <w:rFonts w:hint="eastAsia"/>
        </w:rPr>
        <w:t>　</w:t>
      </w:r>
      <w:r>
        <w:rPr>
          <w:rFonts w:hint="eastAsia"/>
          <w:lang w:eastAsia="zh-CN"/>
        </w:rPr>
        <w:t>并发调用攻击</w:t>
      </w:r>
      <w:r>
        <w:rPr>
          <w:rFonts w:hint="eastAsia"/>
          <w:lang w:val="en-US" w:eastAsia="zh-CN"/>
        </w:rPr>
        <w:t>后</w:t>
      </w:r>
      <w:r>
        <w:rPr>
          <w:rFonts w:hint="eastAsia"/>
          <w:lang w:eastAsia="zh-CN"/>
        </w:rPr>
        <w:t>SGX_SQLite执行情况图</w:t>
      </w:r>
      <w:bookmarkEnd w:id="1693"/>
    </w:p>
    <w:p>
      <w:pPr>
        <w:pStyle w:val="6"/>
        <w:bidi w:val="0"/>
        <w:rPr>
          <w:rFonts w:hint="eastAsia"/>
          <w:lang w:eastAsia="zh-CN"/>
        </w:rPr>
      </w:pPr>
      <w:r>
        <w:rPr>
          <w:rFonts w:hint="eastAsia"/>
          <w:b/>
          <w:bCs/>
          <w:lang w:val="en-US" w:eastAsia="zh-CN"/>
        </w:rPr>
        <w:t>Figure5.13</w:t>
      </w:r>
      <w:r>
        <w:rPr>
          <w:rFonts w:hint="eastAsia"/>
        </w:rPr>
        <w:t>　</w:t>
      </w:r>
      <w:r>
        <w:rPr>
          <w:rFonts w:hint="eastAsia"/>
          <w:lang w:val="en-US" w:eastAsia="zh-CN"/>
        </w:rPr>
        <w:t>D</w:t>
      </w:r>
      <w:r>
        <w:rPr>
          <w:rFonts w:hint="eastAsia"/>
        </w:rPr>
        <w:t xml:space="preserve">iagram </w:t>
      </w:r>
      <w:r>
        <w:rPr>
          <w:rFonts w:hint="eastAsia"/>
          <w:lang w:val="en-US" w:eastAsia="zh-CN"/>
        </w:rPr>
        <w:t xml:space="preserve">of </w:t>
      </w:r>
      <w:r>
        <w:rPr>
          <w:rFonts w:hint="eastAsia"/>
        </w:rPr>
        <w:t xml:space="preserve">SGX_SQLite execution </w:t>
      </w:r>
      <w:r>
        <w:rPr>
          <w:rFonts w:hint="eastAsia"/>
          <w:lang w:val="en-US" w:eastAsia="zh-CN"/>
        </w:rPr>
        <w:t>after Concurrent C</w:t>
      </w:r>
      <w:r>
        <w:rPr>
          <w:rFonts w:hint="eastAsia"/>
        </w:rPr>
        <w:t>all</w:t>
      </w:r>
      <w:r>
        <w:rPr>
          <w:rFonts w:hint="eastAsia"/>
          <w:lang w:val="en-US" w:eastAsia="zh-CN"/>
        </w:rPr>
        <w:t>s</w:t>
      </w:r>
      <w:r>
        <w:rPr>
          <w:rFonts w:hint="eastAsia"/>
        </w:rPr>
        <w:t xml:space="preserve"> attack</w:t>
      </w:r>
    </w:p>
    <w:p>
      <w:pPr>
        <w:ind w:firstLine="480" w:firstLineChars="200"/>
        <w:rPr>
          <w:rFonts w:hint="eastAsia"/>
          <w:lang w:eastAsia="zh-CN"/>
        </w:rPr>
      </w:pPr>
      <w:r>
        <w:rPr>
          <w:rFonts w:hint="eastAsia"/>
          <w:lang w:val="en-US" w:eastAsia="zh-CN"/>
        </w:rPr>
        <w:t>为了缓解“并发调用”攻击，Enclave开发者依据先验的预期执行情况编写策略文件，在SGX-SEF上设置“ECALL调用顺序白名单”策略。如果执行情况违反策略，SGX-SEF将返回</w:t>
      </w:r>
      <w:r>
        <w:rPr>
          <w:rFonts w:hint="eastAsia"/>
        </w:rPr>
        <w:t>错误码SGX_ERROR_CHECK_POINT</w:t>
      </w:r>
      <w:r>
        <w:rPr>
          <w:rFonts w:hint="eastAsia"/>
          <w:lang w:eastAsia="zh-CN"/>
        </w:rPr>
        <w:t>（</w:t>
      </w:r>
      <w:r>
        <w:rPr>
          <w:rFonts w:hint="eastAsia"/>
          <w:lang w:val="en-US" w:eastAsia="zh-CN"/>
        </w:rPr>
        <w:t>0x9001</w:t>
      </w:r>
      <w:r>
        <w:rPr>
          <w:rFonts w:hint="eastAsia"/>
          <w:lang w:eastAsia="zh-CN"/>
        </w:rPr>
        <w:t>）</w:t>
      </w:r>
      <w:r>
        <w:rPr>
          <w:rFonts w:hint="eastAsia"/>
          <w:lang w:val="en-US" w:eastAsia="zh-CN"/>
        </w:rPr>
        <w:t>并终止程序运行。如图5.14所示，在SGX-SEF中设置</w:t>
      </w:r>
      <w:r>
        <w:rPr>
          <w:rFonts w:hint="eastAsia"/>
        </w:rPr>
        <w:t>“ECALL</w:t>
      </w:r>
      <w:r>
        <w:rPr>
          <w:rFonts w:hint="eastAsia"/>
          <w:lang w:val="en-US" w:eastAsia="zh-CN"/>
        </w:rPr>
        <w:t>调用</w:t>
      </w:r>
      <w:r>
        <w:rPr>
          <w:rFonts w:hint="eastAsia"/>
        </w:rPr>
        <w:t>顺序白名单”</w:t>
      </w:r>
      <w:r>
        <w:rPr>
          <w:rFonts w:hint="eastAsia"/>
          <w:lang w:val="en-US" w:eastAsia="zh-CN"/>
        </w:rPr>
        <w:t>策略能成功检测非预期的调用顺序，</w:t>
      </w:r>
      <w:r>
        <w:rPr>
          <w:rFonts w:hint="eastAsia"/>
        </w:rPr>
        <w:t>核心已转储的原因是主线程调用ecall_</w:t>
      </w:r>
      <w:r>
        <w:rPr>
          <w:rFonts w:hint="eastAsia"/>
          <w:lang w:val="en-US" w:eastAsia="zh-CN"/>
        </w:rPr>
        <w:t>close_db时</w:t>
      </w:r>
      <w:r>
        <w:rPr>
          <w:rFonts w:hint="eastAsia"/>
        </w:rPr>
        <w:t>不符合安全策略被终止，线程1随主线程的终止而终止并发出核心已转储等信息。</w:t>
      </w:r>
    </w:p>
    <w:p>
      <w:pPr>
        <w:bidi w:val="0"/>
        <w:jc w:val="center"/>
        <w:rPr>
          <w:rFonts w:hint="eastAsia"/>
          <w:lang w:eastAsia="zh-CN"/>
        </w:rPr>
      </w:pPr>
      <w:r>
        <w:rPr>
          <w:rFonts w:hint="eastAsia"/>
          <w:lang w:eastAsia="zh-CN"/>
        </w:rPr>
        <w:drawing>
          <wp:inline distT="0" distB="0" distL="114300" distR="114300">
            <wp:extent cx="3823335" cy="1236980"/>
            <wp:effectExtent l="0" t="0" r="12065" b="7620"/>
            <wp:docPr id="46" name="图片 46" descr="cc 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c ck"/>
                    <pic:cNvPicPr>
                      <a:picLocks noChangeAspect="1"/>
                    </pic:cNvPicPr>
                  </pic:nvPicPr>
                  <pic:blipFill>
                    <a:blip r:embed="rId74"/>
                    <a:srcRect l="2291" t="2892" r="2411" b="53590"/>
                    <a:stretch>
                      <a:fillRect/>
                    </a:stretch>
                  </pic:blipFill>
                  <pic:spPr>
                    <a:xfrm>
                      <a:off x="0" y="0"/>
                      <a:ext cx="3823335" cy="1236980"/>
                    </a:xfrm>
                    <a:prstGeom prst="rect">
                      <a:avLst/>
                    </a:prstGeom>
                  </pic:spPr>
                </pic:pic>
              </a:graphicData>
            </a:graphic>
          </wp:inline>
        </w:drawing>
      </w:r>
    </w:p>
    <w:p>
      <w:pPr>
        <w:pStyle w:val="6"/>
        <w:bidi w:val="0"/>
        <w:rPr>
          <w:rFonts w:hint="eastAsia"/>
          <w:lang w:eastAsia="zh-CN"/>
        </w:rPr>
      </w:pPr>
      <w:r>
        <w:rPr>
          <w:b/>
          <w:bCs/>
        </w:rPr>
        <w:t>图</w:t>
      </w:r>
      <w:r>
        <w:rPr>
          <w:rFonts w:hint="eastAsia"/>
          <w:b/>
          <w:bCs/>
          <w:lang w:val="en-US" w:eastAsia="zh-CN"/>
        </w:rPr>
        <w:t>5</w:t>
      </w:r>
      <w:r>
        <w:rPr>
          <w:rFonts w:hint="eastAsia"/>
          <w:b/>
          <w:bCs/>
          <w:lang w:eastAsia="zh-CN"/>
        </w:rPr>
        <w:t>.</w:t>
      </w:r>
      <w:r>
        <w:rPr>
          <w:b/>
          <w:bCs/>
        </w:rPr>
        <w:fldChar w:fldCharType="begin"/>
      </w:r>
      <w:r>
        <w:rPr>
          <w:b/>
          <w:bCs/>
        </w:rPr>
        <w:instrText xml:space="preserve"> SEQ 图 \* ARABIC \s 1 </w:instrText>
      </w:r>
      <w:r>
        <w:rPr>
          <w:b/>
          <w:bCs/>
        </w:rPr>
        <w:fldChar w:fldCharType="separate"/>
      </w:r>
      <w:r>
        <w:rPr>
          <w:b/>
          <w:bCs/>
        </w:rPr>
        <w:t>14</w:t>
      </w:r>
      <w:r>
        <w:rPr>
          <w:b/>
          <w:bCs/>
        </w:rPr>
        <w:fldChar w:fldCharType="end"/>
      </w:r>
      <w:bookmarkStart w:id="1694" w:name="_Toc5642"/>
      <w:r>
        <w:rPr>
          <w:rFonts w:hint="eastAsia"/>
        </w:rPr>
        <w:t>　</w:t>
      </w:r>
      <w:r>
        <w:rPr>
          <w:rFonts w:hint="eastAsia"/>
          <w:lang w:eastAsia="zh-CN"/>
        </w:rPr>
        <w:t>SGX_SQLite中</w:t>
      </w:r>
      <w:r>
        <w:rPr>
          <w:rFonts w:hint="eastAsia"/>
          <w:lang w:val="en-US" w:eastAsia="zh-CN"/>
        </w:rPr>
        <w:t>并发</w:t>
      </w:r>
      <w:r>
        <w:rPr>
          <w:rFonts w:hint="eastAsia"/>
          <w:lang w:eastAsia="zh-CN"/>
        </w:rPr>
        <w:t>调用攻击检测结果</w:t>
      </w:r>
      <w:bookmarkEnd w:id="1694"/>
    </w:p>
    <w:p>
      <w:pPr>
        <w:pStyle w:val="6"/>
        <w:bidi w:val="0"/>
        <w:rPr>
          <w:rFonts w:hint="default" w:eastAsia="宋体"/>
          <w:lang w:val="en-US" w:eastAsia="zh-CN"/>
        </w:rPr>
      </w:pPr>
      <w:r>
        <w:rPr>
          <w:rFonts w:hint="eastAsia"/>
          <w:b/>
          <w:bCs/>
          <w:lang w:val="en-US" w:eastAsia="zh-CN"/>
        </w:rPr>
        <w:t>Figure5.14</w:t>
      </w:r>
      <w:r>
        <w:rPr>
          <w:rFonts w:hint="eastAsia"/>
        </w:rPr>
        <w:t xml:space="preserve">　Detection results of </w:t>
      </w:r>
      <w:r>
        <w:rPr>
          <w:rFonts w:hint="eastAsia"/>
          <w:lang w:val="en-US" w:eastAsia="zh-CN"/>
        </w:rPr>
        <w:t xml:space="preserve">Concurrent </w:t>
      </w:r>
      <w:r>
        <w:rPr>
          <w:rFonts w:hint="eastAsia"/>
        </w:rPr>
        <w:t>Call</w:t>
      </w:r>
      <w:r>
        <w:rPr>
          <w:rFonts w:hint="eastAsia"/>
          <w:lang w:val="en-US" w:eastAsia="zh-CN"/>
        </w:rPr>
        <w:t>s</w:t>
      </w:r>
      <w:r>
        <w:rPr>
          <w:rFonts w:hint="eastAsia"/>
        </w:rPr>
        <w:t xml:space="preserve"> Attack</w:t>
      </w:r>
      <w:r>
        <w:rPr>
          <w:rFonts w:hint="eastAsia"/>
          <w:lang w:val="en-US" w:eastAsia="zh-CN"/>
        </w:rPr>
        <w:t xml:space="preserve"> in SGX_SQLite</w:t>
      </w:r>
    </w:p>
    <w:p>
      <w:pPr>
        <w:ind w:firstLine="480" w:firstLineChars="200"/>
      </w:pPr>
      <w:r>
        <w:rPr>
          <w:rFonts w:hint="eastAsia"/>
        </w:rPr>
        <w:t>目前尚未发现其它针对SGX并发调用攻击向量的防御方案。</w:t>
      </w:r>
    </w:p>
    <w:p>
      <w:pPr>
        <w:pStyle w:val="4"/>
      </w:pPr>
      <w:bookmarkStart w:id="1695" w:name="_Toc27904"/>
      <w:bookmarkStart w:id="1696" w:name="_Toc9107"/>
      <w:bookmarkStart w:id="1697" w:name="_Toc9192"/>
      <w:bookmarkStart w:id="1698" w:name="_Toc507"/>
      <w:bookmarkStart w:id="1699" w:name="_Toc15494"/>
      <w:bookmarkStart w:id="1700" w:name="_Toc12829"/>
      <w:bookmarkStart w:id="1701" w:name="_Toc19647"/>
      <w:bookmarkStart w:id="1702" w:name="_Toc6505"/>
      <w:bookmarkStart w:id="1703" w:name="_Toc22060"/>
      <w:bookmarkStart w:id="1704" w:name="_Toc29888"/>
      <w:bookmarkStart w:id="1705" w:name="_Toc30242"/>
      <w:bookmarkStart w:id="1706" w:name="_Toc15003"/>
      <w:bookmarkStart w:id="1707" w:name="_Toc22412"/>
      <w:bookmarkStart w:id="1708" w:name="_Toc26409"/>
      <w:bookmarkStart w:id="1709" w:name="_Toc24431"/>
      <w:bookmarkStart w:id="1710" w:name="_Toc22767"/>
      <w:bookmarkStart w:id="1711" w:name="_Toc2070"/>
      <w:bookmarkStart w:id="1712" w:name="_Toc17255"/>
      <w:bookmarkStart w:id="1713" w:name="_Toc11081"/>
      <w:bookmarkStart w:id="1714" w:name="_Toc5469"/>
      <w:r>
        <w:rPr>
          <w:rFonts w:hint="eastAsia"/>
        </w:rPr>
        <w:t>5.3.3　针对“恶意Enclave线程调度”攻击向量的防御效果</w:t>
      </w:r>
      <w:bookmarkEnd w:id="1695"/>
      <w:bookmarkEnd w:id="1696"/>
      <w:r>
        <w:rPr>
          <w:rFonts w:hint="eastAsia"/>
        </w:rPr>
        <w:t>验证</w:t>
      </w:r>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p>
    <w:p>
      <w:pPr>
        <w:ind w:firstLine="480" w:firstLineChars="200"/>
      </w:pPr>
      <w:r>
        <w:rPr>
          <w:rFonts w:hint="eastAsia"/>
        </w:rPr>
        <w:t>利用“线程暂停原语”恶意调度Enclave线程，构造实现“恶意Enclave线程调度”攻击向量POC。攻击之前，ECALL</w:t>
      </w:r>
      <w:r>
        <w:rPr>
          <w:rFonts w:hint="eastAsia"/>
          <w:lang w:val="en-US" w:eastAsia="zh-CN"/>
        </w:rPr>
        <w:t>调用顺序</w:t>
      </w:r>
      <w:r>
        <w:rPr>
          <w:rFonts w:hint="eastAsia"/>
        </w:rPr>
        <w:t>为ecall_malloc_obj1函数、ecall_malloc_obj2_use_obj1函数和ecall_free_obj1函数(悬空指针已通过置NULL修复)。程序执行结果如图5.</w:t>
      </w:r>
      <w:r>
        <w:rPr>
          <w:rFonts w:hint="eastAsia"/>
          <w:lang w:val="en-US" w:eastAsia="zh-CN"/>
        </w:rPr>
        <w:t>15</w:t>
      </w:r>
      <w:r>
        <w:rPr>
          <w:rFonts w:hint="eastAsia"/>
        </w:rPr>
        <w:t>所示，主线程调用ecall_malloc_obj1函数在Enclave堆上创建值为“hello”的对象1并等待线程1执行，线程1调用ecall_malloc_obj2_use_obj1函数在Enclave堆上创建值为“uaf”的对象2并使用值为“hello”的对象1，线程1结束后主线程将对象1释放并置NULL。</w:t>
      </w:r>
    </w:p>
    <w:p>
      <w:pPr>
        <w:bidi w:val="0"/>
        <w:jc w:val="center"/>
      </w:pPr>
      <w:r>
        <w:rPr>
          <w:rFonts w:hint="eastAsia"/>
        </w:rPr>
        <w:drawing>
          <wp:inline distT="0" distB="0" distL="114300" distR="114300">
            <wp:extent cx="4033520" cy="1167765"/>
            <wp:effectExtent l="0" t="0" r="5080" b="635"/>
            <wp:docPr id="39" name="图片 39" descr="Malicious Scheduling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alicious Scheduling before"/>
                    <pic:cNvPicPr>
                      <a:picLocks noChangeAspect="1"/>
                    </pic:cNvPicPr>
                  </pic:nvPicPr>
                  <pic:blipFill>
                    <a:blip r:embed="rId75"/>
                    <a:srcRect l="2594" t="3136" r="2408" b="58051"/>
                    <a:stretch>
                      <a:fillRect/>
                    </a:stretch>
                  </pic:blipFill>
                  <pic:spPr>
                    <a:xfrm>
                      <a:off x="0" y="0"/>
                      <a:ext cx="4033520" cy="1167765"/>
                    </a:xfrm>
                    <a:prstGeom prst="rect">
                      <a:avLst/>
                    </a:prstGeom>
                  </pic:spPr>
                </pic:pic>
              </a:graphicData>
            </a:graphic>
          </wp:inline>
        </w:drawing>
      </w:r>
    </w:p>
    <w:p>
      <w:pPr>
        <w:pStyle w:val="6"/>
        <w:bidi w:val="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15</w:t>
      </w:r>
      <w:r>
        <w:rPr>
          <w:b/>
          <w:bCs/>
        </w:rPr>
        <w:fldChar w:fldCharType="end"/>
      </w:r>
      <w:bookmarkStart w:id="1715" w:name="_Toc95"/>
      <w:bookmarkStart w:id="1716" w:name="_Toc28766"/>
      <w:bookmarkStart w:id="1717" w:name="_Toc11430"/>
      <w:bookmarkStart w:id="1718" w:name="_Toc32687"/>
      <w:bookmarkStart w:id="1719" w:name="_Toc32731"/>
      <w:bookmarkStart w:id="1720" w:name="_Toc19115"/>
      <w:bookmarkStart w:id="1721" w:name="_Toc10979"/>
      <w:bookmarkStart w:id="1722" w:name="_Toc28097"/>
      <w:bookmarkStart w:id="1723" w:name="_Toc6830"/>
      <w:r>
        <w:rPr>
          <w:rFonts w:hint="eastAsia"/>
        </w:rPr>
        <w:t>　恶意线程调度攻击前程序执行结果</w:t>
      </w:r>
      <w:bookmarkEnd w:id="1715"/>
      <w:bookmarkEnd w:id="1716"/>
      <w:bookmarkEnd w:id="1717"/>
      <w:bookmarkEnd w:id="1718"/>
      <w:bookmarkEnd w:id="1719"/>
      <w:bookmarkEnd w:id="1720"/>
      <w:bookmarkEnd w:id="1721"/>
      <w:bookmarkEnd w:id="1722"/>
      <w:bookmarkEnd w:id="1723"/>
    </w:p>
    <w:p>
      <w:pPr>
        <w:pStyle w:val="6"/>
        <w:bidi w:val="0"/>
      </w:pPr>
      <w:r>
        <w:rPr>
          <w:rStyle w:val="32"/>
          <w:rFonts w:hint="eastAsia"/>
          <w:b/>
          <w:bCs/>
        </w:rPr>
        <w:t>Figure5.</w:t>
      </w:r>
      <w:r>
        <w:rPr>
          <w:rStyle w:val="32"/>
          <w:rFonts w:hint="eastAsia"/>
          <w:b/>
          <w:bCs/>
          <w:lang w:val="en-US" w:eastAsia="zh-CN"/>
        </w:rPr>
        <w:t>15</w:t>
      </w:r>
      <w:r>
        <w:rPr>
          <w:rFonts w:hint="eastAsia"/>
        </w:rPr>
        <w:t>　Program execution result before Malicious Scheduling of Threads Attack</w:t>
      </w:r>
    </w:p>
    <w:p>
      <w:pPr>
        <w:ind w:firstLine="480" w:firstLineChars="200"/>
      </w:pPr>
      <w:r>
        <w:rPr>
          <w:rFonts w:hint="eastAsia"/>
        </w:rPr>
        <w:t>通过“线程暂停原语”将线程1的执行流停在ecall_free_obj1中释放指针后以及设置指针NULL前，形成ecall_malloc_obj1函数、ecall_free_obj1函数（释放对象1指针，指针成为悬空指针）、ecall_malloc_obj2_use_obj1函数和ecall_free_obj1函数(对象1指针置NULL)的</w:t>
      </w:r>
      <w:r>
        <w:rPr>
          <w:rFonts w:hint="eastAsia"/>
          <w:lang w:val="en-US" w:eastAsia="zh-CN"/>
        </w:rPr>
        <w:t>调用顺序</w:t>
      </w:r>
      <w:r>
        <w:rPr>
          <w:rFonts w:hint="eastAsia"/>
        </w:rPr>
        <w:t>（如图5.1</w:t>
      </w:r>
      <w:r>
        <w:rPr>
          <w:rFonts w:hint="eastAsia"/>
          <w:lang w:val="en-US" w:eastAsia="zh-CN"/>
        </w:rPr>
        <w:t>6</w:t>
      </w:r>
      <w:r>
        <w:rPr>
          <w:rFonts w:hint="eastAsia"/>
        </w:rPr>
        <w:t>所示），使得ecall_free_obj1的悬空指针（对象1指针）置NULL之前被ecall_malloc_obj2_use_obj1使用，触发UAF。程序执行结果如图5.1</w:t>
      </w:r>
      <w:r>
        <w:rPr>
          <w:rFonts w:hint="eastAsia"/>
          <w:lang w:val="en-US" w:eastAsia="zh-CN"/>
        </w:rPr>
        <w:t>7</w:t>
      </w:r>
      <w:r>
        <w:rPr>
          <w:rFonts w:hint="eastAsia"/>
        </w:rPr>
        <w:t>所示，ecall_free_obj1函数中的释放过程和置NULL过程被中断，ecall_malloc_obj2_use_obj1函数中，对象2被分配了在与悬空指针（对象1指针）相同的地址，使用悬空指针（对象1指针）所指内容等同于使用对象2的值“uaf”。</w:t>
      </w:r>
    </w:p>
    <w:p>
      <w:pPr>
        <w:bidi w:val="0"/>
        <w:jc w:val="center"/>
      </w:pPr>
      <w:r>
        <w:rPr>
          <w:rFonts w:hint="eastAsia"/>
        </w:rPr>
        <w:drawing>
          <wp:inline distT="0" distB="0" distL="114300" distR="114300">
            <wp:extent cx="2853690" cy="3174365"/>
            <wp:effectExtent l="0" t="0" r="3810" b="635"/>
            <wp:docPr id="40" name="图片 40" descr="1617942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17942737(1)"/>
                    <pic:cNvPicPr>
                      <a:picLocks noChangeAspect="1"/>
                    </pic:cNvPicPr>
                  </pic:nvPicPr>
                  <pic:blipFill>
                    <a:blip r:embed="rId76"/>
                    <a:stretch>
                      <a:fillRect/>
                    </a:stretch>
                  </pic:blipFill>
                  <pic:spPr>
                    <a:xfrm>
                      <a:off x="0" y="0"/>
                      <a:ext cx="2853690" cy="3174365"/>
                    </a:xfrm>
                    <a:prstGeom prst="rect">
                      <a:avLst/>
                    </a:prstGeom>
                  </pic:spPr>
                </pic:pic>
              </a:graphicData>
            </a:graphic>
          </wp:inline>
        </w:drawing>
      </w:r>
    </w:p>
    <w:p>
      <w:pPr>
        <w:pStyle w:val="6"/>
        <w:bidi w:val="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16</w:t>
      </w:r>
      <w:r>
        <w:rPr>
          <w:b/>
          <w:bCs/>
        </w:rPr>
        <w:fldChar w:fldCharType="end"/>
      </w:r>
      <w:bookmarkStart w:id="1724" w:name="_Toc18915"/>
      <w:bookmarkStart w:id="1725" w:name="_Toc12276"/>
      <w:bookmarkStart w:id="1726" w:name="_Toc28161"/>
      <w:bookmarkStart w:id="1727" w:name="_Toc24758"/>
      <w:bookmarkStart w:id="1728" w:name="_Toc31919"/>
      <w:bookmarkStart w:id="1729" w:name="_Toc20036"/>
      <w:bookmarkStart w:id="1730" w:name="_Toc1274"/>
      <w:bookmarkStart w:id="1731" w:name="_Toc12888"/>
      <w:bookmarkStart w:id="1732" w:name="_Toc25859"/>
      <w:bookmarkStart w:id="1733" w:name="_Toc24675"/>
      <w:bookmarkStart w:id="1734" w:name="_Toc15315"/>
      <w:bookmarkStart w:id="1735" w:name="_Toc12052"/>
      <w:bookmarkStart w:id="1736" w:name="_Toc3953"/>
      <w:bookmarkStart w:id="1737" w:name="_Toc8399"/>
      <w:bookmarkStart w:id="1738" w:name="_Toc13858"/>
      <w:bookmarkStart w:id="1739" w:name="_Toc11864"/>
      <w:bookmarkStart w:id="1740" w:name="_Toc29133"/>
      <w:bookmarkStart w:id="1741" w:name="_Toc30156"/>
      <w:bookmarkStart w:id="1742" w:name="_Toc3167"/>
      <w:bookmarkStart w:id="1743" w:name="_Toc12074"/>
      <w:bookmarkStart w:id="1744" w:name="_Toc13750"/>
      <w:bookmarkStart w:id="1745" w:name="_Toc28192"/>
      <w:bookmarkStart w:id="1746" w:name="_Toc31178"/>
      <w:bookmarkStart w:id="1747" w:name="_Toc15643"/>
      <w:r>
        <w:rPr>
          <w:rFonts w:hint="eastAsia"/>
        </w:rPr>
        <w:t>　</w:t>
      </w:r>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r>
        <w:rPr>
          <w:rFonts w:hint="eastAsia"/>
        </w:rPr>
        <w:t>恶意中断ecall_free_obj1函数</w:t>
      </w:r>
      <w:bookmarkEnd w:id="1739"/>
      <w:bookmarkEnd w:id="1740"/>
      <w:bookmarkEnd w:id="1741"/>
      <w:bookmarkEnd w:id="1742"/>
      <w:bookmarkEnd w:id="1743"/>
      <w:bookmarkEnd w:id="1744"/>
      <w:bookmarkEnd w:id="1745"/>
      <w:bookmarkEnd w:id="1746"/>
      <w:bookmarkEnd w:id="1747"/>
    </w:p>
    <w:p>
      <w:pPr>
        <w:pStyle w:val="6"/>
        <w:bidi w:val="0"/>
      </w:pPr>
      <w:r>
        <w:rPr>
          <w:rFonts w:hint="eastAsia"/>
          <w:b/>
          <w:bCs/>
        </w:rPr>
        <w:t>Figure5.1</w:t>
      </w:r>
      <w:r>
        <w:rPr>
          <w:rFonts w:hint="eastAsia"/>
          <w:b/>
          <w:bCs/>
          <w:lang w:val="en-US" w:eastAsia="zh-CN"/>
        </w:rPr>
        <w:t>6</w:t>
      </w:r>
      <w:r>
        <w:rPr>
          <w:rFonts w:hint="eastAsia"/>
        </w:rPr>
        <w:t>　Malicious interruption of ecall_free_obj1 function</w:t>
      </w:r>
    </w:p>
    <w:p>
      <w:pPr>
        <w:bidi w:val="0"/>
        <w:jc w:val="center"/>
      </w:pPr>
      <w:r>
        <w:rPr>
          <w:rFonts w:hint="eastAsia"/>
        </w:rPr>
        <w:drawing>
          <wp:inline distT="0" distB="0" distL="114300" distR="114300">
            <wp:extent cx="3829050" cy="1184275"/>
            <wp:effectExtent l="0" t="0" r="6350" b="9525"/>
            <wp:docPr id="41" name="图片 41" descr="Malicious Scheduling U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Malicious Scheduling UAF"/>
                    <pic:cNvPicPr>
                      <a:picLocks noChangeAspect="1"/>
                    </pic:cNvPicPr>
                  </pic:nvPicPr>
                  <pic:blipFill>
                    <a:blip r:embed="rId77"/>
                    <a:srcRect l="2395" t="2897" r="2395" b="55553"/>
                    <a:stretch>
                      <a:fillRect/>
                    </a:stretch>
                  </pic:blipFill>
                  <pic:spPr>
                    <a:xfrm>
                      <a:off x="0" y="0"/>
                      <a:ext cx="3829050" cy="1184275"/>
                    </a:xfrm>
                    <a:prstGeom prst="rect">
                      <a:avLst/>
                    </a:prstGeom>
                  </pic:spPr>
                </pic:pic>
              </a:graphicData>
            </a:graphic>
          </wp:inline>
        </w:drawing>
      </w:r>
    </w:p>
    <w:p>
      <w:pPr>
        <w:pStyle w:val="6"/>
        <w:bidi w:val="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17</w:t>
      </w:r>
      <w:r>
        <w:rPr>
          <w:b/>
          <w:bCs/>
        </w:rPr>
        <w:fldChar w:fldCharType="end"/>
      </w:r>
      <w:bookmarkStart w:id="1748" w:name="_Toc15654"/>
      <w:bookmarkStart w:id="1749" w:name="_Toc13895"/>
      <w:bookmarkStart w:id="1750" w:name="_Toc12664"/>
      <w:bookmarkStart w:id="1751" w:name="_Toc20390"/>
      <w:bookmarkStart w:id="1752" w:name="_Toc13427"/>
      <w:bookmarkStart w:id="1753" w:name="_Toc6878"/>
      <w:bookmarkStart w:id="1754" w:name="_Toc19411"/>
      <w:bookmarkStart w:id="1755" w:name="_Toc9262"/>
      <w:bookmarkStart w:id="1756" w:name="_Toc7066"/>
      <w:r>
        <w:rPr>
          <w:rFonts w:hint="eastAsia"/>
        </w:rPr>
        <w:t>　恶意线程调度攻击后程序执行结果</w:t>
      </w:r>
      <w:bookmarkEnd w:id="1748"/>
      <w:bookmarkEnd w:id="1749"/>
      <w:bookmarkEnd w:id="1750"/>
      <w:bookmarkEnd w:id="1751"/>
      <w:bookmarkEnd w:id="1752"/>
      <w:bookmarkEnd w:id="1753"/>
      <w:bookmarkEnd w:id="1754"/>
      <w:bookmarkEnd w:id="1755"/>
      <w:bookmarkEnd w:id="1756"/>
    </w:p>
    <w:p>
      <w:pPr>
        <w:pStyle w:val="6"/>
        <w:bidi w:val="0"/>
      </w:pPr>
      <w:r>
        <w:rPr>
          <w:rFonts w:hint="eastAsia"/>
          <w:b/>
          <w:bCs/>
        </w:rPr>
        <w:t>Figure5.1</w:t>
      </w:r>
      <w:r>
        <w:rPr>
          <w:rFonts w:hint="eastAsia"/>
          <w:b/>
          <w:bCs/>
          <w:lang w:val="en-US" w:eastAsia="zh-CN"/>
        </w:rPr>
        <w:t>7</w:t>
      </w:r>
      <w:r>
        <w:rPr>
          <w:rFonts w:hint="eastAsia"/>
        </w:rPr>
        <w:t>　Program execution results after Malicious Scheduling of Threads Attack</w:t>
      </w:r>
    </w:p>
    <w:p>
      <w:pPr>
        <w:ind w:firstLine="480" w:firstLineChars="200"/>
      </w:pPr>
      <w:r>
        <w:rPr>
          <w:rFonts w:hint="eastAsia"/>
        </w:rPr>
        <w:t>实验中使用的“Enclave线程暂停原语”包括：</w:t>
      </w:r>
    </w:p>
    <w:p>
      <w:pPr>
        <w:numPr>
          <w:ilvl w:val="0"/>
          <w:numId w:val="19"/>
        </w:numPr>
      </w:pPr>
      <w:r>
        <w:rPr>
          <w:rFonts w:hint="eastAsia"/>
        </w:rPr>
        <w:t>使用Kprobe的页错误型Enclave线程暂停原语。如图5.1</w:t>
      </w:r>
      <w:r>
        <w:rPr>
          <w:rFonts w:hint="eastAsia"/>
          <w:lang w:val="en-US" w:eastAsia="zh-CN"/>
        </w:rPr>
        <w:t>8</w:t>
      </w:r>
      <w:r>
        <w:rPr>
          <w:rFonts w:hint="eastAsia"/>
        </w:rPr>
        <w:t>所示，攻击者清理目标页存在（Present）位，利用Kprobe拦截所有页错误并从中过滤出目标页错误，最后暂停目标错误页所对应的线程。</w:t>
      </w:r>
    </w:p>
    <w:p>
      <w:pPr>
        <w:bidi w:val="0"/>
        <w:jc w:val="center"/>
      </w:pPr>
      <w:r>
        <w:rPr>
          <w:rFonts w:hint="eastAsia"/>
        </w:rPr>
        <w:drawing>
          <wp:inline distT="0" distB="0" distL="114300" distR="114300">
            <wp:extent cx="4780280" cy="2530475"/>
            <wp:effectExtent l="0" t="0" r="7620" b="9525"/>
            <wp:docPr id="16" name="图片 16" descr="1617344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17344482(1)"/>
                    <pic:cNvPicPr>
                      <a:picLocks noChangeAspect="1"/>
                    </pic:cNvPicPr>
                  </pic:nvPicPr>
                  <pic:blipFill>
                    <a:blip r:embed="rId78"/>
                    <a:stretch>
                      <a:fillRect/>
                    </a:stretch>
                  </pic:blipFill>
                  <pic:spPr>
                    <a:xfrm>
                      <a:off x="0" y="0"/>
                      <a:ext cx="4780280" cy="2530475"/>
                    </a:xfrm>
                    <a:prstGeom prst="rect">
                      <a:avLst/>
                    </a:prstGeom>
                  </pic:spPr>
                </pic:pic>
              </a:graphicData>
            </a:graphic>
          </wp:inline>
        </w:drawing>
      </w:r>
    </w:p>
    <w:p>
      <w:pPr>
        <w:pStyle w:val="6"/>
        <w:bidi w:val="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18</w:t>
      </w:r>
      <w:r>
        <w:rPr>
          <w:b/>
          <w:bCs/>
        </w:rPr>
        <w:fldChar w:fldCharType="end"/>
      </w:r>
      <w:bookmarkStart w:id="1757" w:name="_Toc17904"/>
      <w:bookmarkStart w:id="1758" w:name="_Toc5720"/>
      <w:bookmarkStart w:id="1759" w:name="_Toc4565"/>
      <w:bookmarkStart w:id="1760" w:name="_Toc21701"/>
      <w:bookmarkStart w:id="1761" w:name="_Toc20585"/>
      <w:bookmarkStart w:id="1762" w:name="_Toc950"/>
      <w:bookmarkStart w:id="1763" w:name="_Toc15520"/>
      <w:bookmarkStart w:id="1764" w:name="_Toc30044"/>
      <w:bookmarkStart w:id="1765" w:name="_Toc25590"/>
      <w:bookmarkStart w:id="1766" w:name="_Toc30446"/>
      <w:bookmarkStart w:id="1767" w:name="_Toc10284"/>
      <w:bookmarkStart w:id="1768" w:name="_Toc31217"/>
      <w:bookmarkStart w:id="1769" w:name="_Toc29311"/>
      <w:bookmarkStart w:id="1770" w:name="_Toc11523"/>
      <w:bookmarkStart w:id="1771" w:name="_Toc1229"/>
      <w:bookmarkStart w:id="1772" w:name="_Toc15157"/>
      <w:bookmarkStart w:id="1773" w:name="_Toc20445"/>
      <w:bookmarkStart w:id="1774" w:name="_Toc17603"/>
      <w:bookmarkStart w:id="1775" w:name="_Toc22463"/>
      <w:bookmarkStart w:id="1776" w:name="_Toc19664"/>
      <w:bookmarkStart w:id="1777" w:name="_Toc14283"/>
      <w:bookmarkStart w:id="1778" w:name="_Toc6953"/>
      <w:bookmarkStart w:id="1779" w:name="_Toc2390"/>
      <w:bookmarkStart w:id="1780" w:name="_Toc22402"/>
      <w:r>
        <w:rPr>
          <w:rFonts w:hint="eastAsia"/>
        </w:rPr>
        <w:t>　使用Kprobe的页错误型Enclave线程暂停原语示意图</w:t>
      </w:r>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p>
    <w:p>
      <w:pPr>
        <w:pStyle w:val="6"/>
        <w:bidi w:val="0"/>
      </w:pPr>
      <w:r>
        <w:rPr>
          <w:rFonts w:hint="eastAsia"/>
          <w:b/>
          <w:bCs/>
        </w:rPr>
        <w:t>Figure5.1</w:t>
      </w:r>
      <w:r>
        <w:rPr>
          <w:rFonts w:hint="eastAsia"/>
          <w:b/>
          <w:bCs/>
          <w:lang w:val="en-US" w:eastAsia="zh-CN"/>
        </w:rPr>
        <w:t>8</w:t>
      </w:r>
      <w:r>
        <w:rPr>
          <w:rFonts w:hint="eastAsia"/>
        </w:rPr>
        <w:t>　Diagram of Enclave thread suspension primitive using page fault and Kprobe</w:t>
      </w:r>
    </w:p>
    <w:p>
      <w:pPr>
        <w:numPr>
          <w:ilvl w:val="0"/>
          <w:numId w:val="19"/>
        </w:numPr>
      </w:pPr>
      <w:r>
        <w:rPr>
          <w:rFonts w:hint="eastAsia"/>
        </w:rPr>
        <w:t>使用SIGSEGV的页错误型Enclave线程暂停原语。如图5.1</w:t>
      </w:r>
      <w:r>
        <w:rPr>
          <w:rFonts w:hint="eastAsia"/>
          <w:lang w:val="en-US" w:eastAsia="zh-CN"/>
        </w:rPr>
        <w:t>9</w:t>
      </w:r>
      <w:r>
        <w:rPr>
          <w:rFonts w:hint="eastAsia"/>
        </w:rPr>
        <w:t>所示，攻击者预先清理目标页Present位，受害者Enclave线程访问此页时会触发页错误并进入攻击者事先注册的SIGSEGV处理句柄，受害者Enclave在SIGSEGV处理句柄中被暂停执行。由于SGX软件栈中的uRTS会直接报告Enclave处于崩溃状态，因此实现该线程暂停原语时需要修改uRTS端代码。</w:t>
      </w:r>
    </w:p>
    <w:p>
      <w:pPr>
        <w:bidi w:val="0"/>
        <w:jc w:val="center"/>
      </w:pPr>
      <w:r>
        <w:rPr>
          <w:rFonts w:hint="eastAsia"/>
        </w:rPr>
        <w:drawing>
          <wp:inline distT="0" distB="0" distL="114300" distR="114300">
            <wp:extent cx="4304030" cy="2539365"/>
            <wp:effectExtent l="0" t="0" r="1270" b="635"/>
            <wp:docPr id="17" name="图片 17" descr="1617344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17344923(1)"/>
                    <pic:cNvPicPr>
                      <a:picLocks noChangeAspect="1"/>
                    </pic:cNvPicPr>
                  </pic:nvPicPr>
                  <pic:blipFill>
                    <a:blip r:embed="rId79"/>
                    <a:stretch>
                      <a:fillRect/>
                    </a:stretch>
                  </pic:blipFill>
                  <pic:spPr>
                    <a:xfrm>
                      <a:off x="0" y="0"/>
                      <a:ext cx="4304030" cy="2539365"/>
                    </a:xfrm>
                    <a:prstGeom prst="rect">
                      <a:avLst/>
                    </a:prstGeom>
                  </pic:spPr>
                </pic:pic>
              </a:graphicData>
            </a:graphic>
          </wp:inline>
        </w:drawing>
      </w:r>
    </w:p>
    <w:p>
      <w:pPr>
        <w:pStyle w:val="6"/>
        <w:bidi w:val="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19</w:t>
      </w:r>
      <w:r>
        <w:rPr>
          <w:b/>
          <w:bCs/>
        </w:rPr>
        <w:fldChar w:fldCharType="end"/>
      </w:r>
      <w:bookmarkStart w:id="1781" w:name="_Toc19975"/>
      <w:bookmarkStart w:id="1782" w:name="_Toc17544"/>
      <w:bookmarkStart w:id="1783" w:name="_Toc3402"/>
      <w:bookmarkStart w:id="1784" w:name="_Toc11553"/>
      <w:bookmarkStart w:id="1785" w:name="_Toc22128"/>
      <w:bookmarkStart w:id="1786" w:name="_Toc10745"/>
      <w:bookmarkStart w:id="1787" w:name="_Toc14605"/>
      <w:bookmarkStart w:id="1788" w:name="_Toc10692"/>
      <w:bookmarkStart w:id="1789" w:name="_Toc4525"/>
      <w:bookmarkStart w:id="1790" w:name="_Toc10830"/>
      <w:bookmarkStart w:id="1791" w:name="_Toc31384"/>
      <w:bookmarkStart w:id="1792" w:name="_Toc6988"/>
      <w:bookmarkStart w:id="1793" w:name="_Toc27146"/>
      <w:bookmarkStart w:id="1794" w:name="_Toc13392"/>
      <w:bookmarkStart w:id="1795" w:name="_Toc8289"/>
      <w:bookmarkStart w:id="1796" w:name="_Toc30338"/>
      <w:bookmarkStart w:id="1797" w:name="_Toc2539"/>
      <w:bookmarkStart w:id="1798" w:name="_Toc7048"/>
      <w:bookmarkStart w:id="1799" w:name="_Toc21486"/>
      <w:bookmarkStart w:id="1800" w:name="_Toc22054"/>
      <w:bookmarkStart w:id="1801" w:name="_Toc31097"/>
      <w:bookmarkStart w:id="1802" w:name="_Toc23116"/>
      <w:bookmarkStart w:id="1803" w:name="_Toc706"/>
      <w:bookmarkStart w:id="1804" w:name="_Toc8437"/>
      <w:r>
        <w:rPr>
          <w:rFonts w:hint="eastAsia"/>
        </w:rPr>
        <w:t>　使用SIGSEGV的页错误型Enclave线程暂停原语</w:t>
      </w:r>
      <w:bookmarkEnd w:id="1781"/>
      <w:bookmarkEnd w:id="1782"/>
      <w:bookmarkEnd w:id="1783"/>
      <w:r>
        <w:rPr>
          <w:rFonts w:hint="eastAsia"/>
        </w:rPr>
        <w:t>示意图</w:t>
      </w:r>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p>
    <w:p>
      <w:pPr>
        <w:pStyle w:val="6"/>
        <w:bidi w:val="0"/>
      </w:pPr>
      <w:r>
        <w:rPr>
          <w:rFonts w:hint="eastAsia"/>
          <w:b/>
          <w:bCs/>
        </w:rPr>
        <w:t>Figure5.1</w:t>
      </w:r>
      <w:r>
        <w:rPr>
          <w:rFonts w:hint="eastAsia"/>
          <w:b/>
          <w:bCs/>
          <w:lang w:val="en-US" w:eastAsia="zh-CN"/>
        </w:rPr>
        <w:t>9</w:t>
      </w:r>
      <w:r>
        <w:rPr>
          <w:rFonts w:hint="eastAsia"/>
        </w:rPr>
        <w:t>　Diagram of Enclave thread suspend primitive using page fault and SIGSEGV</w:t>
      </w:r>
    </w:p>
    <w:p>
      <w:pPr>
        <w:ind w:firstLine="480" w:firstLineChars="200"/>
      </w:pPr>
      <w:bookmarkStart w:id="1805" w:name="OLE_LINK15"/>
      <w:r>
        <w:rPr>
          <w:rFonts w:hint="eastAsia"/>
          <w:lang w:val="en-US" w:eastAsia="zh-CN"/>
        </w:rPr>
        <w:t>对此，Enclave开发者编写策略文件，</w:t>
      </w:r>
      <w:r>
        <w:rPr>
          <w:rFonts w:hint="eastAsia"/>
        </w:rPr>
        <w:t>基于SGX-SEF</w:t>
      </w:r>
      <w:bookmarkEnd w:id="1805"/>
      <w:r>
        <w:rPr>
          <w:rFonts w:hint="eastAsia"/>
        </w:rPr>
        <w:t>设置“检测到AEX就报警”安全策略，要求程序执行过程中不能出现“Enclave线程暂停原语”会用到的AEX，否则</w:t>
      </w:r>
      <w:r>
        <w:rPr>
          <w:rFonts w:hint="eastAsia"/>
          <w:lang w:val="en-US" w:eastAsia="zh-CN"/>
        </w:rPr>
        <w:t>SGX-SEF</w:t>
      </w:r>
      <w:r>
        <w:rPr>
          <w:rFonts w:hint="eastAsia"/>
        </w:rPr>
        <w:t>返回错误码SGX_ERROR_CHECK_POINT并终止代码运行。检测结果如图5.</w:t>
      </w:r>
      <w:r>
        <w:rPr>
          <w:rFonts w:hint="eastAsia"/>
          <w:lang w:val="en-US" w:eastAsia="zh-CN"/>
        </w:rPr>
        <w:t>20</w:t>
      </w:r>
      <w:r>
        <w:rPr>
          <w:rFonts w:hint="eastAsia"/>
        </w:rPr>
        <w:t>所示。</w:t>
      </w:r>
    </w:p>
    <w:p>
      <w:pPr>
        <w:bidi w:val="0"/>
        <w:jc w:val="center"/>
      </w:pPr>
      <w:r>
        <w:rPr>
          <w:rFonts w:hint="eastAsia"/>
        </w:rPr>
        <w:drawing>
          <wp:inline distT="0" distB="0" distL="114300" distR="114300">
            <wp:extent cx="4044315" cy="1091565"/>
            <wp:effectExtent l="0" t="0" r="6985" b="635"/>
            <wp:docPr id="42" name="图片 42" descr="Malicious Scheduling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alicious Scheduling detect"/>
                    <pic:cNvPicPr>
                      <a:picLocks noChangeAspect="1"/>
                    </pic:cNvPicPr>
                  </pic:nvPicPr>
                  <pic:blipFill>
                    <a:blip r:embed="rId80"/>
                    <a:srcRect l="2396" t="3121" r="2212" b="60546"/>
                    <a:stretch>
                      <a:fillRect/>
                    </a:stretch>
                  </pic:blipFill>
                  <pic:spPr>
                    <a:xfrm>
                      <a:off x="0" y="0"/>
                      <a:ext cx="4044315" cy="1091565"/>
                    </a:xfrm>
                    <a:prstGeom prst="rect">
                      <a:avLst/>
                    </a:prstGeom>
                  </pic:spPr>
                </pic:pic>
              </a:graphicData>
            </a:graphic>
          </wp:inline>
        </w:drawing>
      </w:r>
    </w:p>
    <w:p>
      <w:pPr>
        <w:pStyle w:val="6"/>
        <w:bidi w:val="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20</w:t>
      </w:r>
      <w:r>
        <w:rPr>
          <w:b/>
          <w:bCs/>
        </w:rPr>
        <w:fldChar w:fldCharType="end"/>
      </w:r>
      <w:bookmarkStart w:id="1806" w:name="_Toc27565"/>
      <w:bookmarkStart w:id="1807" w:name="_Toc3112"/>
      <w:bookmarkStart w:id="1808" w:name="_Toc13482"/>
      <w:bookmarkStart w:id="1809" w:name="_Toc30525"/>
      <w:bookmarkStart w:id="1810" w:name="_Toc13746"/>
      <w:bookmarkStart w:id="1811" w:name="_Toc3648"/>
      <w:bookmarkStart w:id="1812" w:name="_Toc22800"/>
      <w:bookmarkStart w:id="1813" w:name="_Toc20773"/>
      <w:bookmarkStart w:id="1814" w:name="_Toc24709"/>
      <w:r>
        <w:rPr>
          <w:rFonts w:hint="eastAsia"/>
        </w:rPr>
        <w:t>　恶意线程调度攻击检测结果</w:t>
      </w:r>
      <w:bookmarkEnd w:id="1806"/>
      <w:bookmarkEnd w:id="1807"/>
      <w:bookmarkEnd w:id="1808"/>
      <w:bookmarkEnd w:id="1809"/>
      <w:bookmarkEnd w:id="1810"/>
      <w:bookmarkEnd w:id="1811"/>
      <w:bookmarkEnd w:id="1812"/>
      <w:bookmarkEnd w:id="1813"/>
      <w:bookmarkEnd w:id="1814"/>
    </w:p>
    <w:p>
      <w:pPr>
        <w:pStyle w:val="6"/>
        <w:bidi w:val="0"/>
      </w:pPr>
      <w:r>
        <w:rPr>
          <w:rFonts w:hint="eastAsia"/>
          <w:b/>
          <w:bCs/>
        </w:rPr>
        <w:t>Figure5.</w:t>
      </w:r>
      <w:r>
        <w:rPr>
          <w:rFonts w:hint="eastAsia"/>
          <w:b/>
          <w:bCs/>
          <w:lang w:val="en-US" w:eastAsia="zh-CN"/>
        </w:rPr>
        <w:t>20</w:t>
      </w:r>
      <w:r>
        <w:rPr>
          <w:rFonts w:hint="eastAsia"/>
        </w:rPr>
        <w:t>　Detection results of Malicious Scheduling of Threads Attack</w:t>
      </w:r>
    </w:p>
    <w:p>
      <w:pPr>
        <w:ind w:firstLine="480" w:firstLineChars="200"/>
      </w:pPr>
      <w:r>
        <w:rPr>
          <w:rFonts w:hint="eastAsia"/>
        </w:rPr>
        <w:t>但“检测到AEX就报警”策略过于简单，容易导致误报，需要进一步研究更合理的安全策略及策略匹配算法。目前尚未发现其它针对SGX恶意线程调度攻击向量的防御方案。</w:t>
      </w:r>
    </w:p>
    <w:p>
      <w:pPr>
        <w:pStyle w:val="4"/>
      </w:pPr>
      <w:bookmarkStart w:id="1815" w:name="_Toc9862"/>
      <w:bookmarkStart w:id="1816" w:name="_Toc9347"/>
      <w:bookmarkStart w:id="1817" w:name="_Toc3286"/>
      <w:bookmarkStart w:id="1818" w:name="_Toc6519"/>
      <w:bookmarkStart w:id="1819" w:name="_Toc9066"/>
      <w:bookmarkStart w:id="1820" w:name="_Toc32090"/>
      <w:bookmarkStart w:id="1821" w:name="_Toc20194"/>
      <w:bookmarkStart w:id="1822" w:name="_Toc22282"/>
      <w:bookmarkStart w:id="1823" w:name="_Toc28065"/>
      <w:bookmarkStart w:id="1824" w:name="_Toc14451"/>
      <w:bookmarkStart w:id="1825" w:name="_Toc11352"/>
      <w:bookmarkStart w:id="1826" w:name="_Toc10798"/>
      <w:bookmarkStart w:id="1827" w:name="_Toc16093"/>
      <w:bookmarkStart w:id="1828" w:name="_Toc5238"/>
      <w:bookmarkStart w:id="1829" w:name="_Toc16225"/>
      <w:bookmarkStart w:id="1830" w:name="_Toc11255"/>
      <w:bookmarkStart w:id="1831" w:name="_Toc28770"/>
      <w:bookmarkStart w:id="1832" w:name="_Toc17239"/>
      <w:bookmarkStart w:id="1833" w:name="_Toc26787"/>
      <w:bookmarkStart w:id="1834" w:name="_Toc24521"/>
      <w:r>
        <w:rPr>
          <w:rFonts w:hint="eastAsia"/>
        </w:rPr>
        <w:t>5.3.4　针对“</w:t>
      </w:r>
      <w:bookmarkStart w:id="1835" w:name="OLE_LINK7"/>
      <w:r>
        <w:rPr>
          <w:rFonts w:hint="eastAsia"/>
        </w:rPr>
        <w:t>时间侧信道</w:t>
      </w:r>
      <w:bookmarkEnd w:id="1835"/>
      <w:r>
        <w:rPr>
          <w:rFonts w:hint="eastAsia"/>
        </w:rPr>
        <w:t>”的防御效果</w:t>
      </w:r>
      <w:bookmarkEnd w:id="1815"/>
      <w:bookmarkEnd w:id="1816"/>
      <w:r>
        <w:rPr>
          <w:rFonts w:hint="eastAsia"/>
        </w:rPr>
        <w:t>验证</w:t>
      </w:r>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p>
    <w:p>
      <w:pPr>
        <w:ind w:firstLine="480" w:firstLineChars="200"/>
      </w:pPr>
      <w:r>
        <w:rPr>
          <w:rFonts w:hint="eastAsia"/>
        </w:rPr>
        <w:t>本文分析并复现了SGX-Step</w:t>
      </w:r>
      <w:r>
        <w:rPr>
          <w:rFonts w:hint="eastAsia"/>
          <w:vertAlign w:val="superscript"/>
        </w:rPr>
        <w:t>[43]</w:t>
      </w:r>
      <w:r>
        <w:rPr>
          <w:rFonts w:hint="eastAsia"/>
        </w:rPr>
        <w:t>/Nemesis攻击（使用时间侧信道攻击向量），其源码流程如图5.</w:t>
      </w:r>
      <w:r>
        <w:rPr>
          <w:rFonts w:hint="eastAsia"/>
          <w:lang w:val="en-US" w:eastAsia="zh-CN"/>
        </w:rPr>
        <w:t>21</w:t>
      </w:r>
      <w:r>
        <w:rPr>
          <w:rFonts w:hint="eastAsia"/>
        </w:rPr>
        <w:t>所示。攻击者会频繁使用APIC时钟中断（时钟中断间隔为五十多个CPU周期，接近一条二进制代码执行时长），以中断Enclave代码执行，在AEX处理过程中计算一条二进制代码执行时延。Nemesis进一步利用该时延构建时延侧信道。</w:t>
      </w:r>
    </w:p>
    <w:p>
      <w:pPr>
        <w:bidi w:val="0"/>
        <w:jc w:val="center"/>
      </w:pPr>
      <w:r>
        <w:rPr>
          <w:rFonts w:hint="eastAsia"/>
        </w:rPr>
        <w:drawing>
          <wp:inline distT="0" distB="0" distL="114300" distR="114300">
            <wp:extent cx="5172710" cy="1774190"/>
            <wp:effectExtent l="0" t="0" r="8890" b="3810"/>
            <wp:docPr id="18" name="图片 18" descr="1617345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17345576(1)"/>
                    <pic:cNvPicPr>
                      <a:picLocks noChangeAspect="1"/>
                    </pic:cNvPicPr>
                  </pic:nvPicPr>
                  <pic:blipFill>
                    <a:blip r:embed="rId81"/>
                    <a:stretch>
                      <a:fillRect/>
                    </a:stretch>
                  </pic:blipFill>
                  <pic:spPr>
                    <a:xfrm>
                      <a:off x="0" y="0"/>
                      <a:ext cx="5172710" cy="1774190"/>
                    </a:xfrm>
                    <a:prstGeom prst="rect">
                      <a:avLst/>
                    </a:prstGeom>
                  </pic:spPr>
                </pic:pic>
              </a:graphicData>
            </a:graphic>
          </wp:inline>
        </w:drawing>
      </w:r>
    </w:p>
    <w:p>
      <w:pPr>
        <w:pStyle w:val="6"/>
        <w:bidi w:val="0"/>
      </w:pPr>
      <w:r>
        <w:rPr>
          <w:b/>
          <w:bCs/>
        </w:rPr>
        <w:t>图</w:t>
      </w:r>
      <w:r>
        <w:rPr>
          <w:rFonts w:hint="eastAsia"/>
          <w:b/>
          <w:bCs/>
        </w:rPr>
        <w:t>5.</w:t>
      </w:r>
      <w:r>
        <w:rPr>
          <w:b/>
          <w:bCs/>
        </w:rPr>
        <w:fldChar w:fldCharType="begin"/>
      </w:r>
      <w:r>
        <w:rPr>
          <w:b/>
          <w:bCs/>
        </w:rPr>
        <w:instrText xml:space="preserve"> SEQ 图 \* ARABIC \s 1 </w:instrText>
      </w:r>
      <w:r>
        <w:rPr>
          <w:b/>
          <w:bCs/>
        </w:rPr>
        <w:fldChar w:fldCharType="separate"/>
      </w:r>
      <w:r>
        <w:rPr>
          <w:b/>
          <w:bCs/>
        </w:rPr>
        <w:t>21</w:t>
      </w:r>
      <w:r>
        <w:rPr>
          <w:b/>
          <w:bCs/>
        </w:rPr>
        <w:fldChar w:fldCharType="end"/>
      </w:r>
      <w:bookmarkStart w:id="1836" w:name="_Toc2819"/>
      <w:bookmarkStart w:id="1837" w:name="_Toc17293"/>
      <w:bookmarkStart w:id="1838" w:name="_Toc23691"/>
      <w:bookmarkStart w:id="1839" w:name="_Toc13156"/>
      <w:bookmarkStart w:id="1840" w:name="_Toc21320"/>
      <w:bookmarkStart w:id="1841" w:name="_Toc28945"/>
      <w:bookmarkStart w:id="1842" w:name="_Toc8146"/>
      <w:bookmarkStart w:id="1843" w:name="_Toc13786"/>
      <w:bookmarkStart w:id="1844" w:name="_Toc4802"/>
      <w:bookmarkStart w:id="1845" w:name="_Toc16386"/>
      <w:bookmarkStart w:id="1846" w:name="_Toc9779"/>
      <w:bookmarkStart w:id="1847" w:name="_Toc31946"/>
      <w:bookmarkStart w:id="1848" w:name="_Toc7588"/>
      <w:bookmarkStart w:id="1849" w:name="_Toc31359"/>
      <w:bookmarkStart w:id="1850" w:name="_Toc15140"/>
      <w:bookmarkStart w:id="1851" w:name="_Toc21467"/>
      <w:bookmarkStart w:id="1852" w:name="_Toc16527"/>
      <w:bookmarkStart w:id="1853" w:name="_Toc8552"/>
      <w:bookmarkStart w:id="1854" w:name="_Toc30341"/>
      <w:bookmarkStart w:id="1855" w:name="_Toc9907"/>
      <w:bookmarkStart w:id="1856" w:name="_Toc13745"/>
      <w:bookmarkStart w:id="1857" w:name="_Toc3423"/>
      <w:bookmarkStart w:id="1858" w:name="_Toc5099"/>
      <w:bookmarkStart w:id="1859" w:name="_Toc13397"/>
      <w:r>
        <w:rPr>
          <w:rFonts w:hint="eastAsia"/>
        </w:rPr>
        <w:t>　SGX-Step/Nemesis源码分析流程图</w:t>
      </w:r>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pPr>
        <w:pStyle w:val="6"/>
        <w:bidi w:val="0"/>
      </w:pPr>
      <w:r>
        <w:rPr>
          <w:rFonts w:hint="eastAsia"/>
          <w:b/>
          <w:bCs/>
        </w:rPr>
        <w:t>Figure5.</w:t>
      </w:r>
      <w:bookmarkStart w:id="1860" w:name="OLE_LINK35"/>
      <w:r>
        <w:rPr>
          <w:rFonts w:hint="eastAsia"/>
          <w:b/>
          <w:bCs/>
          <w:lang w:val="en-US" w:eastAsia="zh-CN"/>
        </w:rPr>
        <w:t>21</w:t>
      </w:r>
      <w:r>
        <w:rPr>
          <w:rFonts w:hint="eastAsia"/>
        </w:rPr>
        <w:t>　</w:t>
      </w:r>
      <w:bookmarkEnd w:id="1860"/>
      <w:r>
        <w:rPr>
          <w:rFonts w:hint="eastAsia"/>
        </w:rPr>
        <w:t>Flowchart of SGX-Step/Nemesis</w:t>
      </w:r>
    </w:p>
    <w:p>
      <w:pPr>
        <w:ind w:firstLine="480" w:firstLineChars="200"/>
      </w:pPr>
      <w:r>
        <w:rPr>
          <w:rFonts w:hint="eastAsia"/>
        </w:rPr>
        <w:t>基于SGX-SEF设置“AEX超过10次即为攻击”安全策略。实验中，SGX-SEF能够成功检测该攻击，返回错误码并终止程序运行。由于所使用的攻击POC代码量较少，因此使用较小的阈值，实际应用中可以参考Varys</w:t>
      </w:r>
      <w:r>
        <w:rPr>
          <w:rFonts w:hint="eastAsia"/>
          <w:vertAlign w:val="superscript"/>
        </w:rPr>
        <w:t>[44]</w:t>
      </w:r>
      <w:r>
        <w:rPr>
          <w:rFonts w:hint="eastAsia"/>
        </w:rPr>
        <w:t>设置约5000次/秒的阈值来检测攻击。</w:t>
      </w:r>
    </w:p>
    <w:p>
      <w:pPr>
        <w:pStyle w:val="3"/>
      </w:pPr>
      <w:bookmarkStart w:id="1861" w:name="_Toc9565"/>
      <w:bookmarkStart w:id="1862" w:name="_Toc9444"/>
      <w:bookmarkStart w:id="1863" w:name="_Toc29079"/>
      <w:bookmarkStart w:id="1864" w:name="_Toc30254"/>
      <w:bookmarkStart w:id="1865" w:name="_Toc1661"/>
      <w:bookmarkStart w:id="1866" w:name="_Toc6639"/>
      <w:bookmarkStart w:id="1867" w:name="_Toc7757"/>
      <w:bookmarkStart w:id="1868" w:name="_Toc32514"/>
      <w:bookmarkStart w:id="1869" w:name="_Toc27105"/>
      <w:bookmarkStart w:id="1870" w:name="_Toc18848"/>
      <w:bookmarkStart w:id="1871" w:name="_Toc31687"/>
      <w:bookmarkStart w:id="1872" w:name="_Toc20010"/>
      <w:bookmarkStart w:id="1873" w:name="_Toc27002"/>
      <w:bookmarkStart w:id="1874" w:name="_Toc3285"/>
      <w:bookmarkStart w:id="1875" w:name="_Toc19940"/>
      <w:bookmarkStart w:id="1876" w:name="_Toc10182"/>
      <w:bookmarkStart w:id="1877" w:name="_Toc5813"/>
      <w:bookmarkStart w:id="1878" w:name="_Toc20271"/>
      <w:bookmarkStart w:id="1879" w:name="_Toc23216"/>
      <w:bookmarkStart w:id="1880" w:name="_Toc30948"/>
      <w:r>
        <w:rPr>
          <w:rFonts w:hint="eastAsia"/>
        </w:rPr>
        <w:t>5.4　本章小结</w:t>
      </w:r>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p>
    <w:p>
      <w:pPr>
        <w:ind w:firstLine="480" w:firstLineChars="200"/>
      </w:pPr>
      <w:r>
        <w:rPr>
          <w:rFonts w:hint="eastAsia"/>
        </w:rPr>
        <w:t>本章描述了实验环境。展示了审计功能的效果，评估了审计功能性能开销增幅在最优情况下为13%~18%，分析了引起性能开销的原因。针对调用排序、并发调用、恶意线程调度和时间侧信道攻击向量制定了安全策略验证SGX-SEF防御（检查功能）效果，指出SGX-SEF具有良好的防御效果，能灵活地兼容多种安全准则。</w:t>
      </w:r>
    </w:p>
    <w:p>
      <w:pPr>
        <w:ind w:firstLine="480" w:firstLineChars="200"/>
        <w:rPr>
          <w:rFonts w:hint="eastAsia"/>
        </w:rPr>
      </w:pPr>
      <w:r>
        <w:rPr>
          <w:rFonts w:hint="eastAsia"/>
        </w:rPr>
        <w:t>SGX关键执行路径及安全关键点分析启发“调用顺序白名单”安全策略以抵御调用排序和并发调用攻击向量，此前尚无防御方案能够有效防御这两类攻击向量。</w:t>
      </w:r>
    </w:p>
    <w:p>
      <w:pPr>
        <w:rPr>
          <w:rFonts w:hint="eastAsia"/>
        </w:rPr>
      </w:pPr>
      <w:r>
        <w:rPr>
          <w:rFonts w:hint="eastAsia"/>
        </w:rPr>
        <w:br w:type="page"/>
      </w:r>
    </w:p>
    <w:p>
      <w:pPr>
        <w:ind w:firstLine="480" w:firstLineChars="200"/>
        <w:rPr>
          <w:rFonts w:hint="eastAsia"/>
        </w:rPr>
      </w:pPr>
    </w:p>
    <w:p/>
    <w:p>
      <w:pPr>
        <w:sectPr>
          <w:headerReference r:id="rId30" w:type="default"/>
          <w:pgSz w:w="11906" w:h="16838"/>
          <w:pgMar w:top="1440" w:right="1800" w:bottom="1440" w:left="1800" w:header="851" w:footer="850" w:gutter="0"/>
          <w:cols w:space="425" w:num="1"/>
          <w:docGrid w:type="lines" w:linePitch="312" w:charSpace="0"/>
        </w:sectPr>
      </w:pPr>
    </w:p>
    <w:p>
      <w:pPr>
        <w:pStyle w:val="2"/>
      </w:pPr>
      <w:bookmarkStart w:id="1881" w:name="_Toc29575"/>
      <w:bookmarkStart w:id="1882" w:name="_Toc8885"/>
      <w:bookmarkStart w:id="1883" w:name="_Toc3725"/>
      <w:bookmarkStart w:id="1884" w:name="_Toc5466"/>
      <w:bookmarkStart w:id="1885" w:name="_Toc6403"/>
      <w:bookmarkStart w:id="1886" w:name="_Toc7763"/>
      <w:bookmarkStart w:id="1887" w:name="_Toc29253"/>
      <w:bookmarkStart w:id="1888" w:name="_Toc12413"/>
      <w:bookmarkStart w:id="1889" w:name="_Toc23311"/>
      <w:bookmarkStart w:id="1890" w:name="_Toc2469"/>
      <w:bookmarkStart w:id="1891" w:name="_Toc18502"/>
      <w:bookmarkStart w:id="1892" w:name="_Toc3536"/>
      <w:bookmarkStart w:id="1893" w:name="_Toc31867"/>
      <w:bookmarkStart w:id="1894" w:name="_Toc12224"/>
      <w:bookmarkStart w:id="1895" w:name="_Toc9098"/>
      <w:bookmarkStart w:id="1896" w:name="_Toc30807"/>
      <w:bookmarkStart w:id="1897" w:name="_Toc32419"/>
      <w:bookmarkStart w:id="1898" w:name="_Toc20238"/>
      <w:bookmarkStart w:id="1899" w:name="_Toc7247"/>
      <w:bookmarkStart w:id="1900" w:name="_Toc29913"/>
      <w:r>
        <w:rPr>
          <w:rFonts w:hint="eastAsia"/>
        </w:rPr>
        <w:t>第六章　总结与展望</w:t>
      </w:r>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p>
    <w:p>
      <w:pPr>
        <w:pStyle w:val="3"/>
      </w:pPr>
      <w:bookmarkStart w:id="1901" w:name="_Toc7315"/>
      <w:bookmarkStart w:id="1902" w:name="_Toc19763"/>
      <w:bookmarkStart w:id="1903" w:name="_Toc15000"/>
      <w:bookmarkStart w:id="1904" w:name="_Toc27407"/>
      <w:bookmarkStart w:id="1905" w:name="_Toc26770"/>
      <w:bookmarkStart w:id="1906" w:name="_Toc24546"/>
      <w:bookmarkStart w:id="1907" w:name="_Toc11757"/>
      <w:bookmarkStart w:id="1908" w:name="_Toc24779"/>
      <w:bookmarkStart w:id="1909" w:name="_Toc23974"/>
      <w:bookmarkStart w:id="1910" w:name="_Toc19888"/>
      <w:bookmarkStart w:id="1911" w:name="_Toc5093"/>
      <w:bookmarkStart w:id="1912" w:name="_Toc20702"/>
      <w:bookmarkStart w:id="1913" w:name="_Toc15570"/>
      <w:bookmarkStart w:id="1914" w:name="_Toc23206"/>
      <w:bookmarkStart w:id="1915" w:name="_Toc19030"/>
      <w:bookmarkStart w:id="1916" w:name="_Toc14109"/>
      <w:bookmarkStart w:id="1917" w:name="_Toc17569"/>
      <w:bookmarkStart w:id="1918" w:name="_Toc29431"/>
      <w:r>
        <w:rPr>
          <w:rFonts w:hint="eastAsia"/>
        </w:rPr>
        <w:t>6.1　总结</w:t>
      </w:r>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p>
    <w:p>
      <w:pPr>
        <w:ind w:firstLine="480" w:firstLineChars="200"/>
      </w:pPr>
      <w:r>
        <w:rPr>
          <w:rFonts w:hint="eastAsia"/>
        </w:rPr>
        <w:t>现有SGX攻击针对Enclave开发中的安全问题和SGX设计存在安全缺陷，透过Enclave接口及共享资源等攻击面，构建各类攻击向量，威胁SGX安全性。现有防御方案安全准则不统一，尚无防御方案分析SGX安全关键点并从SGX架构自身进行安全增强。本文提出了针对Intel SGX SDK的安全增强框架（简称SGX-SEF），旨在从SGX架构自身出发，全面加固SGX架构中的安全关键点，主要成果包括：</w:t>
      </w:r>
    </w:p>
    <w:p>
      <w:pPr>
        <w:numPr>
          <w:ilvl w:val="0"/>
          <w:numId w:val="20"/>
        </w:numPr>
      </w:pPr>
      <w:r>
        <w:rPr>
          <w:rFonts w:hint="eastAsia"/>
        </w:rPr>
        <w:t>产出SGX关键执行路径及安全关键点分析结果。本文以SGX软件栈为主刻画了SGX架构及关键执行路径，总结了其中的安全关键点，指导了对已有防御方案安全准则的兼容，启发了新的安全准则。</w:t>
      </w:r>
    </w:p>
    <w:p>
      <w:pPr>
        <w:numPr>
          <w:ilvl w:val="0"/>
          <w:numId w:val="20"/>
        </w:numPr>
      </w:pPr>
      <w:r>
        <w:rPr>
          <w:rFonts w:hint="eastAsia"/>
        </w:rPr>
        <w:t>设计实现了针对Intel SGX SDK的安全增强框架（SGX-SEF）。SGX-SEF审计了SGX关键执行路径</w:t>
      </w:r>
      <w:r>
        <w:rPr>
          <w:rFonts w:hint="eastAsia"/>
          <w:lang w:eastAsia="zh-CN"/>
        </w:rPr>
        <w:t>，</w:t>
      </w:r>
      <w:r>
        <w:rPr>
          <w:rFonts w:hint="eastAsia"/>
          <w:lang w:val="en-US" w:eastAsia="zh-CN"/>
        </w:rPr>
        <w:t>记录了上下文切换等安全事件，提供了函数名及参数等信息用于检测恶意行为</w:t>
      </w:r>
      <w:r>
        <w:rPr>
          <w:rFonts w:hint="eastAsia"/>
        </w:rPr>
        <w:t>，加固了安全关键点，将安全框架与安全策略分离，依据多种安全策略防御多种攻击向量，解决现有SGX架构难以有效兼容安全准则不统一的防御方案的问题。</w:t>
      </w:r>
    </w:p>
    <w:p>
      <w:pPr>
        <w:numPr>
          <w:ilvl w:val="0"/>
          <w:numId w:val="20"/>
        </w:numPr>
      </w:pPr>
      <w:r>
        <w:rPr>
          <w:rFonts w:hint="eastAsia"/>
        </w:rPr>
        <w:t>提出了“调用顺序白名单”安全策略。</w:t>
      </w:r>
      <w:r>
        <w:rPr>
          <w:rFonts w:hint="eastAsia"/>
          <w:lang w:val="en-US" w:eastAsia="zh-CN"/>
        </w:rPr>
        <w:t>针对</w:t>
      </w:r>
      <w:r>
        <w:rPr>
          <w:rFonts w:hint="eastAsia"/>
        </w:rPr>
        <w:t>调用排序和并发调用攻击向量</w:t>
      </w:r>
      <w:r>
        <w:rPr>
          <w:rFonts w:hint="eastAsia"/>
          <w:lang w:val="en-US" w:eastAsia="zh-CN"/>
        </w:rPr>
        <w:t>会恶意篡改调用逻辑违背开发者预期的情况，Enclave开发者能够</w:t>
      </w:r>
      <w:r>
        <w:rPr>
          <w:rFonts w:hint="eastAsia"/>
        </w:rPr>
        <w:t>基于</w:t>
      </w:r>
      <w:r>
        <w:t>SGX-SEF</w:t>
      </w:r>
      <w:r>
        <w:rPr>
          <w:rFonts w:hint="eastAsia"/>
        </w:rPr>
        <w:t>在</w:t>
      </w:r>
      <w:r>
        <w:t>SGX</w:t>
      </w:r>
      <w:r>
        <w:rPr>
          <w:rFonts w:hint="eastAsia"/>
        </w:rPr>
        <w:t>关键执行路径的安全关键点中插桩审计检查代码并部署“调用顺序白名单”安全策略</w:t>
      </w:r>
      <w:r>
        <w:rPr>
          <w:rFonts w:hint="eastAsia"/>
          <w:lang w:val="en-US" w:eastAsia="zh-CN"/>
        </w:rPr>
        <w:t>以要求调用情况符合预期，从而</w:t>
      </w:r>
      <w:r>
        <w:rPr>
          <w:rFonts w:hint="eastAsia"/>
        </w:rPr>
        <w:t>抵御调用排序和并发调用攻击向量。</w:t>
      </w:r>
      <w:r>
        <w:rPr>
          <w:rFonts w:hint="eastAsia"/>
          <w:lang w:val="en-US" w:eastAsia="zh-CN"/>
        </w:rPr>
        <w:t>针对“</w:t>
      </w:r>
      <w:r>
        <w:rPr>
          <w:rFonts w:hint="eastAsia"/>
        </w:rPr>
        <w:t>调用排序</w:t>
      </w:r>
      <w:r>
        <w:rPr>
          <w:rFonts w:hint="eastAsia"/>
          <w:lang w:eastAsia="zh-CN"/>
        </w:rPr>
        <w:t>”</w:t>
      </w:r>
      <w:r>
        <w:rPr>
          <w:rFonts w:hint="eastAsia"/>
        </w:rPr>
        <w:t>和</w:t>
      </w:r>
      <w:r>
        <w:rPr>
          <w:rFonts w:hint="eastAsia"/>
          <w:lang w:eastAsia="zh-CN"/>
        </w:rPr>
        <w:t>“</w:t>
      </w:r>
      <w:r>
        <w:rPr>
          <w:rFonts w:hint="eastAsia"/>
        </w:rPr>
        <w:t>并发调用</w:t>
      </w:r>
      <w:r>
        <w:rPr>
          <w:rFonts w:hint="eastAsia"/>
          <w:lang w:eastAsia="zh-CN"/>
        </w:rPr>
        <w:t>”</w:t>
      </w:r>
      <w:r>
        <w:rPr>
          <w:rFonts w:hint="eastAsia"/>
        </w:rPr>
        <w:t>攻击向量</w:t>
      </w:r>
      <w:r>
        <w:rPr>
          <w:rFonts w:hint="eastAsia"/>
          <w:lang w:val="en-US" w:eastAsia="zh-CN"/>
        </w:rPr>
        <w:t>的SGX-SEF防御效果验证中，依据预期执行情况设计的ECALL调用顺序白名单策略能很好地检测非预期的ECALL调用。调用顺序白名单策略还能进一步包含对OCALL调用的限定，使程序执行情况充分符合预期。</w:t>
      </w:r>
    </w:p>
    <w:p>
      <w:pPr>
        <w:numPr>
          <w:ilvl w:val="0"/>
          <w:numId w:val="20"/>
        </w:numPr>
      </w:pPr>
      <w:r>
        <w:rPr>
          <w:rFonts w:hint="eastAsia"/>
        </w:rPr>
        <w:t>针对Intel SGX SDK的安全增强框架（SGX-SEF）效果验证及性能评估。通过实验</w:t>
      </w:r>
      <w:r>
        <w:rPr>
          <w:rFonts w:hint="eastAsia"/>
          <w:lang w:val="en-US" w:eastAsia="zh-CN"/>
        </w:rPr>
        <w:t>验证</w:t>
      </w:r>
      <w:r>
        <w:rPr>
          <w:rFonts w:hint="eastAsia"/>
        </w:rPr>
        <w:t>了SGX-SEF能够有效审计SGX架构的关键执行路径</w:t>
      </w:r>
      <w:r>
        <w:rPr>
          <w:rFonts w:hint="eastAsia"/>
          <w:lang w:eastAsia="zh-CN"/>
        </w:rPr>
        <w:t>。</w:t>
      </w:r>
      <w:r>
        <w:rPr>
          <w:rFonts w:hint="eastAsia"/>
        </w:rPr>
        <w:t>评估了审计功能性能开销</w:t>
      </w:r>
      <w:r>
        <w:rPr>
          <w:rFonts w:hint="eastAsia"/>
          <w:lang w:eastAsia="zh-CN"/>
        </w:rPr>
        <w:t>，</w:t>
      </w:r>
      <w:r>
        <w:rPr>
          <w:rFonts w:hint="eastAsia"/>
        </w:rPr>
        <w:t>分析了引起性能开销的原因</w:t>
      </w:r>
      <w:r>
        <w:rPr>
          <w:rFonts w:hint="eastAsia"/>
          <w:lang w:eastAsia="zh-CN"/>
        </w:rPr>
        <w:t>。</w:t>
      </w:r>
      <w:r>
        <w:rPr>
          <w:rFonts w:hint="eastAsia"/>
          <w:lang w:val="en-US" w:eastAsia="zh-CN"/>
        </w:rPr>
        <w:t>审计功能开销随</w:t>
      </w:r>
      <w:r>
        <w:rPr>
          <w:rFonts w:hint="eastAsia"/>
        </w:rPr>
        <w:t>日志容量</w:t>
      </w:r>
      <w:r>
        <w:rPr>
          <w:rFonts w:hint="eastAsia"/>
          <w:lang w:val="en-US" w:eastAsia="zh-CN"/>
        </w:rPr>
        <w:t>增大而增大</w:t>
      </w:r>
      <w:r>
        <w:rPr>
          <w:rFonts w:hint="eastAsia"/>
        </w:rPr>
        <w:t>，开销包括日志使用维护开销</w:t>
      </w:r>
      <w:r>
        <w:rPr>
          <w:rFonts w:hint="eastAsia"/>
          <w:lang w:val="en-US" w:eastAsia="zh-CN"/>
        </w:rPr>
        <w:t>及</w:t>
      </w:r>
      <w:r>
        <w:rPr>
          <w:rFonts w:hint="eastAsia"/>
        </w:rPr>
        <w:t>缓存未命中开销</w:t>
      </w:r>
      <w:r>
        <w:rPr>
          <w:rFonts w:hint="eastAsia"/>
          <w:lang w:eastAsia="zh-CN"/>
        </w:rPr>
        <w:t>。</w:t>
      </w:r>
      <w:r>
        <w:rPr>
          <w:rFonts w:hint="eastAsia"/>
          <w:lang w:val="en-US" w:eastAsia="zh-CN"/>
        </w:rPr>
        <w:t>当日志大小100项时，审计功能对各种调用方式引起的开销增幅不明显，100项大小的日志足够记录最近的安全事件用于审计检查功能</w:t>
      </w:r>
      <w:r>
        <w:rPr>
          <w:rFonts w:hint="eastAsia"/>
          <w:lang w:eastAsia="zh-CN"/>
        </w:rPr>
        <w:t>。</w:t>
      </w:r>
      <w:r>
        <w:rPr>
          <w:rFonts w:hint="eastAsia"/>
        </w:rPr>
        <w:t>日志容量为100项时</w:t>
      </w:r>
      <w:r>
        <w:rPr>
          <w:rFonts w:hint="eastAsia"/>
          <w:lang w:eastAsia="zh-CN"/>
        </w:rPr>
        <w:t>，</w:t>
      </w:r>
      <w:r>
        <w:rPr>
          <w:rFonts w:hint="eastAsia"/>
          <w:lang w:val="en-US" w:eastAsia="zh-CN"/>
        </w:rPr>
        <w:t>开销</w:t>
      </w:r>
      <w:r>
        <w:rPr>
          <w:rFonts w:hint="eastAsia"/>
        </w:rPr>
        <w:t>增幅在最优情况</w:t>
      </w:r>
      <w:r>
        <w:rPr>
          <w:rFonts w:hint="eastAsia"/>
          <w:lang w:eastAsia="zh-CN"/>
        </w:rPr>
        <w:t>（</w:t>
      </w:r>
      <w:r>
        <w:rPr>
          <w:rFonts w:hint="eastAsia"/>
          <w:lang w:val="en-US" w:eastAsia="zh-CN"/>
        </w:rPr>
        <w:t>Ordinary调用方式</w:t>
      </w:r>
      <w:r>
        <w:rPr>
          <w:rFonts w:hint="eastAsia"/>
          <w:lang w:eastAsia="zh-CN"/>
        </w:rPr>
        <w:t>）</w:t>
      </w:r>
      <w:r>
        <w:rPr>
          <w:rFonts w:hint="eastAsia"/>
        </w:rPr>
        <w:t>下为13%~18%。通过调用排序、并发调用、恶意线程调度和时间侧信道攻击向量这四个例子</w:t>
      </w:r>
      <w:r>
        <w:rPr>
          <w:rFonts w:hint="eastAsia"/>
          <w:lang w:val="en-US" w:eastAsia="zh-CN"/>
        </w:rPr>
        <w:t>实验验证</w:t>
      </w:r>
      <w:r>
        <w:rPr>
          <w:rFonts w:hint="eastAsia"/>
        </w:rPr>
        <w:t>了防御者能在SGX-SEF中灵活部署多种安全策略以抵御多类攻击向量。</w:t>
      </w:r>
    </w:p>
    <w:p>
      <w:pPr>
        <w:pStyle w:val="3"/>
      </w:pPr>
      <w:bookmarkStart w:id="1919" w:name="_Toc10025"/>
      <w:bookmarkStart w:id="1920" w:name="_Toc21431"/>
      <w:bookmarkStart w:id="1921" w:name="_Toc31017"/>
      <w:bookmarkStart w:id="1922" w:name="_Toc29834"/>
      <w:bookmarkStart w:id="1923" w:name="_Toc26382"/>
      <w:bookmarkStart w:id="1924" w:name="_Toc13441"/>
      <w:bookmarkStart w:id="1925" w:name="_Toc25485"/>
      <w:bookmarkStart w:id="1926" w:name="_Toc23511"/>
      <w:bookmarkStart w:id="1927" w:name="_Toc13859"/>
      <w:bookmarkStart w:id="1928" w:name="_Toc203"/>
      <w:bookmarkStart w:id="1929" w:name="_Toc21288"/>
      <w:bookmarkStart w:id="1930" w:name="_Toc22337"/>
      <w:bookmarkStart w:id="1931" w:name="_Toc27770"/>
      <w:bookmarkStart w:id="1932" w:name="_Toc22470"/>
      <w:bookmarkStart w:id="1933" w:name="_Toc30636"/>
      <w:bookmarkStart w:id="1934" w:name="_Toc17503"/>
      <w:bookmarkStart w:id="1935" w:name="_Toc13108"/>
      <w:bookmarkStart w:id="1936" w:name="_Toc6489"/>
      <w:r>
        <w:rPr>
          <w:rFonts w:hint="eastAsia"/>
        </w:rPr>
        <w:t>6.2　</w:t>
      </w:r>
      <w:bookmarkEnd w:id="1919"/>
      <w:bookmarkEnd w:id="1920"/>
      <w:bookmarkEnd w:id="1921"/>
      <w:bookmarkEnd w:id="1922"/>
      <w:bookmarkEnd w:id="1923"/>
      <w:bookmarkEnd w:id="1924"/>
      <w:bookmarkEnd w:id="1925"/>
      <w:bookmarkEnd w:id="1926"/>
      <w:bookmarkEnd w:id="1927"/>
      <w:r>
        <w:rPr>
          <w:rFonts w:hint="eastAsia"/>
        </w:rPr>
        <w:t>展望</w:t>
      </w:r>
      <w:bookmarkEnd w:id="1928"/>
      <w:bookmarkEnd w:id="1929"/>
      <w:bookmarkEnd w:id="1930"/>
      <w:bookmarkEnd w:id="1931"/>
      <w:bookmarkEnd w:id="1932"/>
      <w:bookmarkEnd w:id="1933"/>
      <w:bookmarkEnd w:id="1934"/>
      <w:bookmarkEnd w:id="1935"/>
      <w:bookmarkEnd w:id="1936"/>
    </w:p>
    <w:p>
      <w:pPr>
        <w:ind w:firstLine="480" w:firstLineChars="200"/>
        <w:rPr>
          <w:rFonts w:hint="default"/>
          <w:lang w:val="en-US" w:eastAsia="zh-CN"/>
        </w:rPr>
      </w:pPr>
      <w:r>
        <w:rPr>
          <w:rFonts w:hint="eastAsia"/>
          <w:lang w:val="en-US" w:eastAsia="zh-CN"/>
        </w:rPr>
        <w:t>结合当前可信执行环境的发展趋势，在本文工作基础上，还有以下几个研究点值得进一步探索。</w:t>
      </w:r>
    </w:p>
    <w:p>
      <w:pPr>
        <w:numPr>
          <w:ilvl w:val="0"/>
          <w:numId w:val="21"/>
        </w:numPr>
        <w:ind w:left="845" w:hanging="425" w:firstLineChars="0"/>
        <w:rPr>
          <w:rFonts w:hint="default" w:eastAsia="宋体"/>
          <w:lang w:val="en-US" w:eastAsia="zh-CN"/>
        </w:rPr>
      </w:pPr>
      <w:r>
        <w:rPr>
          <w:rFonts w:hint="eastAsia"/>
          <w:lang w:val="en-US" w:eastAsia="zh-CN"/>
        </w:rPr>
        <w:t>分析内核可信部分并联合SGX-SEF形成综合性安全增强框架。SGX设计中仅保护用户态程序敏感部分，将内核等模块排除在TEE之外并认为其不可信。</w:t>
      </w:r>
      <w:r>
        <w:rPr>
          <w:rFonts w:hint="eastAsia"/>
        </w:rPr>
        <w:t>SGX Enclave</w:t>
      </w:r>
      <w:r>
        <w:rPr>
          <w:rFonts w:hint="eastAsia"/>
          <w:lang w:val="en-US" w:eastAsia="zh-CN"/>
        </w:rPr>
        <w:t>只具备用户态能力，为保证其能正常运行，Enclave严重</w:t>
      </w:r>
      <w:r>
        <w:rPr>
          <w:rFonts w:hint="eastAsia"/>
        </w:rPr>
        <w:t>依赖于内核</w:t>
      </w:r>
      <w:r>
        <w:rPr>
          <w:rFonts w:hint="eastAsia"/>
          <w:lang w:val="en-US" w:eastAsia="zh-CN"/>
        </w:rPr>
        <w:t>提供的进程机制和段页表机制等。许多SGX攻击正是利用Enclave对内核的依赖发起攻击</w:t>
      </w:r>
      <w:r>
        <w:rPr>
          <w:rFonts w:hint="eastAsia"/>
          <w:lang w:eastAsia="zh-CN"/>
        </w:rPr>
        <w:t>。</w:t>
      </w:r>
      <w:r>
        <w:rPr>
          <w:rFonts w:hint="eastAsia"/>
          <w:lang w:val="en-US" w:eastAsia="zh-CN"/>
        </w:rPr>
        <w:t>在</w:t>
      </w:r>
      <w:r>
        <w:rPr>
          <w:rFonts w:hint="eastAsia"/>
        </w:rPr>
        <w:t>实际应用中完全假设内核不可信可能过于严苛</w:t>
      </w:r>
      <w:r>
        <w:rPr>
          <w:rFonts w:hint="eastAsia"/>
          <w:lang w:eastAsia="zh-CN"/>
        </w:rPr>
        <w:t>，</w:t>
      </w:r>
      <w:r>
        <w:rPr>
          <w:rFonts w:hint="eastAsia"/>
          <w:lang w:val="en-US" w:eastAsia="zh-CN"/>
        </w:rPr>
        <w:t>后续研究可深入</w:t>
      </w:r>
      <w:r>
        <w:rPr>
          <w:rFonts w:hint="eastAsia"/>
        </w:rPr>
        <w:t>分析内核可信部分</w:t>
      </w:r>
      <w:r>
        <w:rPr>
          <w:rFonts w:hint="eastAsia"/>
          <w:lang w:val="en-US" w:eastAsia="zh-CN"/>
        </w:rPr>
        <w:t>和不可信部分，通过可信度量及挑战应答等手段从Enclave出发扩张可信域，更好地权衡可信域的TCB尺寸和安全性。当假设内核的部分模块可信时，可进一步</w:t>
      </w:r>
      <w:r>
        <w:rPr>
          <w:rFonts w:hint="eastAsia"/>
        </w:rPr>
        <w:t>将</w:t>
      </w:r>
      <w:r>
        <w:rPr>
          <w:rFonts w:hint="eastAsia"/>
          <w:lang w:val="en-US" w:eastAsia="zh-CN"/>
        </w:rPr>
        <w:t>LSM为例的内核安全增强模块</w:t>
      </w:r>
      <w:r>
        <w:rPr>
          <w:rFonts w:hint="eastAsia"/>
        </w:rPr>
        <w:t>和SGX-SEF结合</w:t>
      </w:r>
      <w:r>
        <w:rPr>
          <w:rFonts w:hint="eastAsia"/>
          <w:lang w:eastAsia="zh-CN"/>
        </w:rPr>
        <w:t>，</w:t>
      </w:r>
      <w:r>
        <w:rPr>
          <w:rFonts w:hint="eastAsia"/>
        </w:rPr>
        <w:t>实现综合性安全增强框架，保护Enclave安全。</w:t>
      </w:r>
    </w:p>
    <w:p>
      <w:pPr>
        <w:numPr>
          <w:ilvl w:val="0"/>
          <w:numId w:val="21"/>
        </w:numPr>
        <w:ind w:left="845" w:hanging="425"/>
      </w:pPr>
      <w:r>
        <w:rPr>
          <w:rFonts w:hint="eastAsia"/>
          <w:lang w:val="en-US" w:eastAsia="zh-CN"/>
        </w:rPr>
        <w:t>针对其他TEE技术设计安全增强框架。</w:t>
      </w:r>
      <w:r>
        <w:rPr>
          <w:rFonts w:hint="eastAsia"/>
        </w:rPr>
        <w:t>除Intel SGX外的其他TEE技术</w:t>
      </w:r>
      <w:r>
        <w:rPr>
          <w:rFonts w:hint="eastAsia"/>
          <w:lang w:val="en-US" w:eastAsia="zh-CN"/>
        </w:rPr>
        <w:t>如ARM TrustZone</w:t>
      </w:r>
      <w:r>
        <w:rPr>
          <w:rFonts w:hint="eastAsia"/>
        </w:rPr>
        <w:t>也存在</w:t>
      </w:r>
      <w:r>
        <w:rPr>
          <w:rFonts w:hint="eastAsia"/>
          <w:lang w:val="en-US" w:eastAsia="zh-CN"/>
        </w:rPr>
        <w:t>着可信环境功能依赖不可信环境及可信环境接口消毒不充分等</w:t>
      </w:r>
      <w:r>
        <w:rPr>
          <w:rFonts w:hint="eastAsia"/>
        </w:rPr>
        <w:t>问题</w:t>
      </w:r>
      <w:r>
        <w:rPr>
          <w:rFonts w:hint="eastAsia"/>
          <w:lang w:eastAsia="zh-CN"/>
        </w:rPr>
        <w:t>。</w:t>
      </w:r>
      <w:r>
        <w:rPr>
          <w:rFonts w:hint="eastAsia"/>
          <w:lang w:val="en-US" w:eastAsia="zh-CN"/>
        </w:rPr>
        <w:t>对此，后续研究</w:t>
      </w:r>
      <w:r>
        <w:rPr>
          <w:rFonts w:hint="eastAsia"/>
        </w:rPr>
        <w:t>可以</w:t>
      </w:r>
      <w:r>
        <w:rPr>
          <w:rFonts w:hint="eastAsia"/>
          <w:lang w:val="en-US" w:eastAsia="zh-CN"/>
        </w:rPr>
        <w:t>借鉴本文的方案，深入</w:t>
      </w:r>
      <w:r>
        <w:rPr>
          <w:rFonts w:hint="eastAsia"/>
        </w:rPr>
        <w:t>刻画其它TEE架构</w:t>
      </w:r>
      <w:r>
        <w:rPr>
          <w:rFonts w:hint="eastAsia"/>
          <w:lang w:val="en-US" w:eastAsia="zh-CN"/>
        </w:rPr>
        <w:t>并</w:t>
      </w:r>
      <w:r>
        <w:rPr>
          <w:rFonts w:hint="eastAsia"/>
        </w:rPr>
        <w:t>分析关键执行路径和安全关键点，设计实现对应的安全增强框架，以审计关键执行路径，加固安全关键点，全面提升安全性。</w:t>
      </w:r>
      <w:r>
        <w:rPr>
          <w:rFonts w:hint="eastAsia"/>
          <w:lang w:val="en-US" w:eastAsia="zh-CN"/>
        </w:rPr>
        <w:t>此外，也非常需要进一步研究如何针对具体应用场景更好地权衡TEE技术的TCB尺寸、功能性及安全性等。</w:t>
      </w:r>
    </w:p>
    <w:p>
      <w:pPr>
        <w:sectPr>
          <w:headerReference r:id="rId31" w:type="default"/>
          <w:pgSz w:w="11906" w:h="16838"/>
          <w:pgMar w:top="1440" w:right="1800" w:bottom="1440" w:left="1800" w:header="851" w:footer="850" w:gutter="0"/>
          <w:cols w:space="425" w:num="1"/>
          <w:docGrid w:type="lines" w:linePitch="312" w:charSpace="0"/>
        </w:sectPr>
      </w:pPr>
    </w:p>
    <w:p>
      <w:pPr>
        <w:pStyle w:val="2"/>
      </w:pPr>
      <w:bookmarkStart w:id="1937" w:name="_Toc555"/>
      <w:bookmarkStart w:id="1938" w:name="_Toc2443"/>
      <w:bookmarkStart w:id="1939" w:name="_Toc21619"/>
      <w:bookmarkStart w:id="1940" w:name="_Toc19513"/>
      <w:bookmarkStart w:id="1941" w:name="_Toc12665"/>
      <w:bookmarkStart w:id="1942" w:name="_Toc8827"/>
      <w:bookmarkStart w:id="1943" w:name="_Toc9076"/>
      <w:bookmarkStart w:id="1944" w:name="_Toc24712"/>
      <w:bookmarkStart w:id="1945" w:name="_Toc7937"/>
      <w:bookmarkStart w:id="1946" w:name="_Toc865"/>
      <w:bookmarkStart w:id="1947" w:name="_Toc9096"/>
      <w:bookmarkStart w:id="1948" w:name="_Toc32730"/>
      <w:bookmarkStart w:id="1949" w:name="_Toc20084"/>
      <w:bookmarkStart w:id="1950" w:name="_Toc5195"/>
      <w:bookmarkStart w:id="1951" w:name="_Toc9935"/>
      <w:bookmarkStart w:id="1952" w:name="_Toc23262"/>
      <w:bookmarkStart w:id="1953" w:name="_Toc28163"/>
      <w:bookmarkStart w:id="1954" w:name="_Toc26053"/>
      <w:bookmarkStart w:id="1955" w:name="_Toc13365"/>
      <w:bookmarkStart w:id="1956" w:name="_Toc11651"/>
      <w:r>
        <w:rPr>
          <w:rFonts w:hint="eastAsia"/>
        </w:rPr>
        <w:t>参考文献</w:t>
      </w:r>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p>
    <w:p>
      <w:pPr>
        <w:numPr>
          <w:ilvl w:val="0"/>
          <w:numId w:val="22"/>
        </w:numPr>
        <w:rPr>
          <w:sz w:val="21"/>
          <w:szCs w:val="21"/>
        </w:rPr>
      </w:pPr>
      <w:r>
        <w:rPr>
          <w:rFonts w:hint="eastAsia"/>
          <w:sz w:val="21"/>
          <w:szCs w:val="21"/>
        </w:rPr>
        <w:t>Costan V, Devadas S. Intel SGX Explained[J]. IACR Cryptol. ePrint Arch., 2016, 2016(86): 1-118.</w:t>
      </w:r>
    </w:p>
    <w:p>
      <w:pPr>
        <w:numPr>
          <w:ilvl w:val="0"/>
          <w:numId w:val="22"/>
        </w:numPr>
        <w:rPr>
          <w:sz w:val="21"/>
          <w:szCs w:val="21"/>
        </w:rPr>
      </w:pPr>
      <w:r>
        <w:rPr>
          <w:rFonts w:hint="eastAsia"/>
          <w:sz w:val="21"/>
          <w:szCs w:val="21"/>
        </w:rPr>
        <w:t>董春涛,沈晴霓,罗武,吴鹏飞,吴中海.SGX应用支持技术研究进展[J].软件学报,2021,32(01):137-166.</w:t>
      </w:r>
    </w:p>
    <w:p>
      <w:pPr>
        <w:numPr>
          <w:ilvl w:val="0"/>
          <w:numId w:val="22"/>
        </w:numPr>
        <w:rPr>
          <w:sz w:val="21"/>
          <w:szCs w:val="21"/>
        </w:rPr>
      </w:pPr>
      <w:r>
        <w:rPr>
          <w:rFonts w:hint="eastAsia"/>
          <w:sz w:val="21"/>
          <w:szCs w:val="21"/>
        </w:rPr>
        <w:t>Intel Corporation. Intel® Software Guard Extensions (Intel® SGX) Developer Guide, 2020. Revision Number 2.10.</w:t>
      </w:r>
    </w:p>
    <w:p>
      <w:pPr>
        <w:numPr>
          <w:ilvl w:val="0"/>
          <w:numId w:val="22"/>
        </w:numPr>
        <w:rPr>
          <w:sz w:val="21"/>
          <w:szCs w:val="21"/>
        </w:rPr>
      </w:pPr>
      <w:r>
        <w:rPr>
          <w:rFonts w:hint="eastAsia"/>
          <w:sz w:val="21"/>
          <w:szCs w:val="21"/>
        </w:rPr>
        <w:t>Intel Corporation. Intel® Software Guard Extensions (Intel® SGX) SDK for Linux* OS Developer Reference, 2020. Revision Number 2.10.</w:t>
      </w:r>
    </w:p>
    <w:p>
      <w:pPr>
        <w:numPr>
          <w:ilvl w:val="0"/>
          <w:numId w:val="22"/>
        </w:numPr>
        <w:rPr>
          <w:sz w:val="21"/>
          <w:szCs w:val="21"/>
        </w:rPr>
      </w:pPr>
      <w:r>
        <w:rPr>
          <w:rFonts w:hint="eastAsia"/>
          <w:sz w:val="21"/>
          <w:szCs w:val="21"/>
        </w:rPr>
        <w:t>Intel Corporation. Intel64 and IA32 Architectures Software Developers Manual, 2020.  Reference no. 325384-072US.</w:t>
      </w:r>
    </w:p>
    <w:p>
      <w:pPr>
        <w:numPr>
          <w:ilvl w:val="0"/>
          <w:numId w:val="22"/>
        </w:numPr>
        <w:rPr>
          <w:sz w:val="21"/>
          <w:szCs w:val="21"/>
        </w:rPr>
      </w:pPr>
      <w:r>
        <w:rPr>
          <w:rFonts w:hint="eastAsia"/>
          <w:sz w:val="21"/>
          <w:szCs w:val="21"/>
        </w:rPr>
        <w:t>Jang I, Tang A, Kim T, et al. Heterogeneous isolated execution for commodity gpus[C]//Proceedings of the Twenty-Fourth International Conference on Architectural Support for Programming Languages and Operating Systems. 2019: 455-468.</w:t>
      </w:r>
    </w:p>
    <w:p>
      <w:pPr>
        <w:numPr>
          <w:ilvl w:val="0"/>
          <w:numId w:val="22"/>
        </w:numPr>
        <w:rPr>
          <w:sz w:val="21"/>
          <w:szCs w:val="21"/>
        </w:rPr>
      </w:pPr>
      <w:r>
        <w:rPr>
          <w:rFonts w:hint="eastAsia"/>
          <w:sz w:val="21"/>
          <w:szCs w:val="21"/>
        </w:rPr>
        <w:t>Volos S, Vaswani K, Bruno R. Graviton: Trusted execution environments on gpus[C]//13th {USENIX} Symposium on Operating Systems Design and Implementation ({OSDI} 18). 2018: 681-696.</w:t>
      </w:r>
    </w:p>
    <w:p>
      <w:pPr>
        <w:numPr>
          <w:ilvl w:val="0"/>
          <w:numId w:val="22"/>
        </w:numPr>
        <w:rPr>
          <w:sz w:val="21"/>
          <w:szCs w:val="21"/>
        </w:rPr>
      </w:pPr>
      <w:r>
        <w:rPr>
          <w:rFonts w:hint="eastAsia"/>
          <w:sz w:val="21"/>
          <w:szCs w:val="21"/>
        </w:rPr>
        <w:t>Criswell J, Dautenhahn N, Adve V. Virtual ghost: Protecting applications from hostile operating systems[J]. ACM SIGARCH Computer Architecture News, 2014, 42(1): 81-96.</w:t>
      </w:r>
    </w:p>
    <w:p>
      <w:pPr>
        <w:numPr>
          <w:ilvl w:val="0"/>
          <w:numId w:val="22"/>
        </w:numPr>
        <w:rPr>
          <w:sz w:val="21"/>
          <w:szCs w:val="21"/>
        </w:rPr>
      </w:pPr>
      <w:r>
        <w:rPr>
          <w:rFonts w:hint="eastAsia"/>
          <w:sz w:val="21"/>
          <w:szCs w:val="21"/>
        </w:rPr>
        <w:t>Gueron S. A memory encryption engine suitable for general purpose processors[J]. IACR Cryptol. ePrint Arch., 2016, 2016: 204.</w:t>
      </w:r>
    </w:p>
    <w:p>
      <w:pPr>
        <w:numPr>
          <w:ilvl w:val="0"/>
          <w:numId w:val="22"/>
        </w:numPr>
        <w:rPr>
          <w:sz w:val="21"/>
          <w:szCs w:val="21"/>
        </w:rPr>
      </w:pPr>
      <w:r>
        <w:rPr>
          <w:rFonts w:hint="eastAsia"/>
          <w:sz w:val="21"/>
          <w:szCs w:val="21"/>
        </w:rPr>
        <w:t>王鹃, 樊成阳, 程越强, 等. SGX 技术的分析和研究[J]. Journal of Software, 2018, 9: 2778-2798.</w:t>
      </w:r>
    </w:p>
    <w:p>
      <w:pPr>
        <w:numPr>
          <w:ilvl w:val="0"/>
          <w:numId w:val="22"/>
        </w:numPr>
        <w:rPr>
          <w:sz w:val="21"/>
          <w:szCs w:val="21"/>
        </w:rPr>
      </w:pPr>
      <w:r>
        <w:rPr>
          <w:rFonts w:hint="eastAsia"/>
          <w:sz w:val="21"/>
          <w:szCs w:val="21"/>
        </w:rPr>
        <w:t>Kim T. Security Issues on Intel SGX. ACM CCS 2017. https://www.youtube.com/watch?v=0TXR2JNsFBk&amp;t=4s</w:t>
      </w:r>
    </w:p>
    <w:p>
      <w:pPr>
        <w:numPr>
          <w:ilvl w:val="0"/>
          <w:numId w:val="22"/>
        </w:numPr>
        <w:rPr>
          <w:sz w:val="21"/>
          <w:szCs w:val="21"/>
        </w:rPr>
      </w:pPr>
      <w:r>
        <w:rPr>
          <w:rFonts w:hint="eastAsia"/>
          <w:sz w:val="21"/>
          <w:szCs w:val="21"/>
        </w:rPr>
        <w:t>Checkoway S, Shacham H. Iago attacks: why the system call API is a bad untrusted RPC interface[C]//Proceedings of the eighteenth international conference on Architectural support for programming languages and operating systems. 2013: 253-264.</w:t>
      </w:r>
    </w:p>
    <w:p>
      <w:pPr>
        <w:numPr>
          <w:ilvl w:val="0"/>
          <w:numId w:val="22"/>
        </w:numPr>
        <w:rPr>
          <w:sz w:val="21"/>
          <w:szCs w:val="21"/>
        </w:rPr>
      </w:pPr>
      <w:r>
        <w:rPr>
          <w:rFonts w:hint="eastAsia"/>
          <w:sz w:val="21"/>
          <w:szCs w:val="21"/>
        </w:rPr>
        <w:t>Lee S, Kim T. Leaking uninitialized secure enclave memory via structure padding[J]. arXiv preprint arXiv:1710.09061, 2017.</w:t>
      </w:r>
    </w:p>
    <w:p>
      <w:pPr>
        <w:numPr>
          <w:ilvl w:val="0"/>
          <w:numId w:val="22"/>
        </w:numPr>
        <w:rPr>
          <w:sz w:val="21"/>
          <w:szCs w:val="21"/>
        </w:rPr>
      </w:pPr>
      <w:r>
        <w:rPr>
          <w:rFonts w:hint="eastAsia"/>
          <w:sz w:val="21"/>
          <w:szCs w:val="21"/>
        </w:rPr>
        <w:t xml:space="preserve"> Van Bulck J, Oswald D, Marin E, et al. A tale of two worlds: Assessing the vulnerability of enclave shielding runtimes[C]//Proceedings of the 2019 ACM SIGSAC Conference on Computer and Communications Security. 2019: 1741-1758.</w:t>
      </w:r>
    </w:p>
    <w:p>
      <w:pPr>
        <w:numPr>
          <w:ilvl w:val="0"/>
          <w:numId w:val="22"/>
        </w:numPr>
        <w:rPr>
          <w:sz w:val="21"/>
          <w:szCs w:val="21"/>
        </w:rPr>
      </w:pPr>
      <w:r>
        <w:rPr>
          <w:rFonts w:hint="eastAsia"/>
          <w:sz w:val="21"/>
          <w:szCs w:val="21"/>
        </w:rPr>
        <w:t>Khandaker M R, Cheng Y, Wang Z, et al. COIN Attacks: On Insecurity of Enclave Untrusted Interfaces in SGX[C]//Proceedings of the Twenty-Fifth International Conference on Architectural Support for Programming Languages and Operating Systems. 2020: 971-985.</w:t>
      </w:r>
    </w:p>
    <w:p>
      <w:pPr>
        <w:numPr>
          <w:ilvl w:val="0"/>
          <w:numId w:val="22"/>
        </w:numPr>
        <w:rPr>
          <w:sz w:val="21"/>
          <w:szCs w:val="21"/>
        </w:rPr>
      </w:pPr>
      <w:r>
        <w:rPr>
          <w:rFonts w:hint="eastAsia"/>
          <w:sz w:val="21"/>
          <w:szCs w:val="21"/>
        </w:rPr>
        <w:t>Wang J, Cheng Y, Li Q, et al. Interface-based side channel attack against intel SGX[J]. arXiv preprint arXiv:1811.05378, 2018.</w:t>
      </w:r>
    </w:p>
    <w:p>
      <w:pPr>
        <w:numPr>
          <w:ilvl w:val="0"/>
          <w:numId w:val="22"/>
        </w:numPr>
        <w:rPr>
          <w:sz w:val="21"/>
          <w:szCs w:val="21"/>
        </w:rPr>
      </w:pPr>
      <w:r>
        <w:rPr>
          <w:rFonts w:hint="eastAsia"/>
          <w:sz w:val="21"/>
          <w:szCs w:val="21"/>
        </w:rPr>
        <w:t>Van Bulck J, Minkin M, Weisse O, et al. Foreshadow: Extracting the keys to the intel {SGX} kingdom with transient out-of-order execution[C]//27th {USENIX} Security Symposium ({USENIX} Security 18). 2018: 991–1008.</w:t>
      </w:r>
    </w:p>
    <w:p>
      <w:pPr>
        <w:numPr>
          <w:ilvl w:val="0"/>
          <w:numId w:val="22"/>
        </w:numPr>
        <w:rPr>
          <w:sz w:val="21"/>
          <w:szCs w:val="21"/>
        </w:rPr>
      </w:pPr>
      <w:r>
        <w:rPr>
          <w:rFonts w:hint="eastAsia"/>
          <w:sz w:val="21"/>
          <w:szCs w:val="21"/>
        </w:rPr>
        <w:t>Chen G, Chen S, Xiao Y, et al. SgxPectre: Stealing Intel secrets from SGX enclaves via speculative execution[C]//2019 IEEE European Symposium on Security and Privacy (EuroS&amp;P). IEEE, 2019: 142-157.</w:t>
      </w:r>
    </w:p>
    <w:p>
      <w:pPr>
        <w:numPr>
          <w:ilvl w:val="0"/>
          <w:numId w:val="22"/>
        </w:numPr>
        <w:rPr>
          <w:sz w:val="21"/>
          <w:szCs w:val="21"/>
        </w:rPr>
      </w:pPr>
      <w:r>
        <w:rPr>
          <w:rFonts w:hint="eastAsia"/>
          <w:sz w:val="21"/>
          <w:szCs w:val="21"/>
        </w:rPr>
        <w:t>Lee S, Shih M W, Gera P, et al. Inferring fine-grained control flow inside {SGX} enclaves with branch shadowing[C]//26th {USENIX} Security Symposium ({USENIX} Security 17). 2017: 557-574.</w:t>
      </w:r>
    </w:p>
    <w:p>
      <w:pPr>
        <w:numPr>
          <w:ilvl w:val="0"/>
          <w:numId w:val="22"/>
        </w:numPr>
        <w:rPr>
          <w:sz w:val="21"/>
          <w:szCs w:val="21"/>
        </w:rPr>
      </w:pPr>
      <w:r>
        <w:rPr>
          <w:rFonts w:hint="eastAsia"/>
          <w:sz w:val="21"/>
          <w:szCs w:val="21"/>
        </w:rPr>
        <w:t>Xu Y, Cui W, Peinado M. Controlled-channel attacks: Deterministic side channels for untrusted operating systems[C]//2015 IEEE Symposium on Security and Privacy. IEEE, 2015: 640-656.</w:t>
      </w:r>
    </w:p>
    <w:p>
      <w:pPr>
        <w:numPr>
          <w:ilvl w:val="0"/>
          <w:numId w:val="22"/>
        </w:numPr>
        <w:rPr>
          <w:sz w:val="21"/>
          <w:szCs w:val="21"/>
        </w:rPr>
      </w:pPr>
      <w:r>
        <w:rPr>
          <w:rFonts w:hint="eastAsia"/>
          <w:sz w:val="21"/>
          <w:szCs w:val="21"/>
        </w:rPr>
        <w:t>Van Bulck J, Weichbrodt N, Kapitza R, et al. Telling your secrets without page faults: Stealthy page table-based attacks on enclaved execution[C]//26th {USENIX} Security Symposium ({USENIX} Security 17). 2017: 1041-1056.</w:t>
      </w:r>
    </w:p>
    <w:p>
      <w:pPr>
        <w:numPr>
          <w:ilvl w:val="0"/>
          <w:numId w:val="22"/>
        </w:numPr>
        <w:rPr>
          <w:sz w:val="21"/>
          <w:szCs w:val="21"/>
        </w:rPr>
      </w:pPr>
      <w:r>
        <w:rPr>
          <w:rFonts w:hint="eastAsia"/>
          <w:sz w:val="21"/>
          <w:szCs w:val="21"/>
        </w:rPr>
        <w:t>Weichbrodt N, Kurmus A, Pietzuch P, et al. AsyncShock: Exploiting synchronisation bugs in Intel SGX enclaves[C]//European Symposium on Research in Computer Security. Springer, Cham, 2016: 440-457.</w:t>
      </w:r>
    </w:p>
    <w:p>
      <w:pPr>
        <w:numPr>
          <w:ilvl w:val="0"/>
          <w:numId w:val="22"/>
        </w:numPr>
        <w:rPr>
          <w:sz w:val="21"/>
          <w:szCs w:val="21"/>
        </w:rPr>
      </w:pPr>
      <w:r>
        <w:rPr>
          <w:rFonts w:hint="eastAsia"/>
          <w:sz w:val="21"/>
          <w:szCs w:val="21"/>
        </w:rPr>
        <w:t>Sanchez Vicarte J R, Schreiber B, Paccagnella R, et al. Game of threads: Enabling asynchronous poisoning attacks[C]//Proceedings of the Twenty-Fifth International Conference on Architectural Support for Programming Languages and Operating Systems. 2020: 35-52.</w:t>
      </w:r>
    </w:p>
    <w:p>
      <w:pPr>
        <w:numPr>
          <w:ilvl w:val="0"/>
          <w:numId w:val="22"/>
        </w:numPr>
        <w:rPr>
          <w:sz w:val="21"/>
          <w:szCs w:val="21"/>
        </w:rPr>
      </w:pPr>
      <w:r>
        <w:rPr>
          <w:rFonts w:hint="eastAsia"/>
          <w:sz w:val="21"/>
          <w:szCs w:val="21"/>
        </w:rPr>
        <w:t>Van Bulck J, Piessens F, Strackx R. Nemesis: Studying microarchitectural timing leaks in rudimentary CPU interrupt logic[C]//Proceedings of the 2018 ACM SIGSAC Conference on Computer and Communications Security. 2018: 178-195.</w:t>
      </w:r>
    </w:p>
    <w:p>
      <w:pPr>
        <w:numPr>
          <w:ilvl w:val="0"/>
          <w:numId w:val="22"/>
        </w:numPr>
        <w:rPr>
          <w:sz w:val="21"/>
          <w:szCs w:val="21"/>
        </w:rPr>
      </w:pPr>
      <w:r>
        <w:rPr>
          <w:rFonts w:hint="eastAsia"/>
          <w:sz w:val="21"/>
          <w:szCs w:val="21"/>
        </w:rPr>
        <w:t>Van Schaik S, Milburn A, Österlund S, et al. RIDL: Rogue in-flight data load[C]//2019 IEEE Symposium on Security and Privacy (SP). IEEE, 2019: 88-105.</w:t>
      </w:r>
    </w:p>
    <w:p>
      <w:pPr>
        <w:numPr>
          <w:ilvl w:val="0"/>
          <w:numId w:val="22"/>
        </w:numPr>
        <w:rPr>
          <w:sz w:val="21"/>
          <w:szCs w:val="21"/>
        </w:rPr>
      </w:pPr>
      <w:r>
        <w:rPr>
          <w:rFonts w:hint="eastAsia"/>
          <w:sz w:val="21"/>
          <w:szCs w:val="21"/>
        </w:rPr>
        <w:t>Baumann A, Peinado M, Hunt G. Shielding applications from an untrusted cloud with Haven[C]//Proceedings of the 11th USENIX conference on Operating Systems Design and Implementation. 2014: 267-283.</w:t>
      </w:r>
    </w:p>
    <w:p>
      <w:pPr>
        <w:numPr>
          <w:ilvl w:val="0"/>
          <w:numId w:val="22"/>
        </w:numPr>
        <w:rPr>
          <w:sz w:val="21"/>
          <w:szCs w:val="21"/>
        </w:rPr>
      </w:pPr>
      <w:r>
        <w:rPr>
          <w:rFonts w:hint="eastAsia"/>
          <w:sz w:val="21"/>
          <w:szCs w:val="21"/>
        </w:rPr>
        <w:t>Tsai C C, Porter D E, Vij M. Graphene-sgx: A practical library {OS} for unmodified applications on {SGX}[C]//2017 {USENIX} Annual Technical Conference ({USENIX}{ATC} 17). 2017: 645-658.</w:t>
      </w:r>
    </w:p>
    <w:p>
      <w:pPr>
        <w:numPr>
          <w:ilvl w:val="0"/>
          <w:numId w:val="22"/>
        </w:numPr>
        <w:rPr>
          <w:sz w:val="21"/>
          <w:szCs w:val="21"/>
        </w:rPr>
      </w:pPr>
      <w:r>
        <w:rPr>
          <w:rFonts w:hint="eastAsia"/>
          <w:sz w:val="21"/>
          <w:szCs w:val="21"/>
        </w:rPr>
        <w:t>Arnautov S, Trach B, Gregor F, et al. {SCONE}: Secure linux containers with intel {SGX}[C]//12th {USENIX} Symposium on Operating Systems Design and Implementation ({OSDI} 16). 2016: 689-703.</w:t>
      </w:r>
    </w:p>
    <w:p>
      <w:pPr>
        <w:numPr>
          <w:ilvl w:val="0"/>
          <w:numId w:val="22"/>
        </w:numPr>
        <w:rPr>
          <w:sz w:val="21"/>
          <w:szCs w:val="21"/>
        </w:rPr>
      </w:pPr>
      <w:r>
        <w:rPr>
          <w:rFonts w:hint="eastAsia"/>
          <w:sz w:val="21"/>
          <w:szCs w:val="21"/>
        </w:rPr>
        <w:t>Hunt T, Zhu Z, Xu Y, et al. Ryoan: A Distributed Sandbox for Untrusted Computation on Secret Data[C]//12th {USENIX} Symposium on Operating Systems Design and Implementation ({OSDI} 16). 2016: 533-549</w:t>
      </w:r>
    </w:p>
    <w:p>
      <w:pPr>
        <w:numPr>
          <w:ilvl w:val="0"/>
          <w:numId w:val="22"/>
        </w:numPr>
        <w:rPr>
          <w:sz w:val="21"/>
          <w:szCs w:val="21"/>
        </w:rPr>
      </w:pPr>
      <w:r>
        <w:rPr>
          <w:rFonts w:hint="eastAsia"/>
          <w:sz w:val="21"/>
          <w:szCs w:val="21"/>
        </w:rPr>
        <w:t>Lind J, Priebe C, Muthukumaran D, et al. Glamdring: Automatic application partitioning for intel {SGX}[C]//2017 {USENIX} Annual Technical Conference ({USENIX}{ATC} 17). 2017: 285-298.</w:t>
      </w:r>
    </w:p>
    <w:p>
      <w:pPr>
        <w:numPr>
          <w:ilvl w:val="0"/>
          <w:numId w:val="22"/>
        </w:numPr>
        <w:rPr>
          <w:sz w:val="21"/>
          <w:szCs w:val="21"/>
        </w:rPr>
      </w:pPr>
      <w:r>
        <w:rPr>
          <w:rFonts w:hint="eastAsia"/>
          <w:sz w:val="21"/>
          <w:szCs w:val="21"/>
        </w:rPr>
        <w:t>Shih M W, Lee S, Kim T, et al. T-SGX: Eradicating Controlled-Channel Attacks Against Enclave Programs[C]//NDSS. 2017.</w:t>
      </w:r>
    </w:p>
    <w:p>
      <w:pPr>
        <w:numPr>
          <w:ilvl w:val="0"/>
          <w:numId w:val="22"/>
        </w:numPr>
        <w:rPr>
          <w:sz w:val="21"/>
          <w:szCs w:val="21"/>
        </w:rPr>
      </w:pPr>
      <w:r>
        <w:rPr>
          <w:rFonts w:hint="eastAsia"/>
          <w:sz w:val="21"/>
          <w:szCs w:val="21"/>
        </w:rPr>
        <w:t>Chen G, Wang W, Chen T, et al. Racing in hyperspace: Closing hyper-threading side channels on sgx with contrived data races[C]//2018 IEEE Symposium on Security and Privacy (SP). IEEE, 2018: 178-194.</w:t>
      </w:r>
    </w:p>
    <w:p>
      <w:pPr>
        <w:numPr>
          <w:ilvl w:val="0"/>
          <w:numId w:val="22"/>
        </w:numPr>
        <w:rPr>
          <w:sz w:val="21"/>
          <w:szCs w:val="21"/>
        </w:rPr>
      </w:pPr>
      <w:r>
        <w:rPr>
          <w:rFonts w:hint="eastAsia"/>
          <w:sz w:val="21"/>
          <w:szCs w:val="21"/>
        </w:rPr>
        <w:t>Ahmad A, Joe B, Xiao Y, et al. OBFUSCURO: A Commodity Obfuscation Engine on Intel SGX[C]//NDSS. 2019.</w:t>
      </w:r>
    </w:p>
    <w:p>
      <w:pPr>
        <w:numPr>
          <w:ilvl w:val="0"/>
          <w:numId w:val="22"/>
        </w:numPr>
        <w:rPr>
          <w:sz w:val="21"/>
          <w:szCs w:val="21"/>
        </w:rPr>
      </w:pPr>
      <w:r>
        <w:rPr>
          <w:rFonts w:hint="eastAsia"/>
          <w:sz w:val="21"/>
          <w:szCs w:val="21"/>
        </w:rPr>
        <w:t>Orenbach M, Lifshits P, Minkin M, et al. Eleos: ExitLess OS services for SGX enclaves[C]//Proceedings of the Twelfth European Conference on Computer Systems. 2017: 238-253.</w:t>
      </w:r>
    </w:p>
    <w:p>
      <w:pPr>
        <w:numPr>
          <w:ilvl w:val="0"/>
          <w:numId w:val="22"/>
        </w:numPr>
        <w:rPr>
          <w:sz w:val="21"/>
          <w:szCs w:val="21"/>
        </w:rPr>
      </w:pPr>
      <w:r>
        <w:rPr>
          <w:rFonts w:hint="eastAsia"/>
          <w:sz w:val="21"/>
          <w:szCs w:val="21"/>
        </w:rPr>
        <w:t>Orenbach M, Michalevsky Y, Fetzer C, et al. CoSMIX: a compiler-based system for secure memory instrumentation and execution in enclaves[C]//2019 {USENIX} Annual Technical Conference ({USENIX}{ATC} 19). 2019: 555-570.</w:t>
      </w:r>
    </w:p>
    <w:p>
      <w:pPr>
        <w:numPr>
          <w:ilvl w:val="0"/>
          <w:numId w:val="22"/>
        </w:numPr>
        <w:rPr>
          <w:sz w:val="21"/>
          <w:szCs w:val="21"/>
        </w:rPr>
      </w:pPr>
      <w:r>
        <w:rPr>
          <w:rFonts w:hint="eastAsia"/>
          <w:sz w:val="21"/>
          <w:szCs w:val="21"/>
        </w:rPr>
        <w:t>Orenbach M, Baumann A, Silberstein M. Autarky: closing controlled channels with self-paging enclaves[C]//Proceedings of the Fifteenth European Conference on Computer Systems. 2020: 1-16.</w:t>
      </w:r>
    </w:p>
    <w:p>
      <w:pPr>
        <w:numPr>
          <w:ilvl w:val="0"/>
          <w:numId w:val="22"/>
        </w:numPr>
        <w:rPr>
          <w:sz w:val="21"/>
          <w:szCs w:val="21"/>
        </w:rPr>
      </w:pPr>
      <w:r>
        <w:rPr>
          <w:rFonts w:hint="eastAsia"/>
          <w:sz w:val="21"/>
          <w:szCs w:val="21"/>
        </w:rPr>
        <w:t>Gruss D, Lettner J, Schuster F, et al. Strong and efficient cache side-channel protection using hardware transactional memory[C]//26th {USENIX} Security Symposium ({USENIX} Security 17). 2017: 217-233.</w:t>
      </w:r>
    </w:p>
    <w:p>
      <w:pPr>
        <w:numPr>
          <w:ilvl w:val="0"/>
          <w:numId w:val="22"/>
        </w:numPr>
        <w:rPr>
          <w:sz w:val="21"/>
          <w:szCs w:val="21"/>
        </w:rPr>
      </w:pPr>
      <w:r>
        <w:rPr>
          <w:rFonts w:hint="eastAsia"/>
          <w:sz w:val="21"/>
          <w:szCs w:val="21"/>
        </w:rPr>
        <w:t>Matetic S, Ahmed M, Kostiainen K, et al. {ROTE}: Rollback protection for trusted execution[C]//26th {USENIX} Security Symposium ({USENIX} Security 17). 2017: 1289-1306.</w:t>
      </w:r>
    </w:p>
    <w:p>
      <w:pPr>
        <w:numPr>
          <w:ilvl w:val="0"/>
          <w:numId w:val="22"/>
        </w:numPr>
        <w:rPr>
          <w:sz w:val="21"/>
          <w:szCs w:val="21"/>
        </w:rPr>
      </w:pPr>
      <w:r>
        <w:rPr>
          <w:rFonts w:hint="eastAsia"/>
          <w:sz w:val="21"/>
          <w:szCs w:val="21"/>
        </w:rPr>
        <w:t>Morris J, Smalley S, Kroah-Hartman G. Linux security modules: General security support for the linux kernel[C]//USENIX Security Symposium. ACM Berkeley, CA, 2002: 17-31.</w:t>
      </w:r>
    </w:p>
    <w:p>
      <w:pPr>
        <w:numPr>
          <w:ilvl w:val="0"/>
          <w:numId w:val="22"/>
        </w:numPr>
        <w:rPr>
          <w:sz w:val="21"/>
          <w:szCs w:val="21"/>
        </w:rPr>
      </w:pPr>
      <w:r>
        <w:rPr>
          <w:rFonts w:hint="eastAsia"/>
          <w:sz w:val="21"/>
          <w:szCs w:val="21"/>
        </w:rPr>
        <w:t>Smalley S, Vance C, Salamon W. Implementing SELinux as a Linux security module[J]. NAI Labs Report, 2001, 1(43): 139.</w:t>
      </w:r>
    </w:p>
    <w:p>
      <w:pPr>
        <w:numPr>
          <w:ilvl w:val="0"/>
          <w:numId w:val="22"/>
        </w:numPr>
        <w:rPr>
          <w:sz w:val="21"/>
          <w:szCs w:val="21"/>
        </w:rPr>
      </w:pPr>
      <w:r>
        <w:rPr>
          <w:rFonts w:hint="eastAsia"/>
          <w:sz w:val="21"/>
          <w:szCs w:val="21"/>
        </w:rPr>
        <w:t>Tian H, Zhang Y, Xing C, et al. Sgxkernel: A library operating system optimized for intel SGX[C]//Proceedings of the Computing Frontiers Conference. 2017: 35-44.</w:t>
      </w:r>
    </w:p>
    <w:p>
      <w:pPr>
        <w:numPr>
          <w:ilvl w:val="0"/>
          <w:numId w:val="22"/>
        </w:numPr>
        <w:rPr>
          <w:sz w:val="21"/>
          <w:szCs w:val="21"/>
        </w:rPr>
      </w:pPr>
      <w:r>
        <w:rPr>
          <w:rFonts w:hint="eastAsia"/>
          <w:sz w:val="21"/>
          <w:szCs w:val="21"/>
        </w:rPr>
        <w:t>Tian H, Zhang Q, Yan S, et al. Switchless calls made practical in intel SGX[C]//Proceedings of the 3rd Workshop on System Software for Trusted Execution. 2018: 22-27.</w:t>
      </w:r>
    </w:p>
    <w:p>
      <w:pPr>
        <w:numPr>
          <w:ilvl w:val="0"/>
          <w:numId w:val="22"/>
        </w:numPr>
        <w:rPr>
          <w:sz w:val="21"/>
          <w:szCs w:val="21"/>
        </w:rPr>
      </w:pPr>
      <w:r>
        <w:rPr>
          <w:rFonts w:hint="eastAsia"/>
          <w:sz w:val="21"/>
          <w:szCs w:val="21"/>
        </w:rPr>
        <w:t xml:space="preserve">Van Bulck J, Piessens F, Strackx R. </w:t>
      </w:r>
      <w:bookmarkStart w:id="1957" w:name="OLE_LINK14"/>
      <w:r>
        <w:rPr>
          <w:rFonts w:hint="eastAsia"/>
          <w:sz w:val="21"/>
          <w:szCs w:val="21"/>
        </w:rPr>
        <w:t>SGX-Step</w:t>
      </w:r>
      <w:bookmarkEnd w:id="1957"/>
      <w:r>
        <w:rPr>
          <w:rFonts w:hint="eastAsia"/>
          <w:sz w:val="21"/>
          <w:szCs w:val="21"/>
        </w:rPr>
        <w:t>: A practical attack framework for precise enclave execution control[C]//Proceedings of the 2nd Workshop on System Software for Trusted Execution. 2017: 1-6.</w:t>
      </w:r>
    </w:p>
    <w:p>
      <w:pPr>
        <w:numPr>
          <w:ilvl w:val="0"/>
          <w:numId w:val="22"/>
        </w:numPr>
        <w:rPr>
          <w:sz w:val="21"/>
          <w:szCs w:val="21"/>
        </w:rPr>
      </w:pPr>
      <w:r>
        <w:rPr>
          <w:rFonts w:hint="eastAsia"/>
          <w:sz w:val="21"/>
          <w:szCs w:val="21"/>
        </w:rPr>
        <w:t>Oleksenko O, Trach B, Krahn R, et al. Varys: Protecting {SGX} enclaves from practical side-channel attacks[C]//2018 {Usenix} Annual Technical Conference ({USENIX}{ATC} 18). 2018: 227-240.</w:t>
      </w:r>
    </w:p>
    <w:p/>
    <w:p>
      <w:pPr>
        <w:sectPr>
          <w:headerReference r:id="rId32" w:type="default"/>
          <w:pgSz w:w="11906" w:h="16838"/>
          <w:pgMar w:top="1440" w:right="1800" w:bottom="1440" w:left="1800" w:header="851" w:footer="850" w:gutter="0"/>
          <w:cols w:space="425" w:num="1"/>
          <w:docGrid w:type="lines" w:linePitch="312" w:charSpace="0"/>
        </w:sectPr>
      </w:pPr>
    </w:p>
    <w:p>
      <w:pPr>
        <w:pStyle w:val="2"/>
      </w:pPr>
      <w:bookmarkStart w:id="1958" w:name="_Toc2735"/>
      <w:bookmarkStart w:id="1959" w:name="_Toc31903"/>
      <w:bookmarkStart w:id="1960" w:name="_Toc3453"/>
      <w:bookmarkStart w:id="1961" w:name="_Toc7387"/>
      <w:bookmarkStart w:id="1962" w:name="_Toc14346"/>
      <w:bookmarkStart w:id="1963" w:name="_Toc305"/>
      <w:bookmarkStart w:id="1964" w:name="_Toc22407"/>
      <w:bookmarkStart w:id="1965" w:name="_Toc10597"/>
      <w:bookmarkStart w:id="1966" w:name="_Toc26154"/>
      <w:bookmarkStart w:id="1967" w:name="_Toc28174"/>
      <w:bookmarkStart w:id="1968" w:name="_Toc23990"/>
      <w:bookmarkStart w:id="1969" w:name="_Toc5004"/>
      <w:bookmarkStart w:id="1970" w:name="_Toc10856"/>
      <w:bookmarkStart w:id="1971" w:name="_Toc25828"/>
      <w:bookmarkStart w:id="1972" w:name="_Toc6930"/>
      <w:bookmarkStart w:id="1973" w:name="_Toc4978"/>
      <w:bookmarkStart w:id="1974" w:name="_Toc6512"/>
      <w:bookmarkStart w:id="1975" w:name="_Toc31037"/>
      <w:bookmarkStart w:id="1976" w:name="_Toc23575"/>
      <w:bookmarkStart w:id="1977" w:name="_Toc20635"/>
      <w:r>
        <w:rPr>
          <w:rFonts w:hint="eastAsia"/>
        </w:rPr>
        <w:t>致　谢</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pPr>
        <w:pStyle w:val="31"/>
        <w:spacing w:line="360" w:lineRule="auto"/>
        <w:ind w:firstLine="480"/>
      </w:pPr>
      <w:r>
        <w:rPr>
          <w:rFonts w:hint="eastAsia"/>
        </w:rPr>
        <w:t>在中科院软件所基础软件实验室的三年硕士研究生生涯即将结束。大量调研经历使我对研究工作有了更深入的理解，研究过程中与他人的沟通合作锻炼了我的表达能力和合作能力，端正了我的科研态度。在此由衷感谢各位老师和同学的帮助。</w:t>
      </w:r>
    </w:p>
    <w:p>
      <w:pPr>
        <w:pStyle w:val="31"/>
        <w:spacing w:line="360" w:lineRule="auto"/>
        <w:ind w:firstLine="480"/>
      </w:pPr>
      <w:r>
        <w:rPr>
          <w:rFonts w:hint="eastAsia"/>
        </w:rPr>
        <w:t>首先非常感谢我的导师马恒太副研究员。马老师在我的科研和生活中提供了许多帮助。他丰富的阅历及严谨的治学风格对我具有很大的启发作用，指引我在科研路上脚踏实地地不断探索前行。对我的毕业设计提出了许多宝贵意见，帮助我改进毕业设计。</w:t>
      </w:r>
    </w:p>
    <w:p>
      <w:pPr>
        <w:pStyle w:val="31"/>
        <w:spacing w:line="360" w:lineRule="auto"/>
        <w:ind w:firstLine="480"/>
      </w:pPr>
      <w:r>
        <w:rPr>
          <w:rFonts w:hint="eastAsia"/>
        </w:rPr>
        <w:t>非常感谢周启明老师</w:t>
      </w:r>
      <w:r>
        <w:t>的悉心指导</w:t>
      </w:r>
      <w:r>
        <w:rPr>
          <w:rFonts w:hint="eastAsia"/>
        </w:rPr>
        <w:t>。周老师也极大地助力我的科研和生活。在我的科研方向和科研历程上提供了全面帮助。在毕业设计期间帮助我研究分析课题的框架和细节，在工程实践上提供积极的指导，不断帮助我完善论文。</w:t>
      </w:r>
    </w:p>
    <w:p>
      <w:pPr>
        <w:ind w:firstLine="480" w:firstLineChars="200"/>
      </w:pPr>
      <w:r>
        <w:rPr>
          <w:rFonts w:hint="eastAsia"/>
        </w:rPr>
        <w:t>感谢研究员贺也平老师。他教会我如何研究一门学问，如何在科研道路上发现问题并解决问题。他还经常指出我所陷入的思维困境，帮助我脱离困境继续研究。</w:t>
      </w:r>
    </w:p>
    <w:p>
      <w:pPr>
        <w:ind w:firstLine="480" w:firstLineChars="200"/>
      </w:pPr>
      <w:r>
        <w:rPr>
          <w:rFonts w:hint="eastAsia"/>
        </w:rPr>
        <w:t>感谢实验室的其他老师。他们对我的毕业设计提出了许多建设性的意见，帮助我更好地完成毕业设计。</w:t>
      </w:r>
    </w:p>
    <w:p>
      <w:pPr>
        <w:ind w:firstLine="480" w:firstLineChars="200"/>
      </w:pPr>
      <w:r>
        <w:rPr>
          <w:rFonts w:hint="eastAsia"/>
        </w:rPr>
        <w:t>感谢吴晓慧学姐、林少峰学长和霍天霖学长。他们帮助我不断推敲研究课题，让研究课题更具意义。与我不断讨论实现细节，确定下一步实施计划。</w:t>
      </w:r>
    </w:p>
    <w:p>
      <w:pPr>
        <w:ind w:firstLine="480" w:firstLineChars="200"/>
      </w:pPr>
      <w:r>
        <w:rPr>
          <w:rFonts w:hint="eastAsia"/>
        </w:rPr>
        <w:t>感谢丁羽。他对Intel SGX及其它安全相关领域都有长足的研究，并且不厌其烦地教会我许多关于SGX的细节知识，帮助我确认工程实践中的许多实现细节。</w:t>
      </w:r>
    </w:p>
    <w:p>
      <w:pPr>
        <w:ind w:firstLine="480" w:firstLineChars="200"/>
      </w:pPr>
      <w:r>
        <w:rPr>
          <w:rFonts w:hint="eastAsia"/>
        </w:rPr>
        <w:t>感谢家人和朋友的支持。他们在我硕士期间遇到各类学术及生活问题时悉心地照顾我，帮助我缓解心理压力并摆脱困境，替我解决了许多烦恼。</w:t>
      </w:r>
    </w:p>
    <w:p>
      <w:pPr>
        <w:ind w:firstLine="480" w:firstLineChars="200"/>
      </w:pPr>
      <w:r>
        <w:rPr>
          <w:rFonts w:hint="eastAsia"/>
        </w:rPr>
        <w:t>最后感谢参与论文评审答辩工作的各位老师，您辛苦了！</w:t>
      </w:r>
    </w:p>
    <w:p>
      <w:r>
        <w:br w:type="page"/>
      </w:r>
    </w:p>
    <w:p/>
    <w:p>
      <w:pPr>
        <w:sectPr>
          <w:headerReference r:id="rId33" w:type="default"/>
          <w:pgSz w:w="11906" w:h="16838"/>
          <w:pgMar w:top="1440" w:right="1800" w:bottom="1440" w:left="1800" w:header="851" w:footer="850" w:gutter="0"/>
          <w:cols w:space="425" w:num="1"/>
          <w:docGrid w:type="lines" w:linePitch="312" w:charSpace="0"/>
        </w:sectPr>
      </w:pPr>
    </w:p>
    <w:p>
      <w:pPr>
        <w:pStyle w:val="2"/>
      </w:pPr>
      <w:bookmarkStart w:id="1978" w:name="_Toc5212"/>
      <w:bookmarkStart w:id="1979" w:name="_Toc27320"/>
      <w:bookmarkStart w:id="1980" w:name="_Toc8015"/>
      <w:bookmarkStart w:id="1981" w:name="_Toc18001"/>
      <w:bookmarkStart w:id="1982" w:name="_Toc18837"/>
      <w:bookmarkStart w:id="1983" w:name="_Toc6634"/>
      <w:bookmarkStart w:id="1984" w:name="_Toc13138"/>
      <w:bookmarkStart w:id="1985" w:name="_Toc13510"/>
      <w:bookmarkStart w:id="1986" w:name="_Toc12081"/>
      <w:bookmarkStart w:id="1987" w:name="_Toc2367"/>
      <w:bookmarkStart w:id="1988" w:name="_Toc25313"/>
      <w:bookmarkStart w:id="1989" w:name="_Toc32359"/>
      <w:bookmarkStart w:id="1990" w:name="_Toc25557"/>
      <w:bookmarkStart w:id="1991" w:name="_Toc18634"/>
      <w:bookmarkStart w:id="1992" w:name="_Toc3838"/>
      <w:bookmarkStart w:id="1993" w:name="_Toc14631"/>
      <w:bookmarkStart w:id="1994" w:name="_Toc25778"/>
      <w:bookmarkStart w:id="1995" w:name="_Toc19468"/>
      <w:bookmarkStart w:id="1996" w:name="_Toc11224"/>
      <w:r>
        <w:rPr>
          <w:rFonts w:hint="eastAsia"/>
        </w:rPr>
        <w:t>作者简历及</w:t>
      </w:r>
      <w:r>
        <w:t>攻读学位期间发表的学术论文与研究成果</w:t>
      </w:r>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p>
    <w:p>
      <w:pPr>
        <w:rPr>
          <w:b/>
          <w:bCs/>
        </w:rPr>
      </w:pPr>
      <w:r>
        <w:rPr>
          <w:rFonts w:hint="eastAsia"/>
          <w:b/>
          <w:bCs/>
        </w:rPr>
        <w:t>作者简历</w:t>
      </w:r>
    </w:p>
    <w:p>
      <w:pPr>
        <w:ind w:firstLine="480" w:firstLineChars="200"/>
      </w:pPr>
      <w:r>
        <w:t>201</w:t>
      </w:r>
      <w:r>
        <w:rPr>
          <w:rFonts w:hint="eastAsia"/>
        </w:rPr>
        <w:t>4</w:t>
      </w:r>
      <w:r>
        <w:t>年9月</w:t>
      </w:r>
      <w:r>
        <w:rPr>
          <w:bCs/>
        </w:rPr>
        <w:t>——</w:t>
      </w:r>
      <w:r>
        <w:t>201</w:t>
      </w:r>
      <w:r>
        <w:rPr>
          <w:rFonts w:hint="eastAsia"/>
        </w:rPr>
        <w:t>8</w:t>
      </w:r>
      <w:r>
        <w:t>年</w:t>
      </w:r>
      <w:r>
        <w:rPr>
          <w:rFonts w:hint="eastAsia"/>
        </w:rPr>
        <w:t>7</w:t>
      </w:r>
      <w:r>
        <w:t>月，在</w:t>
      </w:r>
      <w:r>
        <w:rPr>
          <w:rFonts w:hint="eastAsia"/>
        </w:rPr>
        <w:t>北京交通大学计算机与信息技术学院</w:t>
      </w:r>
      <w:r>
        <w:t>获得学士学位。</w:t>
      </w:r>
    </w:p>
    <w:p>
      <w:pPr>
        <w:ind w:firstLine="480" w:firstLineChars="200"/>
      </w:pPr>
      <w:r>
        <w:t>201</w:t>
      </w:r>
      <w:r>
        <w:rPr>
          <w:rFonts w:hint="eastAsia"/>
        </w:rPr>
        <w:t>8</w:t>
      </w:r>
      <w:r>
        <w:t>年9月</w:t>
      </w:r>
      <w:r>
        <w:rPr>
          <w:bCs/>
        </w:rPr>
        <w:t>——</w:t>
      </w:r>
      <w:r>
        <w:t>202</w:t>
      </w:r>
      <w:r>
        <w:rPr>
          <w:rFonts w:hint="eastAsia"/>
        </w:rPr>
        <w:t>1</w:t>
      </w:r>
      <w:r>
        <w:t>年7月，在中国科学院大学软件研究所攻读硕士学位。</w:t>
      </w:r>
    </w:p>
    <w:p/>
    <w:p>
      <w:r>
        <w:rPr>
          <w:rFonts w:hint="eastAsia"/>
          <w:b/>
          <w:bCs/>
        </w:rPr>
        <w:t>已发表的学术论文</w:t>
      </w:r>
    </w:p>
    <w:p>
      <w:pPr>
        <w:numPr>
          <w:ilvl w:val="0"/>
          <w:numId w:val="23"/>
        </w:numPr>
      </w:pPr>
      <w:r>
        <w:rPr>
          <w:rFonts w:hint="eastAsia"/>
        </w:rPr>
        <w:t>Xiaohui W, Yeping H, Qiming Z, Hengtai M, Liang H, Wenhao W, Liheng C</w:t>
      </w:r>
      <w:r>
        <w:t>. Partial-SMT: Core-scheduling Protection Against SMT Contention-based Attacks[C]//2020 IEEE 19th International Conference on Trust, Security and Privacy in Computing and Communications (TrustCom). IEEE, 2020: 378-385.</w:t>
      </w:r>
    </w:p>
    <w:p/>
    <w:p>
      <w:pPr>
        <w:rPr>
          <w:b/>
          <w:bCs/>
        </w:rPr>
      </w:pPr>
      <w:r>
        <w:rPr>
          <w:rFonts w:hint="eastAsia"/>
          <w:b/>
          <w:bCs/>
        </w:rPr>
        <w:t>参加的研究项目</w:t>
      </w:r>
    </w:p>
    <w:p>
      <w:pPr>
        <w:numPr>
          <w:ilvl w:val="0"/>
          <w:numId w:val="24"/>
        </w:numPr>
        <w:ind w:left="845"/>
      </w:pPr>
      <w:r>
        <w:rPr>
          <w:rFonts w:hint="eastAsia"/>
        </w:rPr>
        <w:t>核高基课题：“开源操作系统内核分析和安全评估”（项目编号：2012ZX01039-004）</w:t>
      </w:r>
    </w:p>
    <w:p>
      <w:pPr>
        <w:numPr>
          <w:ilvl w:val="0"/>
          <w:numId w:val="24"/>
        </w:numPr>
        <w:ind w:left="845"/>
      </w:pPr>
      <w:r>
        <w:rPr>
          <w:rFonts w:hint="eastAsia"/>
        </w:rPr>
        <w:t>中科院先导A课题：“关键软硬件系统安全性分析评估核心技术研发及验证”（项目编号：XDA-Y01-01）</w:t>
      </w:r>
    </w:p>
    <w:p/>
    <w:p>
      <w:r>
        <w:rPr>
          <w:rFonts w:hint="eastAsia"/>
        </w:rPr>
        <w:br w:type="page"/>
      </w:r>
    </w:p>
    <w:sectPr>
      <w:headerReference r:id="rId34" w:type="default"/>
      <w:pgSz w:w="11906" w:h="16838"/>
      <w:pgMar w:top="1440" w:right="1800" w:bottom="1440" w:left="1800" w:header="851" w:footer="850" w:gutter="0"/>
      <w:cols w:space="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mc:AlternateContent>
        <mc:Choice Requires="wps">
          <w:drawing>
            <wp:anchor distT="0" distB="0" distL="0" distR="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9" name="文本框 38"/>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vert="horz" wrap="none" lIns="0" tIns="0" rIns="0" bIns="0" anchor="t">
                      <a:spAutoFit/>
                    </wps:bodyPr>
                  </wps:wsp>
                </a:graphicData>
              </a:graphic>
            </wp:anchor>
          </w:drawing>
        </mc:Choice>
        <mc:Fallback>
          <w:pict>
            <v:rect id="文本框 38" o:spid="_x0000_s1026" o:spt="1"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l1uVLQAAAABQEAAA8AAAAAAAAAAQAgAAAAIgAAAGRycy9kb3ducmV2&#10;LnhtbFBLAQIUABQAAAAIAIdO4kCSa2MRywEAAJMDAAAOAAAAAAAAAAEAIAAAAB8BAABkcnMvZTJv&#10;RG9jLnhtbFBLBQYAAAAABgAGAFkBAABcBQAAAAA=&#10;">
              <v:fill on="f" focussize="0,0"/>
              <v:stroke on="f"/>
              <v:imagedata o:title=""/>
              <o:lock v:ext="edit" aspectratio="f"/>
              <v:textbox inset="0mm,0mm,0mm,0mm" style="mso-fit-shape-to-text:t;">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mc:AlternateContent>
        <mc:Choice Requires="wps">
          <w:drawing>
            <wp:anchor distT="0" distB="0" distL="0" distR="0" simplePos="0" relativeHeight="25166438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102" name="文本框 3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vert="horz" wrap="none" lIns="0" tIns="0" rIns="0" bIns="0" anchor="t">
                      <a:spAutoFit/>
                    </wps:bodyPr>
                  </wps:wsp>
                </a:graphicData>
              </a:graphic>
            </wp:anchor>
          </w:drawing>
        </mc:Choice>
        <mc:Fallback>
          <w:pict>
            <v:rect id="文本框 39" o:spid="_x0000_s1026" o:spt="1" style="position:absolute;left:0pt;margin-top:0pt;height:144pt;width:144pt;mso-position-horizontal:outside;mso-position-horizontal-relative:margin;mso-wrap-style:none;z-index:25166438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NTvW9nKAQAAkwMAAA4AAAAAAAAAAQAgAAAAHwEAAGRycy9lMm9E&#10;b2MueG1sUEsFBgAAAAAGAAYAWQEAAFsFAAAAAA==&#10;">
              <v:fill on="f" focussize="0,0"/>
              <v:stroke on="f"/>
              <v:imagedata o:title=""/>
              <o:lock v:ext="edit" aspectratio="f"/>
              <v:textbox inset="0mm,0mm,0mm,0mm" style="mso-fit-shape-to-text:t;">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mc:AlternateContent>
        <mc:Choice Requires="wps">
          <w:drawing>
            <wp:anchor distT="0" distB="0" distL="0" distR="0" simplePos="0" relativeHeight="251663360" behindDoc="0" locked="0" layoutInCell="1" allowOverlap="1">
              <wp:simplePos x="0" y="0"/>
              <wp:positionH relativeFrom="margin">
                <wp:align>outside</wp:align>
              </wp:positionH>
              <wp:positionV relativeFrom="paragraph">
                <wp:posOffset>0</wp:posOffset>
              </wp:positionV>
              <wp:extent cx="1828800" cy="1828800"/>
              <wp:effectExtent l="0" t="0" r="0" b="0"/>
              <wp:wrapNone/>
              <wp:docPr id="4101" name="文本框 40"/>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vert="horz" wrap="none" lIns="0" tIns="0" rIns="0" bIns="0" anchor="t">
                      <a:spAutoFit/>
                    </wps:bodyPr>
                  </wps:wsp>
                </a:graphicData>
              </a:graphic>
            </wp:anchor>
          </w:drawing>
        </mc:Choice>
        <mc:Fallback>
          <w:pict>
            <v:rect id="文本框 40" o:spid="_x0000_s1026" o:spt="1" style="position:absolute;left:0pt;margin-top:0pt;height:144pt;width:144pt;mso-position-horizontal:outside;mso-position-horizontal-relative:margin;mso-wrap-style:none;z-index:251663360;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Lg30+vKAQAAkwMAAA4AAAAAAAAAAQAgAAAAHwEAAGRycy9lMm9E&#10;b2MueG1sUEsFBgAAAAAGAAYAWQEAAFsFAAAAAA==&#10;">
              <v:fill on="f" focussize="0,0"/>
              <v:stroke on="f"/>
              <v:imagedata o:title=""/>
              <o:lock v:ext="edit" aspectratio="f"/>
              <v:textbox inset="0mm,0mm,0mm,0mm" style="mso-fit-shape-to-text:t;">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mc:AlternateContent>
        <mc:Choice Requires="wps">
          <w:drawing>
            <wp:anchor distT="0" distB="0" distL="0" distR="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8" name="文本框 1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7</w:t>
                          </w:r>
                          <w:r>
                            <w:rPr>
                              <w:rFonts w:hint="eastAsia"/>
                            </w:rPr>
                            <w:fldChar w:fldCharType="end"/>
                          </w:r>
                        </w:p>
                      </w:txbxContent>
                    </wps:txbx>
                    <wps:bodyPr vert="horz" wrap="none" lIns="0" tIns="0" rIns="0" bIns="0" anchor="t">
                      <a:spAutoFit/>
                    </wps:bodyPr>
                  </wps:wsp>
                </a:graphicData>
              </a:graphic>
            </wp:anchor>
          </w:drawing>
        </mc:Choice>
        <mc:Fallback>
          <w:pict>
            <v:rect id="文本框 19" o:spid="_x0000_s1026" o:spt="1"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EgvN1zKAQAAkwMAAA4AAAAAAAAAAQAgAAAAHwEAAGRycy9lMm9E&#10;b2MueG1sUEsFBgAAAAAGAAYAWQEAAFsFAAAAAA==&#10;">
              <v:fill on="f" focussize="0,0"/>
              <v:stroke on="f"/>
              <v:imagedata o:title=""/>
              <o:lock v:ext="edit" aspectratio="f"/>
              <v:textbox inset="0mm,0mm,0mm,0mm" style="mso-fit-shape-to-text:t;">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7</w:t>
                    </w:r>
                    <w:r>
                      <w:rPr>
                        <w:rFonts w:hint="eastAsia"/>
                      </w:rPr>
                      <w:fldChar w:fldCharType="end"/>
                    </w: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7" name="文本框 37"/>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vert="horz" wrap="none" lIns="0" tIns="0" rIns="0" bIns="0" anchor="t">
                      <a:spAutoFit/>
                    </wps:bodyPr>
                  </wps:wsp>
                </a:graphicData>
              </a:graphic>
            </wp:anchor>
          </w:drawing>
        </mc:Choice>
        <mc:Fallback>
          <w:pict>
            <v:rect id="文本框 37"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5dblS0AAAAAUBAAAPAAAAAAAAAAEAIAAAACIAAABkcnMvZG93bnJl&#10;di54bWxQSwECFAAUAAAACACHTuJAyhL1qMwBAACTAwAADgAAAAAAAAABACAAAAAfAQAAZHJzL2Uy&#10;b0RvYy54bWxQSwUGAAAAAAYABgBZAQAAXQUAAAAA&#10;">
              <v:fill on="f" focussize="0,0"/>
              <v:stroke on="f"/>
              <v:imagedata o:title=""/>
              <o:lock v:ext="edit" aspectratio="f"/>
              <v:textbox inset="0mm,0mm,0mm,0mm" style="mso-fit-shape-to-text:t;">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mc:AlternateContent>
        <mc:Choice Requires="wps">
          <w:drawing>
            <wp:anchor distT="0" distB="0" distL="0" distR="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0" name="文本框 36"/>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vert="horz" wrap="none" lIns="0" tIns="0" rIns="0" bIns="0" anchor="t">
                      <a:spAutoFit/>
                    </wps:bodyPr>
                  </wps:wsp>
                </a:graphicData>
              </a:graphic>
            </wp:anchor>
          </w:drawing>
        </mc:Choice>
        <mc:Fallback>
          <w:pict>
            <v:rect id="文本框 36" o:spid="_x0000_s1026" o:spt="1"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dblS0AAAAAUBAAAPAAAAAAAAAAEAIAAAACIAAABkcnMvZG93bnJldi54&#10;bWxQSwECFAAUAAAACACHTuJA70v+W8kBAACTAwAADgAAAAAAAAABACAAAAAfAQAAZHJzL2Uyb0Rv&#10;Yy54bWxQSwUGAAAAAAYABgBZAQAAWgUAAAAA&#10;">
              <v:fill on="f" focussize="0,0"/>
              <v:stroke on="f"/>
              <v:imagedata o:title=""/>
              <o:lock v:ext="edit" aspectratio="f"/>
              <v:textbox inset="0mm,0mm,0mm,0mm" style="mso-fit-shape-to-text:t;">
                <w:txbxContent>
                  <w:p>
                    <w:pPr>
                      <w:pStyle w:val="11"/>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t>第一章</w:t>
    </w:r>
    <w:r>
      <w:rPr>
        <w:rFonts w:hint="eastAsia"/>
      </w:rPr>
      <w:t>　</w:t>
    </w:r>
    <w:r>
      <w:t>引言</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第二章　</w:t>
    </w:r>
    <w:r>
      <w:t>国内外相关研究</w:t>
    </w:r>
    <w:r>
      <w:rPr>
        <w:rFonts w:hint="eastAsia"/>
      </w:rPr>
      <w:t>现状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第三章　Intel SGX关键执行路径及安全关键点分析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第四章　针对Intel SGX SDK的安全增强框架设计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rPr>
        <w:rFonts w:hint="eastAsia" w:eastAsia="宋体"/>
        <w:lang w:eastAsia="zh-CN"/>
      </w:rPr>
    </w:pPr>
    <w:r>
      <w:rPr>
        <w:rFonts w:hint="eastAsia"/>
      </w:rPr>
      <w:t>第五章　针对Intel SGX SDK的安全增强框架</w:t>
    </w:r>
    <w:r>
      <w:rPr>
        <w:rFonts w:hint="eastAsia"/>
        <w:lang w:val="en-US" w:eastAsia="zh-CN"/>
      </w:rPr>
      <w:t>验证</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第六章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致　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作者简历及攻读学位期间发表的学术论文与研究成果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ind w:firstLine="360"/>
    </w:pPr>
    <w:r>
      <w:rPr>
        <w:rFonts w:hint="eastAsia"/>
      </w:rPr>
      <w:t>针对Intel SGX SDK的安全增强框架技术研究与实现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目　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图目录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表目录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5BDFD1"/>
    <w:multiLevelType w:val="singleLevel"/>
    <w:tmpl w:val="865BDFD1"/>
    <w:lvl w:ilvl="0" w:tentative="0">
      <w:start w:val="1"/>
      <w:numFmt w:val="decimal"/>
      <w:lvlText w:val="%1."/>
      <w:lvlJc w:val="left"/>
      <w:pPr>
        <w:tabs>
          <w:tab w:val="left" w:pos="0"/>
        </w:tabs>
        <w:ind w:left="425" w:hanging="425"/>
      </w:pPr>
      <w:rPr>
        <w:rFonts w:hint="default"/>
      </w:rPr>
    </w:lvl>
  </w:abstractNum>
  <w:abstractNum w:abstractNumId="1">
    <w:nsid w:val="8C0E023B"/>
    <w:multiLevelType w:val="singleLevel"/>
    <w:tmpl w:val="8C0E023B"/>
    <w:lvl w:ilvl="0" w:tentative="0">
      <w:start w:val="1"/>
      <w:numFmt w:val="decimal"/>
      <w:lvlText w:val="%1."/>
      <w:lvlJc w:val="left"/>
      <w:pPr>
        <w:ind w:left="425" w:hanging="425"/>
      </w:pPr>
      <w:rPr>
        <w:rFonts w:hint="default"/>
      </w:rPr>
    </w:lvl>
  </w:abstractNum>
  <w:abstractNum w:abstractNumId="2">
    <w:nsid w:val="AB82705F"/>
    <w:multiLevelType w:val="singleLevel"/>
    <w:tmpl w:val="AB82705F"/>
    <w:lvl w:ilvl="0" w:tentative="0">
      <w:start w:val="1"/>
      <w:numFmt w:val="decimal"/>
      <w:lvlText w:val="%1."/>
      <w:lvlJc w:val="left"/>
      <w:pPr>
        <w:ind w:left="425" w:hanging="425"/>
      </w:pPr>
      <w:rPr>
        <w:rFonts w:hint="default"/>
      </w:rPr>
    </w:lvl>
  </w:abstractNum>
  <w:abstractNum w:abstractNumId="3">
    <w:nsid w:val="B1BD5875"/>
    <w:multiLevelType w:val="singleLevel"/>
    <w:tmpl w:val="B1BD5875"/>
    <w:lvl w:ilvl="0" w:tentative="0">
      <w:start w:val="1"/>
      <w:numFmt w:val="decimal"/>
      <w:lvlText w:val="%1."/>
      <w:lvlJc w:val="left"/>
      <w:pPr>
        <w:ind w:left="425" w:hanging="425"/>
      </w:pPr>
      <w:rPr>
        <w:rFonts w:hint="default"/>
      </w:rPr>
    </w:lvl>
  </w:abstractNum>
  <w:abstractNum w:abstractNumId="4">
    <w:nsid w:val="BBA7F653"/>
    <w:multiLevelType w:val="singleLevel"/>
    <w:tmpl w:val="BBA7F653"/>
    <w:lvl w:ilvl="0" w:tentative="0">
      <w:start w:val="1"/>
      <w:numFmt w:val="decimal"/>
      <w:lvlText w:val="%1."/>
      <w:lvlJc w:val="left"/>
      <w:pPr>
        <w:ind w:left="425" w:hanging="425"/>
      </w:pPr>
      <w:rPr>
        <w:rFonts w:hint="default"/>
      </w:rPr>
    </w:lvl>
  </w:abstractNum>
  <w:abstractNum w:abstractNumId="5">
    <w:nsid w:val="C0BD2552"/>
    <w:multiLevelType w:val="singleLevel"/>
    <w:tmpl w:val="C0BD2552"/>
    <w:lvl w:ilvl="0" w:tentative="0">
      <w:start w:val="1"/>
      <w:numFmt w:val="decimal"/>
      <w:lvlText w:val="%1."/>
      <w:lvlJc w:val="left"/>
      <w:pPr>
        <w:tabs>
          <w:tab w:val="left" w:pos="420"/>
        </w:tabs>
        <w:ind w:left="845" w:hanging="425"/>
      </w:pPr>
      <w:rPr>
        <w:rFonts w:hint="default"/>
      </w:rPr>
    </w:lvl>
  </w:abstractNum>
  <w:abstractNum w:abstractNumId="6">
    <w:nsid w:val="E03F5520"/>
    <w:multiLevelType w:val="singleLevel"/>
    <w:tmpl w:val="E03F5520"/>
    <w:lvl w:ilvl="0" w:tentative="0">
      <w:start w:val="1"/>
      <w:numFmt w:val="decimal"/>
      <w:lvlText w:val="%1."/>
      <w:lvlJc w:val="left"/>
      <w:pPr>
        <w:ind w:left="425" w:hanging="425"/>
      </w:pPr>
      <w:rPr>
        <w:rFonts w:hint="default"/>
      </w:rPr>
    </w:lvl>
  </w:abstractNum>
  <w:abstractNum w:abstractNumId="7">
    <w:nsid w:val="EC4BFEAA"/>
    <w:multiLevelType w:val="singleLevel"/>
    <w:tmpl w:val="EC4BFEAA"/>
    <w:lvl w:ilvl="0" w:tentative="0">
      <w:start w:val="1"/>
      <w:numFmt w:val="decimal"/>
      <w:lvlText w:val="%1."/>
      <w:lvlJc w:val="left"/>
      <w:pPr>
        <w:tabs>
          <w:tab w:val="left" w:pos="420"/>
        </w:tabs>
        <w:ind w:left="845" w:hanging="425"/>
      </w:pPr>
      <w:rPr>
        <w:rFonts w:hint="default"/>
      </w:rPr>
    </w:lvl>
  </w:abstractNum>
  <w:abstractNum w:abstractNumId="8">
    <w:nsid w:val="00000001"/>
    <w:multiLevelType w:val="singleLevel"/>
    <w:tmpl w:val="00000001"/>
    <w:lvl w:ilvl="0" w:tentative="0">
      <w:start w:val="1"/>
      <w:numFmt w:val="decimal"/>
      <w:lvlText w:val="%1."/>
      <w:lvlJc w:val="left"/>
      <w:pPr>
        <w:ind w:left="425" w:hanging="425"/>
      </w:pPr>
      <w:rPr>
        <w:rFonts w:hint="default"/>
      </w:rPr>
    </w:lvl>
  </w:abstractNum>
  <w:abstractNum w:abstractNumId="9">
    <w:nsid w:val="00000002"/>
    <w:multiLevelType w:val="singleLevel"/>
    <w:tmpl w:val="00000002"/>
    <w:lvl w:ilvl="0" w:tentative="0">
      <w:start w:val="1"/>
      <w:numFmt w:val="decimal"/>
      <w:lvlText w:val="%1."/>
      <w:lvlJc w:val="left"/>
      <w:pPr>
        <w:ind w:left="425" w:hanging="425"/>
      </w:pPr>
      <w:rPr>
        <w:rFonts w:hint="default"/>
      </w:rPr>
    </w:lvl>
  </w:abstractNum>
  <w:abstractNum w:abstractNumId="10">
    <w:nsid w:val="00000003"/>
    <w:multiLevelType w:val="singleLevel"/>
    <w:tmpl w:val="00000003"/>
    <w:lvl w:ilvl="0" w:tentative="0">
      <w:start w:val="1"/>
      <w:numFmt w:val="decimal"/>
      <w:lvlText w:val="%1."/>
      <w:lvlJc w:val="left"/>
      <w:pPr>
        <w:tabs>
          <w:tab w:val="left" w:pos="420"/>
        </w:tabs>
        <w:ind w:left="845" w:hanging="425"/>
      </w:pPr>
      <w:rPr>
        <w:rFonts w:hint="default"/>
      </w:rPr>
    </w:lvl>
  </w:abstractNum>
  <w:abstractNum w:abstractNumId="11">
    <w:nsid w:val="00000004"/>
    <w:multiLevelType w:val="singleLevel"/>
    <w:tmpl w:val="00000004"/>
    <w:lvl w:ilvl="0" w:tentative="0">
      <w:start w:val="1"/>
      <w:numFmt w:val="decimal"/>
      <w:lvlText w:val="%1."/>
      <w:lvlJc w:val="left"/>
      <w:pPr>
        <w:ind w:left="425" w:hanging="425"/>
      </w:pPr>
      <w:rPr>
        <w:rFonts w:hint="default"/>
      </w:rPr>
    </w:lvl>
  </w:abstractNum>
  <w:abstractNum w:abstractNumId="12">
    <w:nsid w:val="00000007"/>
    <w:multiLevelType w:val="singleLevel"/>
    <w:tmpl w:val="00000007"/>
    <w:lvl w:ilvl="0" w:tentative="0">
      <w:start w:val="1"/>
      <w:numFmt w:val="decimal"/>
      <w:lvlText w:val="%1."/>
      <w:lvlJc w:val="left"/>
      <w:pPr>
        <w:ind w:left="425" w:hanging="425"/>
      </w:pPr>
      <w:rPr>
        <w:rFonts w:hint="default"/>
      </w:rPr>
    </w:lvl>
  </w:abstractNum>
  <w:abstractNum w:abstractNumId="13">
    <w:nsid w:val="0000000B"/>
    <w:multiLevelType w:val="multilevel"/>
    <w:tmpl w:val="0000000B"/>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4">
    <w:nsid w:val="0000000D"/>
    <w:multiLevelType w:val="singleLevel"/>
    <w:tmpl w:val="0000000D"/>
    <w:lvl w:ilvl="0" w:tentative="0">
      <w:start w:val="1"/>
      <w:numFmt w:val="decimal"/>
      <w:lvlText w:val="[%1]"/>
      <w:lvlJc w:val="left"/>
      <w:pPr>
        <w:tabs>
          <w:tab w:val="left" w:pos="420"/>
        </w:tabs>
        <w:ind w:left="425" w:hanging="425"/>
      </w:pPr>
      <w:rPr>
        <w:rFonts w:hint="default"/>
      </w:rPr>
    </w:lvl>
  </w:abstractNum>
  <w:abstractNum w:abstractNumId="15">
    <w:nsid w:val="0000000F"/>
    <w:multiLevelType w:val="multilevel"/>
    <w:tmpl w:val="0000000F"/>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6">
    <w:nsid w:val="00000011"/>
    <w:multiLevelType w:val="singleLevel"/>
    <w:tmpl w:val="00000011"/>
    <w:lvl w:ilvl="0" w:tentative="0">
      <w:start w:val="1"/>
      <w:numFmt w:val="decimal"/>
      <w:lvlText w:val="%1."/>
      <w:lvlJc w:val="left"/>
      <w:pPr>
        <w:ind w:left="425" w:hanging="425"/>
      </w:pPr>
      <w:rPr>
        <w:rFonts w:hint="default"/>
      </w:rPr>
    </w:lvl>
  </w:abstractNum>
  <w:abstractNum w:abstractNumId="17">
    <w:nsid w:val="00A74D9F"/>
    <w:multiLevelType w:val="singleLevel"/>
    <w:tmpl w:val="00A74D9F"/>
    <w:lvl w:ilvl="0" w:tentative="0">
      <w:start w:val="1"/>
      <w:numFmt w:val="decimal"/>
      <w:lvlText w:val="%1."/>
      <w:lvlJc w:val="left"/>
      <w:pPr>
        <w:tabs>
          <w:tab w:val="left" w:pos="420"/>
        </w:tabs>
        <w:ind w:left="845" w:hanging="425"/>
      </w:pPr>
      <w:rPr>
        <w:rFonts w:hint="default"/>
      </w:rPr>
    </w:lvl>
  </w:abstractNum>
  <w:abstractNum w:abstractNumId="18">
    <w:nsid w:val="0D95EAE5"/>
    <w:multiLevelType w:val="singleLevel"/>
    <w:tmpl w:val="0D95EAE5"/>
    <w:lvl w:ilvl="0" w:tentative="0">
      <w:start w:val="1"/>
      <w:numFmt w:val="decimal"/>
      <w:lvlText w:val="%1."/>
      <w:lvlJc w:val="left"/>
      <w:pPr>
        <w:tabs>
          <w:tab w:val="left" w:pos="420"/>
        </w:tabs>
        <w:ind w:left="845" w:hanging="425"/>
      </w:pPr>
      <w:rPr>
        <w:rFonts w:hint="default"/>
      </w:rPr>
    </w:lvl>
  </w:abstractNum>
  <w:abstractNum w:abstractNumId="19">
    <w:nsid w:val="10CB6E9A"/>
    <w:multiLevelType w:val="singleLevel"/>
    <w:tmpl w:val="10CB6E9A"/>
    <w:lvl w:ilvl="0" w:tentative="0">
      <w:start w:val="1"/>
      <w:numFmt w:val="decimal"/>
      <w:lvlText w:val="%1."/>
      <w:lvlJc w:val="left"/>
      <w:pPr>
        <w:tabs>
          <w:tab w:val="left" w:pos="420"/>
        </w:tabs>
        <w:ind w:left="845" w:hanging="425"/>
      </w:pPr>
      <w:rPr>
        <w:rFonts w:hint="default"/>
      </w:rPr>
    </w:lvl>
  </w:abstractNum>
  <w:abstractNum w:abstractNumId="20">
    <w:nsid w:val="11362D99"/>
    <w:multiLevelType w:val="singleLevel"/>
    <w:tmpl w:val="11362D99"/>
    <w:lvl w:ilvl="0" w:tentative="0">
      <w:start w:val="1"/>
      <w:numFmt w:val="decimal"/>
      <w:lvlText w:val="%1."/>
      <w:lvlJc w:val="left"/>
      <w:pPr>
        <w:tabs>
          <w:tab w:val="left" w:pos="420"/>
        </w:tabs>
        <w:ind w:left="845" w:hanging="425"/>
      </w:pPr>
      <w:rPr>
        <w:rFonts w:hint="default"/>
      </w:rPr>
    </w:lvl>
  </w:abstractNum>
  <w:abstractNum w:abstractNumId="21">
    <w:nsid w:val="494D6F75"/>
    <w:multiLevelType w:val="singleLevel"/>
    <w:tmpl w:val="494D6F75"/>
    <w:lvl w:ilvl="0" w:tentative="0">
      <w:start w:val="1"/>
      <w:numFmt w:val="decimal"/>
      <w:lvlText w:val="%1."/>
      <w:lvlJc w:val="left"/>
      <w:pPr>
        <w:ind w:left="425" w:hanging="425"/>
      </w:pPr>
      <w:rPr>
        <w:rFonts w:hint="default"/>
      </w:rPr>
    </w:lvl>
  </w:abstractNum>
  <w:abstractNum w:abstractNumId="22">
    <w:nsid w:val="536C3227"/>
    <w:multiLevelType w:val="singleLevel"/>
    <w:tmpl w:val="536C3227"/>
    <w:lvl w:ilvl="0" w:tentative="0">
      <w:start w:val="1"/>
      <w:numFmt w:val="decimal"/>
      <w:lvlText w:val="%1."/>
      <w:lvlJc w:val="left"/>
      <w:pPr>
        <w:tabs>
          <w:tab w:val="left" w:pos="420"/>
        </w:tabs>
        <w:ind w:left="845" w:hanging="425"/>
      </w:pPr>
      <w:rPr>
        <w:rFonts w:hint="default"/>
      </w:rPr>
    </w:lvl>
  </w:abstractNum>
  <w:abstractNum w:abstractNumId="23">
    <w:nsid w:val="55E6F96A"/>
    <w:multiLevelType w:val="singleLevel"/>
    <w:tmpl w:val="55E6F96A"/>
    <w:lvl w:ilvl="0" w:tentative="0">
      <w:start w:val="1"/>
      <w:numFmt w:val="decimal"/>
      <w:lvlText w:val="%1."/>
      <w:lvlJc w:val="left"/>
      <w:pPr>
        <w:tabs>
          <w:tab w:val="left" w:pos="420"/>
        </w:tabs>
        <w:ind w:left="845" w:hanging="425"/>
      </w:pPr>
      <w:rPr>
        <w:rFonts w:hint="default"/>
      </w:rPr>
    </w:lvl>
  </w:abstractNum>
  <w:num w:numId="1">
    <w:abstractNumId w:val="22"/>
  </w:num>
  <w:num w:numId="2">
    <w:abstractNumId w:val="23"/>
  </w:num>
  <w:num w:numId="3">
    <w:abstractNumId w:val="13"/>
  </w:num>
  <w:num w:numId="4">
    <w:abstractNumId w:val="17"/>
  </w:num>
  <w:num w:numId="5">
    <w:abstractNumId w:val="15"/>
  </w:num>
  <w:num w:numId="6">
    <w:abstractNumId w:val="0"/>
  </w:num>
  <w:num w:numId="7">
    <w:abstractNumId w:val="3"/>
  </w:num>
  <w:num w:numId="8">
    <w:abstractNumId w:val="11"/>
  </w:num>
  <w:num w:numId="9">
    <w:abstractNumId w:val="5"/>
  </w:num>
  <w:num w:numId="10">
    <w:abstractNumId w:val="16"/>
  </w:num>
  <w:num w:numId="11">
    <w:abstractNumId w:val="12"/>
  </w:num>
  <w:num w:numId="12">
    <w:abstractNumId w:val="8"/>
  </w:num>
  <w:num w:numId="13">
    <w:abstractNumId w:val="4"/>
  </w:num>
  <w:num w:numId="14">
    <w:abstractNumId w:val="21"/>
  </w:num>
  <w:num w:numId="15">
    <w:abstractNumId w:val="1"/>
  </w:num>
  <w:num w:numId="16">
    <w:abstractNumId w:val="2"/>
  </w:num>
  <w:num w:numId="17">
    <w:abstractNumId w:val="6"/>
  </w:num>
  <w:num w:numId="18">
    <w:abstractNumId w:val="10"/>
  </w:num>
  <w:num w:numId="19">
    <w:abstractNumId w:val="7"/>
  </w:num>
  <w:num w:numId="20">
    <w:abstractNumId w:val="18"/>
  </w:num>
  <w:num w:numId="21">
    <w:abstractNumId w:val="19"/>
  </w:num>
  <w:num w:numId="22">
    <w:abstractNumId w:val="14"/>
  </w:num>
  <w:num w:numId="23">
    <w:abstractNumId w:val="20"/>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2E7"/>
    <w:rsid w:val="00044A0A"/>
    <w:rsid w:val="00053940"/>
    <w:rsid w:val="00054F59"/>
    <w:rsid w:val="000C6017"/>
    <w:rsid w:val="00130E1B"/>
    <w:rsid w:val="00181687"/>
    <w:rsid w:val="00191ACA"/>
    <w:rsid w:val="001C4A04"/>
    <w:rsid w:val="00275198"/>
    <w:rsid w:val="002A7ECF"/>
    <w:rsid w:val="002C2149"/>
    <w:rsid w:val="002E6B7F"/>
    <w:rsid w:val="003D413A"/>
    <w:rsid w:val="00422A54"/>
    <w:rsid w:val="004B3338"/>
    <w:rsid w:val="004C72E8"/>
    <w:rsid w:val="00511490"/>
    <w:rsid w:val="00555990"/>
    <w:rsid w:val="00585D2A"/>
    <w:rsid w:val="005904C7"/>
    <w:rsid w:val="005A7792"/>
    <w:rsid w:val="006E52E7"/>
    <w:rsid w:val="007330BC"/>
    <w:rsid w:val="00784475"/>
    <w:rsid w:val="0079192F"/>
    <w:rsid w:val="008430A0"/>
    <w:rsid w:val="00853593"/>
    <w:rsid w:val="008902C5"/>
    <w:rsid w:val="008D187F"/>
    <w:rsid w:val="0090422B"/>
    <w:rsid w:val="00976B94"/>
    <w:rsid w:val="009816DA"/>
    <w:rsid w:val="009F3CAE"/>
    <w:rsid w:val="00A27E80"/>
    <w:rsid w:val="00A63873"/>
    <w:rsid w:val="00A85BFF"/>
    <w:rsid w:val="00AB6583"/>
    <w:rsid w:val="00AC07BC"/>
    <w:rsid w:val="00AF0EA3"/>
    <w:rsid w:val="00B20E06"/>
    <w:rsid w:val="00B34A9E"/>
    <w:rsid w:val="00BA24CE"/>
    <w:rsid w:val="00C121C6"/>
    <w:rsid w:val="00C66AE0"/>
    <w:rsid w:val="00C73AF9"/>
    <w:rsid w:val="00CA4C13"/>
    <w:rsid w:val="00CB10C9"/>
    <w:rsid w:val="00CE4D8F"/>
    <w:rsid w:val="00D15234"/>
    <w:rsid w:val="00D535AA"/>
    <w:rsid w:val="00DA7AE1"/>
    <w:rsid w:val="00E03CA7"/>
    <w:rsid w:val="00E95A12"/>
    <w:rsid w:val="00EB7F37"/>
    <w:rsid w:val="00F7362B"/>
    <w:rsid w:val="00F77B62"/>
    <w:rsid w:val="00FD5612"/>
    <w:rsid w:val="00FD58B3"/>
    <w:rsid w:val="01061A75"/>
    <w:rsid w:val="010642D6"/>
    <w:rsid w:val="01077BDD"/>
    <w:rsid w:val="010824F4"/>
    <w:rsid w:val="01087C41"/>
    <w:rsid w:val="011A462C"/>
    <w:rsid w:val="012B6CBE"/>
    <w:rsid w:val="01481E6C"/>
    <w:rsid w:val="014F7F9B"/>
    <w:rsid w:val="015031ED"/>
    <w:rsid w:val="015D443B"/>
    <w:rsid w:val="015D7921"/>
    <w:rsid w:val="015E64EF"/>
    <w:rsid w:val="01765738"/>
    <w:rsid w:val="018641D1"/>
    <w:rsid w:val="01931942"/>
    <w:rsid w:val="01A4568F"/>
    <w:rsid w:val="01AE4D7A"/>
    <w:rsid w:val="01AE5108"/>
    <w:rsid w:val="01B0279D"/>
    <w:rsid w:val="01B1552F"/>
    <w:rsid w:val="01B402D8"/>
    <w:rsid w:val="01B82A26"/>
    <w:rsid w:val="01BA0E25"/>
    <w:rsid w:val="01BA5919"/>
    <w:rsid w:val="01BA606A"/>
    <w:rsid w:val="01C50ACB"/>
    <w:rsid w:val="01C82800"/>
    <w:rsid w:val="01CD7691"/>
    <w:rsid w:val="01D84C6B"/>
    <w:rsid w:val="01D8637D"/>
    <w:rsid w:val="01DE32D8"/>
    <w:rsid w:val="01E024F5"/>
    <w:rsid w:val="01EA7C06"/>
    <w:rsid w:val="01EF6BA8"/>
    <w:rsid w:val="01F61CCA"/>
    <w:rsid w:val="01F64CC6"/>
    <w:rsid w:val="01FC798A"/>
    <w:rsid w:val="02004017"/>
    <w:rsid w:val="0201008D"/>
    <w:rsid w:val="020566E1"/>
    <w:rsid w:val="02073618"/>
    <w:rsid w:val="020B1CAE"/>
    <w:rsid w:val="020C2FF8"/>
    <w:rsid w:val="021A4658"/>
    <w:rsid w:val="021B168D"/>
    <w:rsid w:val="021E3258"/>
    <w:rsid w:val="021F1B58"/>
    <w:rsid w:val="0221084A"/>
    <w:rsid w:val="02242CAC"/>
    <w:rsid w:val="022A5D7A"/>
    <w:rsid w:val="023B18F7"/>
    <w:rsid w:val="023E2FB0"/>
    <w:rsid w:val="024454C3"/>
    <w:rsid w:val="024576B8"/>
    <w:rsid w:val="0256494B"/>
    <w:rsid w:val="02612EEA"/>
    <w:rsid w:val="026B0E48"/>
    <w:rsid w:val="027756F4"/>
    <w:rsid w:val="02794F5A"/>
    <w:rsid w:val="027C5031"/>
    <w:rsid w:val="02843D41"/>
    <w:rsid w:val="028E6DD2"/>
    <w:rsid w:val="02963185"/>
    <w:rsid w:val="029B6883"/>
    <w:rsid w:val="029C2834"/>
    <w:rsid w:val="02A313B9"/>
    <w:rsid w:val="02A370C9"/>
    <w:rsid w:val="02A56F47"/>
    <w:rsid w:val="02A831D3"/>
    <w:rsid w:val="02A87A6B"/>
    <w:rsid w:val="02BB3365"/>
    <w:rsid w:val="02CC2C27"/>
    <w:rsid w:val="02D22AAE"/>
    <w:rsid w:val="02DA1A63"/>
    <w:rsid w:val="02E1497F"/>
    <w:rsid w:val="02E240CE"/>
    <w:rsid w:val="02EF3EC4"/>
    <w:rsid w:val="02F74685"/>
    <w:rsid w:val="02F80C98"/>
    <w:rsid w:val="02FC4BE4"/>
    <w:rsid w:val="03157F74"/>
    <w:rsid w:val="03164008"/>
    <w:rsid w:val="031E0D81"/>
    <w:rsid w:val="031F0D0F"/>
    <w:rsid w:val="03206BB7"/>
    <w:rsid w:val="032B2247"/>
    <w:rsid w:val="03317730"/>
    <w:rsid w:val="034A2153"/>
    <w:rsid w:val="0351331E"/>
    <w:rsid w:val="03673502"/>
    <w:rsid w:val="036D298E"/>
    <w:rsid w:val="036D630E"/>
    <w:rsid w:val="03796274"/>
    <w:rsid w:val="03993C9D"/>
    <w:rsid w:val="039B4174"/>
    <w:rsid w:val="039F6FCB"/>
    <w:rsid w:val="03A046E8"/>
    <w:rsid w:val="03A32890"/>
    <w:rsid w:val="03AC28EF"/>
    <w:rsid w:val="03AC660D"/>
    <w:rsid w:val="03AE2FBA"/>
    <w:rsid w:val="03AE7CF4"/>
    <w:rsid w:val="03B703AC"/>
    <w:rsid w:val="03BC1025"/>
    <w:rsid w:val="03BC5FAF"/>
    <w:rsid w:val="03BE242B"/>
    <w:rsid w:val="03C15FB8"/>
    <w:rsid w:val="03C56050"/>
    <w:rsid w:val="03C72933"/>
    <w:rsid w:val="03CD20ED"/>
    <w:rsid w:val="03D27024"/>
    <w:rsid w:val="03D33557"/>
    <w:rsid w:val="03DE252B"/>
    <w:rsid w:val="03DE7349"/>
    <w:rsid w:val="03E971A1"/>
    <w:rsid w:val="03EF2FC3"/>
    <w:rsid w:val="03EF4E6B"/>
    <w:rsid w:val="03F97503"/>
    <w:rsid w:val="04030F45"/>
    <w:rsid w:val="040470EE"/>
    <w:rsid w:val="040859A9"/>
    <w:rsid w:val="04126D32"/>
    <w:rsid w:val="042A4B0B"/>
    <w:rsid w:val="043452B3"/>
    <w:rsid w:val="043D5E09"/>
    <w:rsid w:val="044415CE"/>
    <w:rsid w:val="044B0FC3"/>
    <w:rsid w:val="044B4D9F"/>
    <w:rsid w:val="044C3C55"/>
    <w:rsid w:val="045419D7"/>
    <w:rsid w:val="04664AF3"/>
    <w:rsid w:val="04667C32"/>
    <w:rsid w:val="04733CBA"/>
    <w:rsid w:val="047F465C"/>
    <w:rsid w:val="04835D80"/>
    <w:rsid w:val="048660AF"/>
    <w:rsid w:val="048C63F5"/>
    <w:rsid w:val="049247F9"/>
    <w:rsid w:val="049304D6"/>
    <w:rsid w:val="049915A4"/>
    <w:rsid w:val="04AA335D"/>
    <w:rsid w:val="04AF5147"/>
    <w:rsid w:val="04BF241D"/>
    <w:rsid w:val="04C051D7"/>
    <w:rsid w:val="04C40247"/>
    <w:rsid w:val="04C545C0"/>
    <w:rsid w:val="04C55D0C"/>
    <w:rsid w:val="04C74DEF"/>
    <w:rsid w:val="04CA779E"/>
    <w:rsid w:val="04CB7D14"/>
    <w:rsid w:val="04CC2B68"/>
    <w:rsid w:val="04D63DD6"/>
    <w:rsid w:val="04D77E24"/>
    <w:rsid w:val="04ED574C"/>
    <w:rsid w:val="04F37E2E"/>
    <w:rsid w:val="04FB3412"/>
    <w:rsid w:val="050C7FCB"/>
    <w:rsid w:val="053977F1"/>
    <w:rsid w:val="05442FFA"/>
    <w:rsid w:val="055555E7"/>
    <w:rsid w:val="055C74F5"/>
    <w:rsid w:val="05685FA0"/>
    <w:rsid w:val="056874D5"/>
    <w:rsid w:val="056E3A28"/>
    <w:rsid w:val="056E5CFA"/>
    <w:rsid w:val="05705C86"/>
    <w:rsid w:val="058523E6"/>
    <w:rsid w:val="0596737E"/>
    <w:rsid w:val="059B521A"/>
    <w:rsid w:val="05A00EAC"/>
    <w:rsid w:val="05A963B3"/>
    <w:rsid w:val="05AE560E"/>
    <w:rsid w:val="05B43B07"/>
    <w:rsid w:val="05BE6972"/>
    <w:rsid w:val="05CE3529"/>
    <w:rsid w:val="05D80001"/>
    <w:rsid w:val="05DC1277"/>
    <w:rsid w:val="05E33086"/>
    <w:rsid w:val="060738ED"/>
    <w:rsid w:val="06154ECF"/>
    <w:rsid w:val="061A7D29"/>
    <w:rsid w:val="06261F71"/>
    <w:rsid w:val="06313892"/>
    <w:rsid w:val="063A04B6"/>
    <w:rsid w:val="063D3FF6"/>
    <w:rsid w:val="06464602"/>
    <w:rsid w:val="064B011C"/>
    <w:rsid w:val="064E18AB"/>
    <w:rsid w:val="06522E75"/>
    <w:rsid w:val="0668064E"/>
    <w:rsid w:val="06693F0C"/>
    <w:rsid w:val="066B1048"/>
    <w:rsid w:val="066C144B"/>
    <w:rsid w:val="06706A5F"/>
    <w:rsid w:val="067132AC"/>
    <w:rsid w:val="06720711"/>
    <w:rsid w:val="0675618A"/>
    <w:rsid w:val="06785FDC"/>
    <w:rsid w:val="06987A25"/>
    <w:rsid w:val="06A11682"/>
    <w:rsid w:val="06A915FC"/>
    <w:rsid w:val="06C02204"/>
    <w:rsid w:val="06C355DC"/>
    <w:rsid w:val="06C77F69"/>
    <w:rsid w:val="06C97F59"/>
    <w:rsid w:val="06CA3AEF"/>
    <w:rsid w:val="06CA43EF"/>
    <w:rsid w:val="06D04E70"/>
    <w:rsid w:val="06D4535E"/>
    <w:rsid w:val="06D51308"/>
    <w:rsid w:val="06DE6CBD"/>
    <w:rsid w:val="06E471B9"/>
    <w:rsid w:val="06E51633"/>
    <w:rsid w:val="06E73269"/>
    <w:rsid w:val="06EA112C"/>
    <w:rsid w:val="06EA6E9B"/>
    <w:rsid w:val="06EB056A"/>
    <w:rsid w:val="06EC4ED8"/>
    <w:rsid w:val="06F41BD5"/>
    <w:rsid w:val="06FB366E"/>
    <w:rsid w:val="070309B8"/>
    <w:rsid w:val="07116798"/>
    <w:rsid w:val="071669AA"/>
    <w:rsid w:val="07193C27"/>
    <w:rsid w:val="072E160B"/>
    <w:rsid w:val="072E3E32"/>
    <w:rsid w:val="073724C9"/>
    <w:rsid w:val="073B51F3"/>
    <w:rsid w:val="074164FD"/>
    <w:rsid w:val="07417689"/>
    <w:rsid w:val="07432D84"/>
    <w:rsid w:val="07433D35"/>
    <w:rsid w:val="074A0302"/>
    <w:rsid w:val="074E5E15"/>
    <w:rsid w:val="075239FE"/>
    <w:rsid w:val="075B0CA6"/>
    <w:rsid w:val="076139E6"/>
    <w:rsid w:val="076A138C"/>
    <w:rsid w:val="0772263C"/>
    <w:rsid w:val="077F1A07"/>
    <w:rsid w:val="0781433A"/>
    <w:rsid w:val="079A3A13"/>
    <w:rsid w:val="07B510CF"/>
    <w:rsid w:val="07BD28F9"/>
    <w:rsid w:val="07C65D4D"/>
    <w:rsid w:val="07C73009"/>
    <w:rsid w:val="07D65900"/>
    <w:rsid w:val="07DC0F1D"/>
    <w:rsid w:val="07E77E52"/>
    <w:rsid w:val="07EB156D"/>
    <w:rsid w:val="07F0414A"/>
    <w:rsid w:val="07F759D0"/>
    <w:rsid w:val="08040ACF"/>
    <w:rsid w:val="081530F3"/>
    <w:rsid w:val="081D2389"/>
    <w:rsid w:val="08255BC4"/>
    <w:rsid w:val="08574D12"/>
    <w:rsid w:val="08672279"/>
    <w:rsid w:val="08684EE7"/>
    <w:rsid w:val="086C6C27"/>
    <w:rsid w:val="086D1A36"/>
    <w:rsid w:val="087049AB"/>
    <w:rsid w:val="087C609C"/>
    <w:rsid w:val="087D6A57"/>
    <w:rsid w:val="0881253F"/>
    <w:rsid w:val="088512C9"/>
    <w:rsid w:val="088821AB"/>
    <w:rsid w:val="0889440F"/>
    <w:rsid w:val="088B544B"/>
    <w:rsid w:val="088C61F8"/>
    <w:rsid w:val="088C7B8E"/>
    <w:rsid w:val="088D51F2"/>
    <w:rsid w:val="088E556D"/>
    <w:rsid w:val="089938A2"/>
    <w:rsid w:val="089A57D8"/>
    <w:rsid w:val="089C7F36"/>
    <w:rsid w:val="08A02AD6"/>
    <w:rsid w:val="08A97791"/>
    <w:rsid w:val="08B50251"/>
    <w:rsid w:val="08BF208A"/>
    <w:rsid w:val="08C24563"/>
    <w:rsid w:val="08C5780C"/>
    <w:rsid w:val="08C6203B"/>
    <w:rsid w:val="08E15CDB"/>
    <w:rsid w:val="08E717F9"/>
    <w:rsid w:val="08EB593F"/>
    <w:rsid w:val="08F343AB"/>
    <w:rsid w:val="08F8047F"/>
    <w:rsid w:val="08F93C48"/>
    <w:rsid w:val="08F97D62"/>
    <w:rsid w:val="08FD57ED"/>
    <w:rsid w:val="09023B4E"/>
    <w:rsid w:val="09061A24"/>
    <w:rsid w:val="090A1775"/>
    <w:rsid w:val="090A528C"/>
    <w:rsid w:val="09146A64"/>
    <w:rsid w:val="09156EE7"/>
    <w:rsid w:val="0916624E"/>
    <w:rsid w:val="0925019F"/>
    <w:rsid w:val="09291442"/>
    <w:rsid w:val="092E184F"/>
    <w:rsid w:val="092F7389"/>
    <w:rsid w:val="093E55AD"/>
    <w:rsid w:val="094664F6"/>
    <w:rsid w:val="09585024"/>
    <w:rsid w:val="0959678A"/>
    <w:rsid w:val="095F54AB"/>
    <w:rsid w:val="09712D80"/>
    <w:rsid w:val="09723C84"/>
    <w:rsid w:val="097602CA"/>
    <w:rsid w:val="097E7E1E"/>
    <w:rsid w:val="09815A2C"/>
    <w:rsid w:val="09842969"/>
    <w:rsid w:val="099401A4"/>
    <w:rsid w:val="099659A7"/>
    <w:rsid w:val="09980A8B"/>
    <w:rsid w:val="09A4196C"/>
    <w:rsid w:val="09A435B1"/>
    <w:rsid w:val="09A47F49"/>
    <w:rsid w:val="09AB0CB9"/>
    <w:rsid w:val="09AF66CF"/>
    <w:rsid w:val="09B008D7"/>
    <w:rsid w:val="09B204D2"/>
    <w:rsid w:val="09C27023"/>
    <w:rsid w:val="09C4435E"/>
    <w:rsid w:val="09D647E9"/>
    <w:rsid w:val="09D874BB"/>
    <w:rsid w:val="09E266F5"/>
    <w:rsid w:val="09F350F9"/>
    <w:rsid w:val="09F450FE"/>
    <w:rsid w:val="09F73C44"/>
    <w:rsid w:val="09FC3D9B"/>
    <w:rsid w:val="0A01328F"/>
    <w:rsid w:val="0A060E43"/>
    <w:rsid w:val="0A077579"/>
    <w:rsid w:val="0A0C2642"/>
    <w:rsid w:val="0A201163"/>
    <w:rsid w:val="0A302847"/>
    <w:rsid w:val="0A3311C9"/>
    <w:rsid w:val="0A346F9E"/>
    <w:rsid w:val="0A3B76B1"/>
    <w:rsid w:val="0A4D1055"/>
    <w:rsid w:val="0A546E31"/>
    <w:rsid w:val="0A57344B"/>
    <w:rsid w:val="0A5817D9"/>
    <w:rsid w:val="0A692C4C"/>
    <w:rsid w:val="0A79483F"/>
    <w:rsid w:val="0A7C0956"/>
    <w:rsid w:val="0A80401A"/>
    <w:rsid w:val="0A9701AF"/>
    <w:rsid w:val="0A9C1F63"/>
    <w:rsid w:val="0AA0068D"/>
    <w:rsid w:val="0AA04501"/>
    <w:rsid w:val="0AA3493A"/>
    <w:rsid w:val="0AAD500E"/>
    <w:rsid w:val="0AAF5E38"/>
    <w:rsid w:val="0ABC5AC0"/>
    <w:rsid w:val="0ABD56B6"/>
    <w:rsid w:val="0AC238F5"/>
    <w:rsid w:val="0AC471B7"/>
    <w:rsid w:val="0ACB7B9C"/>
    <w:rsid w:val="0ACE264E"/>
    <w:rsid w:val="0AD15787"/>
    <w:rsid w:val="0AD3369F"/>
    <w:rsid w:val="0AD555DF"/>
    <w:rsid w:val="0ADD3192"/>
    <w:rsid w:val="0ADD6231"/>
    <w:rsid w:val="0ADE7852"/>
    <w:rsid w:val="0AE06DF0"/>
    <w:rsid w:val="0AF4028F"/>
    <w:rsid w:val="0AF87F67"/>
    <w:rsid w:val="0AFE0982"/>
    <w:rsid w:val="0B000474"/>
    <w:rsid w:val="0B007CEF"/>
    <w:rsid w:val="0B0C1E29"/>
    <w:rsid w:val="0B1D2AC0"/>
    <w:rsid w:val="0B21248A"/>
    <w:rsid w:val="0B226955"/>
    <w:rsid w:val="0B2B4294"/>
    <w:rsid w:val="0B2F2C02"/>
    <w:rsid w:val="0B306666"/>
    <w:rsid w:val="0B3865F5"/>
    <w:rsid w:val="0B3E38D9"/>
    <w:rsid w:val="0B3E7193"/>
    <w:rsid w:val="0B440017"/>
    <w:rsid w:val="0B472925"/>
    <w:rsid w:val="0B48614E"/>
    <w:rsid w:val="0B4A5F5A"/>
    <w:rsid w:val="0B4C5702"/>
    <w:rsid w:val="0B4E2DE3"/>
    <w:rsid w:val="0B4E4596"/>
    <w:rsid w:val="0B551E49"/>
    <w:rsid w:val="0B564463"/>
    <w:rsid w:val="0B5D3991"/>
    <w:rsid w:val="0B625498"/>
    <w:rsid w:val="0B74262F"/>
    <w:rsid w:val="0B762455"/>
    <w:rsid w:val="0B7A0DAC"/>
    <w:rsid w:val="0B83417B"/>
    <w:rsid w:val="0B8D1B80"/>
    <w:rsid w:val="0B8D24D5"/>
    <w:rsid w:val="0B900FDC"/>
    <w:rsid w:val="0B9530DC"/>
    <w:rsid w:val="0BA81EC4"/>
    <w:rsid w:val="0BAE08C1"/>
    <w:rsid w:val="0BD068AA"/>
    <w:rsid w:val="0BD207B5"/>
    <w:rsid w:val="0BE920E5"/>
    <w:rsid w:val="0BF05AE1"/>
    <w:rsid w:val="0BF34204"/>
    <w:rsid w:val="0BF857FE"/>
    <w:rsid w:val="0BFD7EE4"/>
    <w:rsid w:val="0C066FF8"/>
    <w:rsid w:val="0C08108A"/>
    <w:rsid w:val="0C084B1A"/>
    <w:rsid w:val="0C0929C7"/>
    <w:rsid w:val="0C0F43AD"/>
    <w:rsid w:val="0C254109"/>
    <w:rsid w:val="0C276D34"/>
    <w:rsid w:val="0C285980"/>
    <w:rsid w:val="0C2A261B"/>
    <w:rsid w:val="0C2C04C7"/>
    <w:rsid w:val="0C2E1A4D"/>
    <w:rsid w:val="0C2E20E0"/>
    <w:rsid w:val="0C3D39C9"/>
    <w:rsid w:val="0C4C0872"/>
    <w:rsid w:val="0C4C4937"/>
    <w:rsid w:val="0C4E7D16"/>
    <w:rsid w:val="0C505D8E"/>
    <w:rsid w:val="0C522D02"/>
    <w:rsid w:val="0C542CB6"/>
    <w:rsid w:val="0C5504F5"/>
    <w:rsid w:val="0C5B5D1D"/>
    <w:rsid w:val="0C5C335B"/>
    <w:rsid w:val="0C63112C"/>
    <w:rsid w:val="0C78233B"/>
    <w:rsid w:val="0C783BB0"/>
    <w:rsid w:val="0C81732A"/>
    <w:rsid w:val="0C820AEA"/>
    <w:rsid w:val="0C882BBC"/>
    <w:rsid w:val="0C894130"/>
    <w:rsid w:val="0C903FAE"/>
    <w:rsid w:val="0C964E07"/>
    <w:rsid w:val="0C9A3BD3"/>
    <w:rsid w:val="0CA21E1E"/>
    <w:rsid w:val="0CA72B80"/>
    <w:rsid w:val="0CA851E2"/>
    <w:rsid w:val="0CAD0C4E"/>
    <w:rsid w:val="0CAD2D82"/>
    <w:rsid w:val="0CBC68E4"/>
    <w:rsid w:val="0CC7680E"/>
    <w:rsid w:val="0CCC68F3"/>
    <w:rsid w:val="0CD3085A"/>
    <w:rsid w:val="0CDD3ED3"/>
    <w:rsid w:val="0CF85E09"/>
    <w:rsid w:val="0CF923D5"/>
    <w:rsid w:val="0D05047A"/>
    <w:rsid w:val="0D0736FF"/>
    <w:rsid w:val="0D0D07B6"/>
    <w:rsid w:val="0D0D5099"/>
    <w:rsid w:val="0D10094E"/>
    <w:rsid w:val="0D195EC1"/>
    <w:rsid w:val="0D1E047C"/>
    <w:rsid w:val="0D2356C7"/>
    <w:rsid w:val="0D2662F3"/>
    <w:rsid w:val="0D32404B"/>
    <w:rsid w:val="0D37557E"/>
    <w:rsid w:val="0D3805C4"/>
    <w:rsid w:val="0D3B1D2C"/>
    <w:rsid w:val="0D3B3F8A"/>
    <w:rsid w:val="0D4261F9"/>
    <w:rsid w:val="0D4721CD"/>
    <w:rsid w:val="0D5133C7"/>
    <w:rsid w:val="0D5A3640"/>
    <w:rsid w:val="0D5B7B04"/>
    <w:rsid w:val="0D646D1D"/>
    <w:rsid w:val="0D681215"/>
    <w:rsid w:val="0D697692"/>
    <w:rsid w:val="0D753BEC"/>
    <w:rsid w:val="0D7748EF"/>
    <w:rsid w:val="0D775D1E"/>
    <w:rsid w:val="0D7E39AF"/>
    <w:rsid w:val="0D810DA2"/>
    <w:rsid w:val="0D8744DF"/>
    <w:rsid w:val="0D8A2B6C"/>
    <w:rsid w:val="0D8B7435"/>
    <w:rsid w:val="0D8E1926"/>
    <w:rsid w:val="0D8F2F55"/>
    <w:rsid w:val="0D922074"/>
    <w:rsid w:val="0D977A10"/>
    <w:rsid w:val="0D9F0A00"/>
    <w:rsid w:val="0DA85CF7"/>
    <w:rsid w:val="0DAE6F99"/>
    <w:rsid w:val="0DB50E0F"/>
    <w:rsid w:val="0DBA51C5"/>
    <w:rsid w:val="0DBF7D41"/>
    <w:rsid w:val="0DC20D2C"/>
    <w:rsid w:val="0DC4316F"/>
    <w:rsid w:val="0DC66AD7"/>
    <w:rsid w:val="0DC85BE8"/>
    <w:rsid w:val="0DCA1215"/>
    <w:rsid w:val="0DCB3D7A"/>
    <w:rsid w:val="0DCD0A0B"/>
    <w:rsid w:val="0DD73BCC"/>
    <w:rsid w:val="0DDE6462"/>
    <w:rsid w:val="0DE01E37"/>
    <w:rsid w:val="0DE41839"/>
    <w:rsid w:val="0DE60DC4"/>
    <w:rsid w:val="0DE71BEF"/>
    <w:rsid w:val="0DEA761C"/>
    <w:rsid w:val="0E041284"/>
    <w:rsid w:val="0E044B77"/>
    <w:rsid w:val="0E0511B5"/>
    <w:rsid w:val="0E0D5D26"/>
    <w:rsid w:val="0E103B0F"/>
    <w:rsid w:val="0E1E2F35"/>
    <w:rsid w:val="0E1F555B"/>
    <w:rsid w:val="0E202268"/>
    <w:rsid w:val="0E2221E3"/>
    <w:rsid w:val="0E257AF8"/>
    <w:rsid w:val="0E322A29"/>
    <w:rsid w:val="0E326A83"/>
    <w:rsid w:val="0E343FB4"/>
    <w:rsid w:val="0E3469E7"/>
    <w:rsid w:val="0E34704D"/>
    <w:rsid w:val="0E38320B"/>
    <w:rsid w:val="0E444CE9"/>
    <w:rsid w:val="0E451151"/>
    <w:rsid w:val="0E466906"/>
    <w:rsid w:val="0E490FA2"/>
    <w:rsid w:val="0E4E074B"/>
    <w:rsid w:val="0E4E282D"/>
    <w:rsid w:val="0E506BC5"/>
    <w:rsid w:val="0E526491"/>
    <w:rsid w:val="0E546453"/>
    <w:rsid w:val="0E603744"/>
    <w:rsid w:val="0E63185F"/>
    <w:rsid w:val="0E681C8B"/>
    <w:rsid w:val="0E691A93"/>
    <w:rsid w:val="0E702F48"/>
    <w:rsid w:val="0E870B1B"/>
    <w:rsid w:val="0E8F6C1D"/>
    <w:rsid w:val="0E984CF4"/>
    <w:rsid w:val="0EA3259A"/>
    <w:rsid w:val="0EB252B1"/>
    <w:rsid w:val="0EB51B34"/>
    <w:rsid w:val="0EB86EE3"/>
    <w:rsid w:val="0EBD2125"/>
    <w:rsid w:val="0EC25108"/>
    <w:rsid w:val="0EC82A93"/>
    <w:rsid w:val="0ED023E0"/>
    <w:rsid w:val="0ED15560"/>
    <w:rsid w:val="0ED3656A"/>
    <w:rsid w:val="0EDA1D3B"/>
    <w:rsid w:val="0EDB4BC1"/>
    <w:rsid w:val="0EDE46C0"/>
    <w:rsid w:val="0EF61124"/>
    <w:rsid w:val="0EFA3587"/>
    <w:rsid w:val="0EFD35FB"/>
    <w:rsid w:val="0F042CD9"/>
    <w:rsid w:val="0F0835E2"/>
    <w:rsid w:val="0F0903D1"/>
    <w:rsid w:val="0F0C5280"/>
    <w:rsid w:val="0F0F69C0"/>
    <w:rsid w:val="0F152906"/>
    <w:rsid w:val="0F1E5E3E"/>
    <w:rsid w:val="0F220FF3"/>
    <w:rsid w:val="0F24516A"/>
    <w:rsid w:val="0F2606FC"/>
    <w:rsid w:val="0F2F0DDB"/>
    <w:rsid w:val="0F38449F"/>
    <w:rsid w:val="0F472378"/>
    <w:rsid w:val="0F4D5227"/>
    <w:rsid w:val="0F503762"/>
    <w:rsid w:val="0F56503B"/>
    <w:rsid w:val="0F594862"/>
    <w:rsid w:val="0F6847C5"/>
    <w:rsid w:val="0F6B1CD6"/>
    <w:rsid w:val="0F6E79F7"/>
    <w:rsid w:val="0F77169F"/>
    <w:rsid w:val="0F824BB9"/>
    <w:rsid w:val="0F8D5CCE"/>
    <w:rsid w:val="0F910C17"/>
    <w:rsid w:val="0F940CEC"/>
    <w:rsid w:val="0F980035"/>
    <w:rsid w:val="0F9827AF"/>
    <w:rsid w:val="0F98788B"/>
    <w:rsid w:val="0F995BBC"/>
    <w:rsid w:val="0F9D0B35"/>
    <w:rsid w:val="0F9E1C87"/>
    <w:rsid w:val="0FA02AC2"/>
    <w:rsid w:val="0FBD0481"/>
    <w:rsid w:val="0FBF3C49"/>
    <w:rsid w:val="0FC55FCB"/>
    <w:rsid w:val="0FC62745"/>
    <w:rsid w:val="0FC91889"/>
    <w:rsid w:val="0FC9263F"/>
    <w:rsid w:val="0FCA6C93"/>
    <w:rsid w:val="0FDF0B6E"/>
    <w:rsid w:val="0FE65867"/>
    <w:rsid w:val="0FE8010D"/>
    <w:rsid w:val="0FE97493"/>
    <w:rsid w:val="0FEF6EBC"/>
    <w:rsid w:val="0FF93043"/>
    <w:rsid w:val="10023824"/>
    <w:rsid w:val="100351C6"/>
    <w:rsid w:val="10087C90"/>
    <w:rsid w:val="100C37F8"/>
    <w:rsid w:val="100D0D30"/>
    <w:rsid w:val="100E5CBC"/>
    <w:rsid w:val="101227BD"/>
    <w:rsid w:val="10135C72"/>
    <w:rsid w:val="101B33E6"/>
    <w:rsid w:val="10336416"/>
    <w:rsid w:val="10366724"/>
    <w:rsid w:val="103916BC"/>
    <w:rsid w:val="1041687B"/>
    <w:rsid w:val="104A66EA"/>
    <w:rsid w:val="105B61E7"/>
    <w:rsid w:val="105D57D2"/>
    <w:rsid w:val="106052C3"/>
    <w:rsid w:val="10686FB0"/>
    <w:rsid w:val="106C2723"/>
    <w:rsid w:val="106D6F64"/>
    <w:rsid w:val="107654F0"/>
    <w:rsid w:val="107A32A1"/>
    <w:rsid w:val="107B22F9"/>
    <w:rsid w:val="10810101"/>
    <w:rsid w:val="108323A8"/>
    <w:rsid w:val="108669C3"/>
    <w:rsid w:val="10951D61"/>
    <w:rsid w:val="109A3CCB"/>
    <w:rsid w:val="109D4870"/>
    <w:rsid w:val="10A83870"/>
    <w:rsid w:val="10AC270A"/>
    <w:rsid w:val="10B87A6B"/>
    <w:rsid w:val="10BB3657"/>
    <w:rsid w:val="10CB1921"/>
    <w:rsid w:val="10CF5921"/>
    <w:rsid w:val="10D13FAC"/>
    <w:rsid w:val="10D44E58"/>
    <w:rsid w:val="10DF2B5B"/>
    <w:rsid w:val="10F02F8B"/>
    <w:rsid w:val="10F1445D"/>
    <w:rsid w:val="10F257FE"/>
    <w:rsid w:val="10FD6A64"/>
    <w:rsid w:val="110306C2"/>
    <w:rsid w:val="11061F89"/>
    <w:rsid w:val="110842C2"/>
    <w:rsid w:val="11096E13"/>
    <w:rsid w:val="110D7ECE"/>
    <w:rsid w:val="11142DCD"/>
    <w:rsid w:val="1118704B"/>
    <w:rsid w:val="112E250C"/>
    <w:rsid w:val="112F29DE"/>
    <w:rsid w:val="11316ADD"/>
    <w:rsid w:val="113207E1"/>
    <w:rsid w:val="113D27A3"/>
    <w:rsid w:val="114044B3"/>
    <w:rsid w:val="11476575"/>
    <w:rsid w:val="114A1F7F"/>
    <w:rsid w:val="114B6592"/>
    <w:rsid w:val="115E0626"/>
    <w:rsid w:val="11670B65"/>
    <w:rsid w:val="11762D34"/>
    <w:rsid w:val="11793C12"/>
    <w:rsid w:val="117D404A"/>
    <w:rsid w:val="1181039E"/>
    <w:rsid w:val="118347DA"/>
    <w:rsid w:val="118F1E27"/>
    <w:rsid w:val="119D5B06"/>
    <w:rsid w:val="11AC6799"/>
    <w:rsid w:val="11AE2F5E"/>
    <w:rsid w:val="11B109C1"/>
    <w:rsid w:val="11B54905"/>
    <w:rsid w:val="11B66EF5"/>
    <w:rsid w:val="11B7692F"/>
    <w:rsid w:val="11CB47DC"/>
    <w:rsid w:val="11CC0495"/>
    <w:rsid w:val="11CD5964"/>
    <w:rsid w:val="11E44CF7"/>
    <w:rsid w:val="11E93D87"/>
    <w:rsid w:val="11EF1390"/>
    <w:rsid w:val="11F54857"/>
    <w:rsid w:val="11FA3D39"/>
    <w:rsid w:val="1200015E"/>
    <w:rsid w:val="1200096F"/>
    <w:rsid w:val="12052D16"/>
    <w:rsid w:val="120A1698"/>
    <w:rsid w:val="121203A1"/>
    <w:rsid w:val="12185624"/>
    <w:rsid w:val="121A5CE6"/>
    <w:rsid w:val="121F36A8"/>
    <w:rsid w:val="12245064"/>
    <w:rsid w:val="12245941"/>
    <w:rsid w:val="122873A5"/>
    <w:rsid w:val="122F5C75"/>
    <w:rsid w:val="123829DF"/>
    <w:rsid w:val="123E07D6"/>
    <w:rsid w:val="124A1BD5"/>
    <w:rsid w:val="124C4B65"/>
    <w:rsid w:val="124E24BA"/>
    <w:rsid w:val="125359FC"/>
    <w:rsid w:val="125719B5"/>
    <w:rsid w:val="125A2997"/>
    <w:rsid w:val="12622CBD"/>
    <w:rsid w:val="126546F7"/>
    <w:rsid w:val="126B5947"/>
    <w:rsid w:val="12726D27"/>
    <w:rsid w:val="12774286"/>
    <w:rsid w:val="12792879"/>
    <w:rsid w:val="127C783B"/>
    <w:rsid w:val="128523CE"/>
    <w:rsid w:val="128F7E10"/>
    <w:rsid w:val="1290017E"/>
    <w:rsid w:val="12A87AF7"/>
    <w:rsid w:val="12AD3DF0"/>
    <w:rsid w:val="12C521C5"/>
    <w:rsid w:val="12CA097D"/>
    <w:rsid w:val="12CD4869"/>
    <w:rsid w:val="12CF1F76"/>
    <w:rsid w:val="12E836ED"/>
    <w:rsid w:val="12F27786"/>
    <w:rsid w:val="12F678B8"/>
    <w:rsid w:val="12FB7BF6"/>
    <w:rsid w:val="13016E17"/>
    <w:rsid w:val="13050DE8"/>
    <w:rsid w:val="130A788D"/>
    <w:rsid w:val="130C12FE"/>
    <w:rsid w:val="130D439F"/>
    <w:rsid w:val="131073A7"/>
    <w:rsid w:val="13116C23"/>
    <w:rsid w:val="13177D8D"/>
    <w:rsid w:val="131F4E74"/>
    <w:rsid w:val="13204069"/>
    <w:rsid w:val="13261A6A"/>
    <w:rsid w:val="132668B5"/>
    <w:rsid w:val="132F6803"/>
    <w:rsid w:val="13331F78"/>
    <w:rsid w:val="133E6D5F"/>
    <w:rsid w:val="13475A84"/>
    <w:rsid w:val="1348405F"/>
    <w:rsid w:val="13486B76"/>
    <w:rsid w:val="134C05A0"/>
    <w:rsid w:val="134D1581"/>
    <w:rsid w:val="134E5888"/>
    <w:rsid w:val="135235D8"/>
    <w:rsid w:val="13577DCC"/>
    <w:rsid w:val="1359360D"/>
    <w:rsid w:val="135B627C"/>
    <w:rsid w:val="135F7E77"/>
    <w:rsid w:val="136715E5"/>
    <w:rsid w:val="13707F3D"/>
    <w:rsid w:val="13753536"/>
    <w:rsid w:val="13855D64"/>
    <w:rsid w:val="13935391"/>
    <w:rsid w:val="139813F9"/>
    <w:rsid w:val="13992D26"/>
    <w:rsid w:val="139D7613"/>
    <w:rsid w:val="13A14282"/>
    <w:rsid w:val="13A16AB0"/>
    <w:rsid w:val="13B11485"/>
    <w:rsid w:val="13BE2E6B"/>
    <w:rsid w:val="13C53E34"/>
    <w:rsid w:val="13CF03F9"/>
    <w:rsid w:val="13D7397A"/>
    <w:rsid w:val="13DA6EFD"/>
    <w:rsid w:val="13E064B2"/>
    <w:rsid w:val="13E13665"/>
    <w:rsid w:val="13E148EC"/>
    <w:rsid w:val="13E7424D"/>
    <w:rsid w:val="13EB555E"/>
    <w:rsid w:val="13EF010F"/>
    <w:rsid w:val="13F27146"/>
    <w:rsid w:val="13F51122"/>
    <w:rsid w:val="13F53BA8"/>
    <w:rsid w:val="14101736"/>
    <w:rsid w:val="14116345"/>
    <w:rsid w:val="14156DBF"/>
    <w:rsid w:val="14167B79"/>
    <w:rsid w:val="141B6B12"/>
    <w:rsid w:val="142F698F"/>
    <w:rsid w:val="143B3F87"/>
    <w:rsid w:val="144E40F4"/>
    <w:rsid w:val="1454596D"/>
    <w:rsid w:val="14573C2B"/>
    <w:rsid w:val="14626F15"/>
    <w:rsid w:val="14666A59"/>
    <w:rsid w:val="146B30D9"/>
    <w:rsid w:val="146F1C3A"/>
    <w:rsid w:val="14724CF9"/>
    <w:rsid w:val="147A2837"/>
    <w:rsid w:val="14837F6D"/>
    <w:rsid w:val="14843D35"/>
    <w:rsid w:val="14877FE4"/>
    <w:rsid w:val="149731D6"/>
    <w:rsid w:val="14977762"/>
    <w:rsid w:val="14995D5C"/>
    <w:rsid w:val="149E6DEC"/>
    <w:rsid w:val="14A22A27"/>
    <w:rsid w:val="14A74777"/>
    <w:rsid w:val="14AC6018"/>
    <w:rsid w:val="14C23F98"/>
    <w:rsid w:val="14C53CF4"/>
    <w:rsid w:val="14C647E3"/>
    <w:rsid w:val="14D934B2"/>
    <w:rsid w:val="14EC6CCE"/>
    <w:rsid w:val="14EF5CB6"/>
    <w:rsid w:val="14F817D3"/>
    <w:rsid w:val="14FC2A23"/>
    <w:rsid w:val="15091FD6"/>
    <w:rsid w:val="15111F43"/>
    <w:rsid w:val="15125237"/>
    <w:rsid w:val="1516178B"/>
    <w:rsid w:val="151A0627"/>
    <w:rsid w:val="15200F3C"/>
    <w:rsid w:val="15221CBC"/>
    <w:rsid w:val="15275CC6"/>
    <w:rsid w:val="152D07C7"/>
    <w:rsid w:val="152F10B7"/>
    <w:rsid w:val="15312C24"/>
    <w:rsid w:val="15394036"/>
    <w:rsid w:val="15441EC8"/>
    <w:rsid w:val="154D77B8"/>
    <w:rsid w:val="154F2774"/>
    <w:rsid w:val="156879F7"/>
    <w:rsid w:val="156F6226"/>
    <w:rsid w:val="157434BC"/>
    <w:rsid w:val="157C03A5"/>
    <w:rsid w:val="158238BF"/>
    <w:rsid w:val="158635C6"/>
    <w:rsid w:val="15870320"/>
    <w:rsid w:val="15953725"/>
    <w:rsid w:val="15A309A4"/>
    <w:rsid w:val="15AD371A"/>
    <w:rsid w:val="15AF2D95"/>
    <w:rsid w:val="15B1615E"/>
    <w:rsid w:val="15B1720F"/>
    <w:rsid w:val="15B66801"/>
    <w:rsid w:val="15BB47A5"/>
    <w:rsid w:val="15D37D2B"/>
    <w:rsid w:val="15D44736"/>
    <w:rsid w:val="15D71C5B"/>
    <w:rsid w:val="15E53867"/>
    <w:rsid w:val="15E806AA"/>
    <w:rsid w:val="15ED5BB2"/>
    <w:rsid w:val="15EE181B"/>
    <w:rsid w:val="15F139CB"/>
    <w:rsid w:val="15FB6FBD"/>
    <w:rsid w:val="16047041"/>
    <w:rsid w:val="160E7029"/>
    <w:rsid w:val="16126420"/>
    <w:rsid w:val="161C1B9F"/>
    <w:rsid w:val="161C23CF"/>
    <w:rsid w:val="162C5CB3"/>
    <w:rsid w:val="162E4D62"/>
    <w:rsid w:val="16324385"/>
    <w:rsid w:val="163250D4"/>
    <w:rsid w:val="163C0CAE"/>
    <w:rsid w:val="16435A24"/>
    <w:rsid w:val="16603483"/>
    <w:rsid w:val="16673DE8"/>
    <w:rsid w:val="167A3863"/>
    <w:rsid w:val="1684704C"/>
    <w:rsid w:val="16871780"/>
    <w:rsid w:val="168F5205"/>
    <w:rsid w:val="16923B2E"/>
    <w:rsid w:val="16976423"/>
    <w:rsid w:val="16983F1F"/>
    <w:rsid w:val="16A24F6A"/>
    <w:rsid w:val="16A620AB"/>
    <w:rsid w:val="16A91640"/>
    <w:rsid w:val="16A92E00"/>
    <w:rsid w:val="16AC72C3"/>
    <w:rsid w:val="16B81EE7"/>
    <w:rsid w:val="16BE5D75"/>
    <w:rsid w:val="16C1661D"/>
    <w:rsid w:val="16C53E2E"/>
    <w:rsid w:val="16D63BCB"/>
    <w:rsid w:val="16DF2625"/>
    <w:rsid w:val="16E20F97"/>
    <w:rsid w:val="16E8692B"/>
    <w:rsid w:val="16EB58FA"/>
    <w:rsid w:val="16F1445B"/>
    <w:rsid w:val="16F15058"/>
    <w:rsid w:val="16F86E10"/>
    <w:rsid w:val="16FE710D"/>
    <w:rsid w:val="170B204E"/>
    <w:rsid w:val="171579C0"/>
    <w:rsid w:val="172812E1"/>
    <w:rsid w:val="17283B5C"/>
    <w:rsid w:val="172F6BD0"/>
    <w:rsid w:val="174D4C6C"/>
    <w:rsid w:val="174F1E3B"/>
    <w:rsid w:val="17511936"/>
    <w:rsid w:val="17572C55"/>
    <w:rsid w:val="17610566"/>
    <w:rsid w:val="176E2864"/>
    <w:rsid w:val="177172FA"/>
    <w:rsid w:val="1777190B"/>
    <w:rsid w:val="17837601"/>
    <w:rsid w:val="1786308D"/>
    <w:rsid w:val="179944AC"/>
    <w:rsid w:val="179A31FE"/>
    <w:rsid w:val="179D4317"/>
    <w:rsid w:val="17A6424B"/>
    <w:rsid w:val="17AA5CC4"/>
    <w:rsid w:val="17C05B84"/>
    <w:rsid w:val="17D03EC7"/>
    <w:rsid w:val="17D207F1"/>
    <w:rsid w:val="17E20866"/>
    <w:rsid w:val="17E27739"/>
    <w:rsid w:val="17F370B8"/>
    <w:rsid w:val="180575E1"/>
    <w:rsid w:val="18104025"/>
    <w:rsid w:val="181536A7"/>
    <w:rsid w:val="18187617"/>
    <w:rsid w:val="181B7C36"/>
    <w:rsid w:val="181D5280"/>
    <w:rsid w:val="1821444B"/>
    <w:rsid w:val="182E77EE"/>
    <w:rsid w:val="18404933"/>
    <w:rsid w:val="184647B1"/>
    <w:rsid w:val="184F1EF0"/>
    <w:rsid w:val="184F4D52"/>
    <w:rsid w:val="185836DB"/>
    <w:rsid w:val="185A0679"/>
    <w:rsid w:val="185F3DB3"/>
    <w:rsid w:val="18711CE4"/>
    <w:rsid w:val="18771087"/>
    <w:rsid w:val="18810DF4"/>
    <w:rsid w:val="18912227"/>
    <w:rsid w:val="18A06332"/>
    <w:rsid w:val="18AD3EB7"/>
    <w:rsid w:val="18B26088"/>
    <w:rsid w:val="18B53C1A"/>
    <w:rsid w:val="18BD1E7C"/>
    <w:rsid w:val="18C11386"/>
    <w:rsid w:val="18C13F1E"/>
    <w:rsid w:val="18C16275"/>
    <w:rsid w:val="18C226B5"/>
    <w:rsid w:val="18C4775A"/>
    <w:rsid w:val="18D572E7"/>
    <w:rsid w:val="18DB35F4"/>
    <w:rsid w:val="18E25DA3"/>
    <w:rsid w:val="18E77E72"/>
    <w:rsid w:val="18EB40B5"/>
    <w:rsid w:val="18F0428C"/>
    <w:rsid w:val="18F22FE4"/>
    <w:rsid w:val="18F60253"/>
    <w:rsid w:val="19034EB5"/>
    <w:rsid w:val="190D6CA3"/>
    <w:rsid w:val="19164631"/>
    <w:rsid w:val="191E7724"/>
    <w:rsid w:val="19206EFA"/>
    <w:rsid w:val="192F7D4A"/>
    <w:rsid w:val="1935338A"/>
    <w:rsid w:val="19361C34"/>
    <w:rsid w:val="19371ABC"/>
    <w:rsid w:val="193C6A76"/>
    <w:rsid w:val="19417B90"/>
    <w:rsid w:val="194A3BEB"/>
    <w:rsid w:val="194D197E"/>
    <w:rsid w:val="1950740E"/>
    <w:rsid w:val="195148F0"/>
    <w:rsid w:val="196362E9"/>
    <w:rsid w:val="19684308"/>
    <w:rsid w:val="196A1FE4"/>
    <w:rsid w:val="19793559"/>
    <w:rsid w:val="19862799"/>
    <w:rsid w:val="198E3359"/>
    <w:rsid w:val="198F27FD"/>
    <w:rsid w:val="19902837"/>
    <w:rsid w:val="19952225"/>
    <w:rsid w:val="19987C56"/>
    <w:rsid w:val="19A50709"/>
    <w:rsid w:val="19A63900"/>
    <w:rsid w:val="19B5028A"/>
    <w:rsid w:val="19B54433"/>
    <w:rsid w:val="19BD2A36"/>
    <w:rsid w:val="19C74646"/>
    <w:rsid w:val="19CF417D"/>
    <w:rsid w:val="19D32C24"/>
    <w:rsid w:val="19D3528F"/>
    <w:rsid w:val="19DE3D3E"/>
    <w:rsid w:val="19E6447C"/>
    <w:rsid w:val="19EC2698"/>
    <w:rsid w:val="19FE79D3"/>
    <w:rsid w:val="1A046F44"/>
    <w:rsid w:val="1A0E0C77"/>
    <w:rsid w:val="1A131C06"/>
    <w:rsid w:val="1A151978"/>
    <w:rsid w:val="1A164961"/>
    <w:rsid w:val="1A1F6776"/>
    <w:rsid w:val="1A2840EB"/>
    <w:rsid w:val="1A2B6217"/>
    <w:rsid w:val="1A2D3206"/>
    <w:rsid w:val="1A336D2C"/>
    <w:rsid w:val="1A3C0158"/>
    <w:rsid w:val="1A3C7ACC"/>
    <w:rsid w:val="1A4232ED"/>
    <w:rsid w:val="1A427A03"/>
    <w:rsid w:val="1A4659F6"/>
    <w:rsid w:val="1A4A17AA"/>
    <w:rsid w:val="1A4B3B2B"/>
    <w:rsid w:val="1A572C9B"/>
    <w:rsid w:val="1A613102"/>
    <w:rsid w:val="1A644DBB"/>
    <w:rsid w:val="1A68479C"/>
    <w:rsid w:val="1A6F5D0A"/>
    <w:rsid w:val="1A72026B"/>
    <w:rsid w:val="1A7B3A6B"/>
    <w:rsid w:val="1A7C7286"/>
    <w:rsid w:val="1A810A4B"/>
    <w:rsid w:val="1A907FBA"/>
    <w:rsid w:val="1A971268"/>
    <w:rsid w:val="1A9D0CA4"/>
    <w:rsid w:val="1A9F087A"/>
    <w:rsid w:val="1AAD4F80"/>
    <w:rsid w:val="1AB43B79"/>
    <w:rsid w:val="1AC659B4"/>
    <w:rsid w:val="1ACF5071"/>
    <w:rsid w:val="1AD457E2"/>
    <w:rsid w:val="1AD67225"/>
    <w:rsid w:val="1AE05915"/>
    <w:rsid w:val="1AE11910"/>
    <w:rsid w:val="1AE4061B"/>
    <w:rsid w:val="1AEA2FAF"/>
    <w:rsid w:val="1AEB0AFD"/>
    <w:rsid w:val="1AEC52E5"/>
    <w:rsid w:val="1AEF03CE"/>
    <w:rsid w:val="1AF135B2"/>
    <w:rsid w:val="1B003270"/>
    <w:rsid w:val="1B023C22"/>
    <w:rsid w:val="1B02603C"/>
    <w:rsid w:val="1B027025"/>
    <w:rsid w:val="1B0D581E"/>
    <w:rsid w:val="1B1F019A"/>
    <w:rsid w:val="1B2E7914"/>
    <w:rsid w:val="1B372C9C"/>
    <w:rsid w:val="1B487BC1"/>
    <w:rsid w:val="1B4A3D7E"/>
    <w:rsid w:val="1B4D44D4"/>
    <w:rsid w:val="1B540017"/>
    <w:rsid w:val="1B542DF9"/>
    <w:rsid w:val="1B590D5A"/>
    <w:rsid w:val="1B6C2B9B"/>
    <w:rsid w:val="1B750A82"/>
    <w:rsid w:val="1B951C25"/>
    <w:rsid w:val="1B96311B"/>
    <w:rsid w:val="1B984782"/>
    <w:rsid w:val="1B9C4432"/>
    <w:rsid w:val="1B9E6FA5"/>
    <w:rsid w:val="1BB36EFD"/>
    <w:rsid w:val="1BBB74D5"/>
    <w:rsid w:val="1BBC130E"/>
    <w:rsid w:val="1BCC644F"/>
    <w:rsid w:val="1BD341F7"/>
    <w:rsid w:val="1BE170BA"/>
    <w:rsid w:val="1BF21AD6"/>
    <w:rsid w:val="1BF642FD"/>
    <w:rsid w:val="1BFE2BBF"/>
    <w:rsid w:val="1C0334CE"/>
    <w:rsid w:val="1C04298A"/>
    <w:rsid w:val="1C0C3217"/>
    <w:rsid w:val="1C0D5971"/>
    <w:rsid w:val="1C144E80"/>
    <w:rsid w:val="1C1C3A38"/>
    <w:rsid w:val="1C2B68A8"/>
    <w:rsid w:val="1C2F4F7A"/>
    <w:rsid w:val="1C301084"/>
    <w:rsid w:val="1C3713A0"/>
    <w:rsid w:val="1C3C6DA4"/>
    <w:rsid w:val="1C3D35D2"/>
    <w:rsid w:val="1C450450"/>
    <w:rsid w:val="1C4E7BD9"/>
    <w:rsid w:val="1C705860"/>
    <w:rsid w:val="1C712302"/>
    <w:rsid w:val="1C7570D4"/>
    <w:rsid w:val="1C7843DF"/>
    <w:rsid w:val="1C801149"/>
    <w:rsid w:val="1C921A50"/>
    <w:rsid w:val="1CA05920"/>
    <w:rsid w:val="1CA1679D"/>
    <w:rsid w:val="1CA341EA"/>
    <w:rsid w:val="1CA43A03"/>
    <w:rsid w:val="1CA8185D"/>
    <w:rsid w:val="1CAF1AF7"/>
    <w:rsid w:val="1CB715AA"/>
    <w:rsid w:val="1CC33A4B"/>
    <w:rsid w:val="1CD766E1"/>
    <w:rsid w:val="1CE93943"/>
    <w:rsid w:val="1CEA584D"/>
    <w:rsid w:val="1CED5705"/>
    <w:rsid w:val="1CF52043"/>
    <w:rsid w:val="1CF87869"/>
    <w:rsid w:val="1D0570B2"/>
    <w:rsid w:val="1D097392"/>
    <w:rsid w:val="1D0F3A70"/>
    <w:rsid w:val="1D187C98"/>
    <w:rsid w:val="1D204203"/>
    <w:rsid w:val="1D425CDA"/>
    <w:rsid w:val="1D4C167F"/>
    <w:rsid w:val="1D5857B1"/>
    <w:rsid w:val="1D650109"/>
    <w:rsid w:val="1D651C19"/>
    <w:rsid w:val="1D690819"/>
    <w:rsid w:val="1D7E2D1F"/>
    <w:rsid w:val="1D800F85"/>
    <w:rsid w:val="1D857B0D"/>
    <w:rsid w:val="1D8657F0"/>
    <w:rsid w:val="1D8D639D"/>
    <w:rsid w:val="1D932B0D"/>
    <w:rsid w:val="1D97690A"/>
    <w:rsid w:val="1D9C209F"/>
    <w:rsid w:val="1DA90CDF"/>
    <w:rsid w:val="1DB475D1"/>
    <w:rsid w:val="1DB643DC"/>
    <w:rsid w:val="1DBB44B7"/>
    <w:rsid w:val="1DBE75B7"/>
    <w:rsid w:val="1DC4293B"/>
    <w:rsid w:val="1DC60DC3"/>
    <w:rsid w:val="1DC85363"/>
    <w:rsid w:val="1DCF6828"/>
    <w:rsid w:val="1DDE7998"/>
    <w:rsid w:val="1DE80C0F"/>
    <w:rsid w:val="1DE87B47"/>
    <w:rsid w:val="1DE90B91"/>
    <w:rsid w:val="1DEA13DA"/>
    <w:rsid w:val="1DEE267A"/>
    <w:rsid w:val="1DF90B7B"/>
    <w:rsid w:val="1E0343B6"/>
    <w:rsid w:val="1E122A69"/>
    <w:rsid w:val="1E1E2A76"/>
    <w:rsid w:val="1E1E4239"/>
    <w:rsid w:val="1E28389E"/>
    <w:rsid w:val="1E2D4189"/>
    <w:rsid w:val="1E2D72E6"/>
    <w:rsid w:val="1E2E54C8"/>
    <w:rsid w:val="1E307B4B"/>
    <w:rsid w:val="1E39370C"/>
    <w:rsid w:val="1E4631F3"/>
    <w:rsid w:val="1E4D6669"/>
    <w:rsid w:val="1E501987"/>
    <w:rsid w:val="1E533FE8"/>
    <w:rsid w:val="1E60646E"/>
    <w:rsid w:val="1E720B6E"/>
    <w:rsid w:val="1E747A74"/>
    <w:rsid w:val="1E7812D0"/>
    <w:rsid w:val="1E83302E"/>
    <w:rsid w:val="1E86596B"/>
    <w:rsid w:val="1E881AAD"/>
    <w:rsid w:val="1E9120D0"/>
    <w:rsid w:val="1E9E4512"/>
    <w:rsid w:val="1EAC19B9"/>
    <w:rsid w:val="1EAC215B"/>
    <w:rsid w:val="1EAF757A"/>
    <w:rsid w:val="1EC16F5C"/>
    <w:rsid w:val="1EC17852"/>
    <w:rsid w:val="1EC4160B"/>
    <w:rsid w:val="1ED215C4"/>
    <w:rsid w:val="1EE200C8"/>
    <w:rsid w:val="1EE61D61"/>
    <w:rsid w:val="1EEA4E23"/>
    <w:rsid w:val="1EFE29AF"/>
    <w:rsid w:val="1F02695D"/>
    <w:rsid w:val="1F0E676F"/>
    <w:rsid w:val="1F0F0672"/>
    <w:rsid w:val="1F274489"/>
    <w:rsid w:val="1F277A73"/>
    <w:rsid w:val="1F2C4F3D"/>
    <w:rsid w:val="1F2D327A"/>
    <w:rsid w:val="1F2E7C2B"/>
    <w:rsid w:val="1F31093C"/>
    <w:rsid w:val="1F3F7ABF"/>
    <w:rsid w:val="1F416B6F"/>
    <w:rsid w:val="1F494868"/>
    <w:rsid w:val="1F4C65FC"/>
    <w:rsid w:val="1F5303A8"/>
    <w:rsid w:val="1F5E410D"/>
    <w:rsid w:val="1F6044E2"/>
    <w:rsid w:val="1F6055D0"/>
    <w:rsid w:val="1F8744FC"/>
    <w:rsid w:val="1F952031"/>
    <w:rsid w:val="1F9E207A"/>
    <w:rsid w:val="1FA21D29"/>
    <w:rsid w:val="1FA64337"/>
    <w:rsid w:val="1FA66188"/>
    <w:rsid w:val="1FA66347"/>
    <w:rsid w:val="1FAF1984"/>
    <w:rsid w:val="1FAF485E"/>
    <w:rsid w:val="1FB4458B"/>
    <w:rsid w:val="1FB82F81"/>
    <w:rsid w:val="1FBA3C73"/>
    <w:rsid w:val="1FC0132C"/>
    <w:rsid w:val="1FC144D9"/>
    <w:rsid w:val="1FC4756A"/>
    <w:rsid w:val="1FC50848"/>
    <w:rsid w:val="1FCA70BB"/>
    <w:rsid w:val="1FD209A0"/>
    <w:rsid w:val="1FE55F91"/>
    <w:rsid w:val="1FE726C6"/>
    <w:rsid w:val="1FF07218"/>
    <w:rsid w:val="1FF414D5"/>
    <w:rsid w:val="1FFD31B8"/>
    <w:rsid w:val="2004716C"/>
    <w:rsid w:val="200A702C"/>
    <w:rsid w:val="20136E06"/>
    <w:rsid w:val="20174AC0"/>
    <w:rsid w:val="201D14D6"/>
    <w:rsid w:val="201D7B3D"/>
    <w:rsid w:val="201E5EDB"/>
    <w:rsid w:val="20246D2C"/>
    <w:rsid w:val="20322D67"/>
    <w:rsid w:val="2034676D"/>
    <w:rsid w:val="203664D5"/>
    <w:rsid w:val="203759D3"/>
    <w:rsid w:val="204737A4"/>
    <w:rsid w:val="2048677D"/>
    <w:rsid w:val="204C784C"/>
    <w:rsid w:val="2050357D"/>
    <w:rsid w:val="20505084"/>
    <w:rsid w:val="20537AC8"/>
    <w:rsid w:val="2056590A"/>
    <w:rsid w:val="20587A79"/>
    <w:rsid w:val="20706C32"/>
    <w:rsid w:val="20720FB7"/>
    <w:rsid w:val="20786279"/>
    <w:rsid w:val="2079118B"/>
    <w:rsid w:val="207A3D9D"/>
    <w:rsid w:val="207C1F49"/>
    <w:rsid w:val="208109DE"/>
    <w:rsid w:val="208A209E"/>
    <w:rsid w:val="208D29AA"/>
    <w:rsid w:val="209D41B2"/>
    <w:rsid w:val="20A02D09"/>
    <w:rsid w:val="20B67947"/>
    <w:rsid w:val="20C076CD"/>
    <w:rsid w:val="20C2643E"/>
    <w:rsid w:val="20CA6BFE"/>
    <w:rsid w:val="20CB3356"/>
    <w:rsid w:val="20CD2038"/>
    <w:rsid w:val="20D603E1"/>
    <w:rsid w:val="20EB426C"/>
    <w:rsid w:val="20EC1BE6"/>
    <w:rsid w:val="20EE64C9"/>
    <w:rsid w:val="20F20783"/>
    <w:rsid w:val="20F57A1E"/>
    <w:rsid w:val="20F614DE"/>
    <w:rsid w:val="20FD62BC"/>
    <w:rsid w:val="20FD6417"/>
    <w:rsid w:val="21021404"/>
    <w:rsid w:val="210B106C"/>
    <w:rsid w:val="2117697D"/>
    <w:rsid w:val="21224E29"/>
    <w:rsid w:val="21342A48"/>
    <w:rsid w:val="21345B00"/>
    <w:rsid w:val="213745DD"/>
    <w:rsid w:val="213A2C78"/>
    <w:rsid w:val="214A6E2A"/>
    <w:rsid w:val="214F63A2"/>
    <w:rsid w:val="21531333"/>
    <w:rsid w:val="215B12A2"/>
    <w:rsid w:val="21670503"/>
    <w:rsid w:val="21745653"/>
    <w:rsid w:val="21796DBE"/>
    <w:rsid w:val="217C6617"/>
    <w:rsid w:val="21800EE3"/>
    <w:rsid w:val="21837E61"/>
    <w:rsid w:val="218661FE"/>
    <w:rsid w:val="218C2E43"/>
    <w:rsid w:val="219672D9"/>
    <w:rsid w:val="21993CC7"/>
    <w:rsid w:val="219E795A"/>
    <w:rsid w:val="21A02F6A"/>
    <w:rsid w:val="21A56643"/>
    <w:rsid w:val="21A72CC5"/>
    <w:rsid w:val="21B11FA1"/>
    <w:rsid w:val="21B93E76"/>
    <w:rsid w:val="21BB7C42"/>
    <w:rsid w:val="21BC2ECA"/>
    <w:rsid w:val="21C53E08"/>
    <w:rsid w:val="21CB4750"/>
    <w:rsid w:val="21E04C44"/>
    <w:rsid w:val="21FA5099"/>
    <w:rsid w:val="21FC13AF"/>
    <w:rsid w:val="22017EE9"/>
    <w:rsid w:val="220C7512"/>
    <w:rsid w:val="220D7C8B"/>
    <w:rsid w:val="22150164"/>
    <w:rsid w:val="22165FEC"/>
    <w:rsid w:val="2224656A"/>
    <w:rsid w:val="222C4CAE"/>
    <w:rsid w:val="222E3B64"/>
    <w:rsid w:val="22304FF3"/>
    <w:rsid w:val="223C05AE"/>
    <w:rsid w:val="223D5BCF"/>
    <w:rsid w:val="22412B6E"/>
    <w:rsid w:val="22430871"/>
    <w:rsid w:val="22446D41"/>
    <w:rsid w:val="22471AB5"/>
    <w:rsid w:val="22476177"/>
    <w:rsid w:val="224C349E"/>
    <w:rsid w:val="225C4CEC"/>
    <w:rsid w:val="225F5E2E"/>
    <w:rsid w:val="226669D8"/>
    <w:rsid w:val="22751487"/>
    <w:rsid w:val="227A7F37"/>
    <w:rsid w:val="22842A3F"/>
    <w:rsid w:val="228528A7"/>
    <w:rsid w:val="22970E35"/>
    <w:rsid w:val="229916CB"/>
    <w:rsid w:val="22AF7061"/>
    <w:rsid w:val="22B60874"/>
    <w:rsid w:val="22B90F30"/>
    <w:rsid w:val="22BB2927"/>
    <w:rsid w:val="22BD1A43"/>
    <w:rsid w:val="22BD45D8"/>
    <w:rsid w:val="22C307A3"/>
    <w:rsid w:val="22C74D43"/>
    <w:rsid w:val="22CC4FE9"/>
    <w:rsid w:val="22CD1423"/>
    <w:rsid w:val="22D33A52"/>
    <w:rsid w:val="22DC6E89"/>
    <w:rsid w:val="22DE0DFA"/>
    <w:rsid w:val="22EB2DD1"/>
    <w:rsid w:val="22FB1533"/>
    <w:rsid w:val="22FD4D7D"/>
    <w:rsid w:val="22FE55E6"/>
    <w:rsid w:val="230251E9"/>
    <w:rsid w:val="23090317"/>
    <w:rsid w:val="23106185"/>
    <w:rsid w:val="2317073B"/>
    <w:rsid w:val="231C0BF5"/>
    <w:rsid w:val="23237CDA"/>
    <w:rsid w:val="232A340D"/>
    <w:rsid w:val="232E3154"/>
    <w:rsid w:val="2332667B"/>
    <w:rsid w:val="23367EEE"/>
    <w:rsid w:val="233C2752"/>
    <w:rsid w:val="234A26BD"/>
    <w:rsid w:val="235943D7"/>
    <w:rsid w:val="236533F8"/>
    <w:rsid w:val="237155F9"/>
    <w:rsid w:val="23744FD8"/>
    <w:rsid w:val="23935CE1"/>
    <w:rsid w:val="239D2F1E"/>
    <w:rsid w:val="23A16F10"/>
    <w:rsid w:val="23A6107B"/>
    <w:rsid w:val="23AA0DFF"/>
    <w:rsid w:val="23AE301D"/>
    <w:rsid w:val="23C7446E"/>
    <w:rsid w:val="23CE12F0"/>
    <w:rsid w:val="23CE5D9E"/>
    <w:rsid w:val="23D3013B"/>
    <w:rsid w:val="23D50A2B"/>
    <w:rsid w:val="23D71B5A"/>
    <w:rsid w:val="23DF13A7"/>
    <w:rsid w:val="23E0009B"/>
    <w:rsid w:val="23E03A61"/>
    <w:rsid w:val="23F263CC"/>
    <w:rsid w:val="23F56F56"/>
    <w:rsid w:val="23F80BF6"/>
    <w:rsid w:val="2401060F"/>
    <w:rsid w:val="24053670"/>
    <w:rsid w:val="240A2985"/>
    <w:rsid w:val="240F2980"/>
    <w:rsid w:val="241135B2"/>
    <w:rsid w:val="241A2CC2"/>
    <w:rsid w:val="242F1999"/>
    <w:rsid w:val="243F3BBF"/>
    <w:rsid w:val="244D62E1"/>
    <w:rsid w:val="246F7356"/>
    <w:rsid w:val="24744DF7"/>
    <w:rsid w:val="247E7EDF"/>
    <w:rsid w:val="247F4BF9"/>
    <w:rsid w:val="248377C6"/>
    <w:rsid w:val="24A02981"/>
    <w:rsid w:val="24AA0430"/>
    <w:rsid w:val="24AE38DF"/>
    <w:rsid w:val="24B40EFC"/>
    <w:rsid w:val="24BE088C"/>
    <w:rsid w:val="24C15DA9"/>
    <w:rsid w:val="24C22EA5"/>
    <w:rsid w:val="24C768C4"/>
    <w:rsid w:val="24CB3E54"/>
    <w:rsid w:val="24CE6B0A"/>
    <w:rsid w:val="24D34E75"/>
    <w:rsid w:val="24D7594F"/>
    <w:rsid w:val="24F60CB9"/>
    <w:rsid w:val="24F92C7E"/>
    <w:rsid w:val="24FA7471"/>
    <w:rsid w:val="2504159B"/>
    <w:rsid w:val="25066E9D"/>
    <w:rsid w:val="250B5D76"/>
    <w:rsid w:val="251C1DA1"/>
    <w:rsid w:val="25237F37"/>
    <w:rsid w:val="25257E48"/>
    <w:rsid w:val="252636AB"/>
    <w:rsid w:val="25292C43"/>
    <w:rsid w:val="253600FA"/>
    <w:rsid w:val="25366622"/>
    <w:rsid w:val="2546317D"/>
    <w:rsid w:val="25470F48"/>
    <w:rsid w:val="254A79D3"/>
    <w:rsid w:val="25507510"/>
    <w:rsid w:val="2556731B"/>
    <w:rsid w:val="25673EC2"/>
    <w:rsid w:val="256955A7"/>
    <w:rsid w:val="256A6368"/>
    <w:rsid w:val="256C43BB"/>
    <w:rsid w:val="257B0AB0"/>
    <w:rsid w:val="257B415E"/>
    <w:rsid w:val="257F428B"/>
    <w:rsid w:val="25903185"/>
    <w:rsid w:val="259837C7"/>
    <w:rsid w:val="25BF5996"/>
    <w:rsid w:val="25C323FF"/>
    <w:rsid w:val="25D264AE"/>
    <w:rsid w:val="25D92FC4"/>
    <w:rsid w:val="25DB29B0"/>
    <w:rsid w:val="25DB7980"/>
    <w:rsid w:val="25DE37E5"/>
    <w:rsid w:val="25E018ED"/>
    <w:rsid w:val="25E01B53"/>
    <w:rsid w:val="25E16808"/>
    <w:rsid w:val="25ED5BA0"/>
    <w:rsid w:val="25F80EC4"/>
    <w:rsid w:val="25F953F5"/>
    <w:rsid w:val="26140021"/>
    <w:rsid w:val="261E6AC1"/>
    <w:rsid w:val="261F27CB"/>
    <w:rsid w:val="2620330C"/>
    <w:rsid w:val="26343F66"/>
    <w:rsid w:val="26377E67"/>
    <w:rsid w:val="26382896"/>
    <w:rsid w:val="263E3F34"/>
    <w:rsid w:val="264C6430"/>
    <w:rsid w:val="26575EAD"/>
    <w:rsid w:val="26604D43"/>
    <w:rsid w:val="26630502"/>
    <w:rsid w:val="266B1015"/>
    <w:rsid w:val="266F6127"/>
    <w:rsid w:val="26743510"/>
    <w:rsid w:val="267C1599"/>
    <w:rsid w:val="267F23FA"/>
    <w:rsid w:val="269326C0"/>
    <w:rsid w:val="269479E5"/>
    <w:rsid w:val="269B15AD"/>
    <w:rsid w:val="26A14CC1"/>
    <w:rsid w:val="26A5581C"/>
    <w:rsid w:val="26A61F4C"/>
    <w:rsid w:val="26AC1B7E"/>
    <w:rsid w:val="26AF0AF9"/>
    <w:rsid w:val="26BE5680"/>
    <w:rsid w:val="26C045CB"/>
    <w:rsid w:val="26C15D91"/>
    <w:rsid w:val="26D2414F"/>
    <w:rsid w:val="26F121C7"/>
    <w:rsid w:val="26F778A8"/>
    <w:rsid w:val="2714046E"/>
    <w:rsid w:val="271A10F8"/>
    <w:rsid w:val="271B2A94"/>
    <w:rsid w:val="271C728D"/>
    <w:rsid w:val="272E47BE"/>
    <w:rsid w:val="27377B01"/>
    <w:rsid w:val="27383F7C"/>
    <w:rsid w:val="273C2C5F"/>
    <w:rsid w:val="27425CB2"/>
    <w:rsid w:val="274F612D"/>
    <w:rsid w:val="27550B8D"/>
    <w:rsid w:val="27571E15"/>
    <w:rsid w:val="275E32C2"/>
    <w:rsid w:val="2765357A"/>
    <w:rsid w:val="277278AC"/>
    <w:rsid w:val="277A00EB"/>
    <w:rsid w:val="277A2483"/>
    <w:rsid w:val="277B3E3E"/>
    <w:rsid w:val="278C7E77"/>
    <w:rsid w:val="27962687"/>
    <w:rsid w:val="279807BD"/>
    <w:rsid w:val="2799393C"/>
    <w:rsid w:val="279A02C6"/>
    <w:rsid w:val="27AA5BF3"/>
    <w:rsid w:val="27AC43EF"/>
    <w:rsid w:val="27AD144C"/>
    <w:rsid w:val="27AF24CB"/>
    <w:rsid w:val="27B1492C"/>
    <w:rsid w:val="27B74B2F"/>
    <w:rsid w:val="27B948DC"/>
    <w:rsid w:val="27B9738F"/>
    <w:rsid w:val="27BD2BC9"/>
    <w:rsid w:val="27C641B8"/>
    <w:rsid w:val="27C95C20"/>
    <w:rsid w:val="27CF71B4"/>
    <w:rsid w:val="27D80315"/>
    <w:rsid w:val="27E637E8"/>
    <w:rsid w:val="27E90D41"/>
    <w:rsid w:val="27F15AD4"/>
    <w:rsid w:val="27F5560D"/>
    <w:rsid w:val="28004A18"/>
    <w:rsid w:val="28025A95"/>
    <w:rsid w:val="280B59E0"/>
    <w:rsid w:val="280B6ACA"/>
    <w:rsid w:val="280D483F"/>
    <w:rsid w:val="28100F53"/>
    <w:rsid w:val="28102D3F"/>
    <w:rsid w:val="28143F60"/>
    <w:rsid w:val="281755B6"/>
    <w:rsid w:val="28252EF6"/>
    <w:rsid w:val="28284991"/>
    <w:rsid w:val="282B3ECB"/>
    <w:rsid w:val="28365633"/>
    <w:rsid w:val="283746BD"/>
    <w:rsid w:val="28385D0D"/>
    <w:rsid w:val="283D287B"/>
    <w:rsid w:val="28450937"/>
    <w:rsid w:val="28462B2B"/>
    <w:rsid w:val="28482A0F"/>
    <w:rsid w:val="284E4F47"/>
    <w:rsid w:val="285E09A4"/>
    <w:rsid w:val="286C2345"/>
    <w:rsid w:val="28750992"/>
    <w:rsid w:val="28754786"/>
    <w:rsid w:val="288C3223"/>
    <w:rsid w:val="2891212E"/>
    <w:rsid w:val="28972A59"/>
    <w:rsid w:val="289800EF"/>
    <w:rsid w:val="289D4684"/>
    <w:rsid w:val="289E07D7"/>
    <w:rsid w:val="28A12614"/>
    <w:rsid w:val="28A83A8F"/>
    <w:rsid w:val="28A95FF0"/>
    <w:rsid w:val="28AA2A31"/>
    <w:rsid w:val="28AE6799"/>
    <w:rsid w:val="28C714DF"/>
    <w:rsid w:val="28C7700B"/>
    <w:rsid w:val="28CE53E5"/>
    <w:rsid w:val="28CF2DA5"/>
    <w:rsid w:val="28DC1BFB"/>
    <w:rsid w:val="28EE4FB8"/>
    <w:rsid w:val="28F470CC"/>
    <w:rsid w:val="28FB10CE"/>
    <w:rsid w:val="28FF0590"/>
    <w:rsid w:val="29003A9D"/>
    <w:rsid w:val="29052F12"/>
    <w:rsid w:val="29095DCB"/>
    <w:rsid w:val="290B4523"/>
    <w:rsid w:val="29150F19"/>
    <w:rsid w:val="29162F14"/>
    <w:rsid w:val="29172A35"/>
    <w:rsid w:val="292234BE"/>
    <w:rsid w:val="29226D45"/>
    <w:rsid w:val="29260675"/>
    <w:rsid w:val="292B0C4C"/>
    <w:rsid w:val="292B2A3E"/>
    <w:rsid w:val="292E6512"/>
    <w:rsid w:val="29367442"/>
    <w:rsid w:val="293B389B"/>
    <w:rsid w:val="293E4BC0"/>
    <w:rsid w:val="2941404A"/>
    <w:rsid w:val="29434ED4"/>
    <w:rsid w:val="29475F44"/>
    <w:rsid w:val="294C45D1"/>
    <w:rsid w:val="2953252D"/>
    <w:rsid w:val="29566B27"/>
    <w:rsid w:val="29583617"/>
    <w:rsid w:val="29800097"/>
    <w:rsid w:val="29824A96"/>
    <w:rsid w:val="298456D3"/>
    <w:rsid w:val="298C6E89"/>
    <w:rsid w:val="299359DF"/>
    <w:rsid w:val="299B24B3"/>
    <w:rsid w:val="299B2A98"/>
    <w:rsid w:val="299F2F20"/>
    <w:rsid w:val="29A91F29"/>
    <w:rsid w:val="29B22FC2"/>
    <w:rsid w:val="29B93E10"/>
    <w:rsid w:val="29BD7C79"/>
    <w:rsid w:val="29C721FD"/>
    <w:rsid w:val="29CA76D4"/>
    <w:rsid w:val="29CC71DD"/>
    <w:rsid w:val="29D42181"/>
    <w:rsid w:val="29D47DEA"/>
    <w:rsid w:val="29D81DCE"/>
    <w:rsid w:val="29F56D0D"/>
    <w:rsid w:val="29FA7CC9"/>
    <w:rsid w:val="2A0C2A6B"/>
    <w:rsid w:val="2A0E1288"/>
    <w:rsid w:val="2A1140C2"/>
    <w:rsid w:val="2A164C9A"/>
    <w:rsid w:val="2A19232F"/>
    <w:rsid w:val="2A1C1551"/>
    <w:rsid w:val="2A255E7A"/>
    <w:rsid w:val="2A2D6F03"/>
    <w:rsid w:val="2A3C76D4"/>
    <w:rsid w:val="2A460623"/>
    <w:rsid w:val="2A604621"/>
    <w:rsid w:val="2A670E3F"/>
    <w:rsid w:val="2A796D45"/>
    <w:rsid w:val="2A85099F"/>
    <w:rsid w:val="2A9275CD"/>
    <w:rsid w:val="2A951EB4"/>
    <w:rsid w:val="2A9C26AD"/>
    <w:rsid w:val="2AA519AC"/>
    <w:rsid w:val="2AAA5BD6"/>
    <w:rsid w:val="2AAA6D35"/>
    <w:rsid w:val="2AAD58BB"/>
    <w:rsid w:val="2AAE5936"/>
    <w:rsid w:val="2ABA4E47"/>
    <w:rsid w:val="2ABD249A"/>
    <w:rsid w:val="2ACD5384"/>
    <w:rsid w:val="2AD44956"/>
    <w:rsid w:val="2AE51427"/>
    <w:rsid w:val="2AE96B93"/>
    <w:rsid w:val="2AEA165F"/>
    <w:rsid w:val="2AED23F3"/>
    <w:rsid w:val="2AFA28C0"/>
    <w:rsid w:val="2AFB5C02"/>
    <w:rsid w:val="2B0A17F5"/>
    <w:rsid w:val="2B105820"/>
    <w:rsid w:val="2B173B0A"/>
    <w:rsid w:val="2B26534B"/>
    <w:rsid w:val="2B2671B8"/>
    <w:rsid w:val="2B296BF6"/>
    <w:rsid w:val="2B2C25FE"/>
    <w:rsid w:val="2B3271D7"/>
    <w:rsid w:val="2B354893"/>
    <w:rsid w:val="2B374A41"/>
    <w:rsid w:val="2B377913"/>
    <w:rsid w:val="2B3C127A"/>
    <w:rsid w:val="2B3E5668"/>
    <w:rsid w:val="2B401C53"/>
    <w:rsid w:val="2B481A7C"/>
    <w:rsid w:val="2B48525B"/>
    <w:rsid w:val="2B4C50CB"/>
    <w:rsid w:val="2B4E1F89"/>
    <w:rsid w:val="2B50005B"/>
    <w:rsid w:val="2B632B98"/>
    <w:rsid w:val="2B6D209C"/>
    <w:rsid w:val="2B6E2624"/>
    <w:rsid w:val="2B707740"/>
    <w:rsid w:val="2B7E1692"/>
    <w:rsid w:val="2B7E5939"/>
    <w:rsid w:val="2B915091"/>
    <w:rsid w:val="2B915B91"/>
    <w:rsid w:val="2B957272"/>
    <w:rsid w:val="2B9A0BD7"/>
    <w:rsid w:val="2B9D0003"/>
    <w:rsid w:val="2B9F0172"/>
    <w:rsid w:val="2BA456D5"/>
    <w:rsid w:val="2BAD2AA3"/>
    <w:rsid w:val="2BB76EC8"/>
    <w:rsid w:val="2BC37A6D"/>
    <w:rsid w:val="2BD72C5B"/>
    <w:rsid w:val="2BD8640A"/>
    <w:rsid w:val="2BDB3FB3"/>
    <w:rsid w:val="2BE84EF2"/>
    <w:rsid w:val="2BEA2DB8"/>
    <w:rsid w:val="2BEC4FAC"/>
    <w:rsid w:val="2BF712C3"/>
    <w:rsid w:val="2C001286"/>
    <w:rsid w:val="2C0340C6"/>
    <w:rsid w:val="2C0F1C0D"/>
    <w:rsid w:val="2C15683B"/>
    <w:rsid w:val="2C1B2AB1"/>
    <w:rsid w:val="2C25701B"/>
    <w:rsid w:val="2C292178"/>
    <w:rsid w:val="2C2B3DDA"/>
    <w:rsid w:val="2C2F3410"/>
    <w:rsid w:val="2C3341C3"/>
    <w:rsid w:val="2C372890"/>
    <w:rsid w:val="2C372FBD"/>
    <w:rsid w:val="2C3D0919"/>
    <w:rsid w:val="2C4047F0"/>
    <w:rsid w:val="2C435B9C"/>
    <w:rsid w:val="2C52253B"/>
    <w:rsid w:val="2C532183"/>
    <w:rsid w:val="2C5403EB"/>
    <w:rsid w:val="2C5A5E1A"/>
    <w:rsid w:val="2C657E94"/>
    <w:rsid w:val="2C810145"/>
    <w:rsid w:val="2C8443DE"/>
    <w:rsid w:val="2C870D9B"/>
    <w:rsid w:val="2C887C3A"/>
    <w:rsid w:val="2C9049AB"/>
    <w:rsid w:val="2C9B210B"/>
    <w:rsid w:val="2CB046BE"/>
    <w:rsid w:val="2CB63071"/>
    <w:rsid w:val="2CB83D28"/>
    <w:rsid w:val="2CBD7CC6"/>
    <w:rsid w:val="2CBE3458"/>
    <w:rsid w:val="2CC36ACB"/>
    <w:rsid w:val="2CC71038"/>
    <w:rsid w:val="2CCE2C46"/>
    <w:rsid w:val="2CCF38C4"/>
    <w:rsid w:val="2CD149F8"/>
    <w:rsid w:val="2CD5248C"/>
    <w:rsid w:val="2CDB61FE"/>
    <w:rsid w:val="2CDC71D2"/>
    <w:rsid w:val="2CEF7160"/>
    <w:rsid w:val="2CF158B3"/>
    <w:rsid w:val="2CFE6286"/>
    <w:rsid w:val="2CFF61EA"/>
    <w:rsid w:val="2D01533D"/>
    <w:rsid w:val="2D065EFE"/>
    <w:rsid w:val="2D0730A3"/>
    <w:rsid w:val="2D080F7D"/>
    <w:rsid w:val="2D0A21DC"/>
    <w:rsid w:val="2D140328"/>
    <w:rsid w:val="2D191D31"/>
    <w:rsid w:val="2D207A3E"/>
    <w:rsid w:val="2D2C5A62"/>
    <w:rsid w:val="2D343FA4"/>
    <w:rsid w:val="2D3A269B"/>
    <w:rsid w:val="2D416A10"/>
    <w:rsid w:val="2D424327"/>
    <w:rsid w:val="2D455F7F"/>
    <w:rsid w:val="2D47025B"/>
    <w:rsid w:val="2D4B2162"/>
    <w:rsid w:val="2D513D74"/>
    <w:rsid w:val="2D601A2C"/>
    <w:rsid w:val="2D665F10"/>
    <w:rsid w:val="2D687042"/>
    <w:rsid w:val="2D695A59"/>
    <w:rsid w:val="2D6F7894"/>
    <w:rsid w:val="2D7666CB"/>
    <w:rsid w:val="2D771661"/>
    <w:rsid w:val="2D776307"/>
    <w:rsid w:val="2D8A3F05"/>
    <w:rsid w:val="2D90517F"/>
    <w:rsid w:val="2D930C1E"/>
    <w:rsid w:val="2D947DCD"/>
    <w:rsid w:val="2D9918CB"/>
    <w:rsid w:val="2DA23DF9"/>
    <w:rsid w:val="2DA52E45"/>
    <w:rsid w:val="2DAB5881"/>
    <w:rsid w:val="2DAC308D"/>
    <w:rsid w:val="2DB702D6"/>
    <w:rsid w:val="2DC171A1"/>
    <w:rsid w:val="2DC86799"/>
    <w:rsid w:val="2DCD7FD2"/>
    <w:rsid w:val="2DCF7C09"/>
    <w:rsid w:val="2DD269A0"/>
    <w:rsid w:val="2DD541D6"/>
    <w:rsid w:val="2DE0300C"/>
    <w:rsid w:val="2DE1034A"/>
    <w:rsid w:val="2DE92993"/>
    <w:rsid w:val="2DF24BAE"/>
    <w:rsid w:val="2E010AFC"/>
    <w:rsid w:val="2E0A5B11"/>
    <w:rsid w:val="2E123A0C"/>
    <w:rsid w:val="2E1753C5"/>
    <w:rsid w:val="2E2209C9"/>
    <w:rsid w:val="2E272BAC"/>
    <w:rsid w:val="2E373F5A"/>
    <w:rsid w:val="2E456FCB"/>
    <w:rsid w:val="2E5271BF"/>
    <w:rsid w:val="2E5518ED"/>
    <w:rsid w:val="2E657D60"/>
    <w:rsid w:val="2E6F6000"/>
    <w:rsid w:val="2E7137CB"/>
    <w:rsid w:val="2E763FCB"/>
    <w:rsid w:val="2E787339"/>
    <w:rsid w:val="2E8D0087"/>
    <w:rsid w:val="2E8D148D"/>
    <w:rsid w:val="2E9A72FA"/>
    <w:rsid w:val="2EA05058"/>
    <w:rsid w:val="2EAD6A2A"/>
    <w:rsid w:val="2EBD76C8"/>
    <w:rsid w:val="2EC03BCF"/>
    <w:rsid w:val="2EC26074"/>
    <w:rsid w:val="2EC60A57"/>
    <w:rsid w:val="2EC60B79"/>
    <w:rsid w:val="2EC63295"/>
    <w:rsid w:val="2EC71559"/>
    <w:rsid w:val="2ED15D6E"/>
    <w:rsid w:val="2ED95486"/>
    <w:rsid w:val="2EDE6EF6"/>
    <w:rsid w:val="2EDF6955"/>
    <w:rsid w:val="2EDF724B"/>
    <w:rsid w:val="2EEB65D9"/>
    <w:rsid w:val="2EF33923"/>
    <w:rsid w:val="2EFE0277"/>
    <w:rsid w:val="2F0970D5"/>
    <w:rsid w:val="2F0F6D83"/>
    <w:rsid w:val="2F167C71"/>
    <w:rsid w:val="2F1B214F"/>
    <w:rsid w:val="2F1C1F66"/>
    <w:rsid w:val="2F264557"/>
    <w:rsid w:val="2F2C1767"/>
    <w:rsid w:val="2F3B135F"/>
    <w:rsid w:val="2F495A30"/>
    <w:rsid w:val="2F51650E"/>
    <w:rsid w:val="2F544163"/>
    <w:rsid w:val="2F5E3975"/>
    <w:rsid w:val="2F644D09"/>
    <w:rsid w:val="2F71304E"/>
    <w:rsid w:val="2F755C82"/>
    <w:rsid w:val="2F7A7DB4"/>
    <w:rsid w:val="2F926F1D"/>
    <w:rsid w:val="2F962127"/>
    <w:rsid w:val="2FA31D09"/>
    <w:rsid w:val="2FAA2D76"/>
    <w:rsid w:val="2FAB4D12"/>
    <w:rsid w:val="2FAD291F"/>
    <w:rsid w:val="2FB853A6"/>
    <w:rsid w:val="2FBD79AD"/>
    <w:rsid w:val="2FC91E70"/>
    <w:rsid w:val="2FD35878"/>
    <w:rsid w:val="2FD370D3"/>
    <w:rsid w:val="2FD45A85"/>
    <w:rsid w:val="2FD465F2"/>
    <w:rsid w:val="2FD46A4F"/>
    <w:rsid w:val="2FDA348F"/>
    <w:rsid w:val="2FE957F3"/>
    <w:rsid w:val="2FEA186C"/>
    <w:rsid w:val="2FF32D09"/>
    <w:rsid w:val="2FF415FE"/>
    <w:rsid w:val="2FFC30D9"/>
    <w:rsid w:val="30035DCE"/>
    <w:rsid w:val="30047525"/>
    <w:rsid w:val="300D0C4B"/>
    <w:rsid w:val="30114EF5"/>
    <w:rsid w:val="301A7A5B"/>
    <w:rsid w:val="301B33DF"/>
    <w:rsid w:val="30326DCE"/>
    <w:rsid w:val="30344AED"/>
    <w:rsid w:val="30456656"/>
    <w:rsid w:val="304746E2"/>
    <w:rsid w:val="304D453C"/>
    <w:rsid w:val="30540433"/>
    <w:rsid w:val="305C561E"/>
    <w:rsid w:val="305D6BC6"/>
    <w:rsid w:val="305E77BB"/>
    <w:rsid w:val="30674234"/>
    <w:rsid w:val="30675EF4"/>
    <w:rsid w:val="3073188E"/>
    <w:rsid w:val="307A0FB0"/>
    <w:rsid w:val="30834D48"/>
    <w:rsid w:val="30885741"/>
    <w:rsid w:val="30942364"/>
    <w:rsid w:val="30985260"/>
    <w:rsid w:val="309943C5"/>
    <w:rsid w:val="309A14B1"/>
    <w:rsid w:val="309A5E69"/>
    <w:rsid w:val="309F65C5"/>
    <w:rsid w:val="30B30B5D"/>
    <w:rsid w:val="30C81607"/>
    <w:rsid w:val="30CD493C"/>
    <w:rsid w:val="30D67A8D"/>
    <w:rsid w:val="30DE31AC"/>
    <w:rsid w:val="30E930C0"/>
    <w:rsid w:val="30EE55FA"/>
    <w:rsid w:val="30EF74AA"/>
    <w:rsid w:val="30FF0C87"/>
    <w:rsid w:val="30FF6FC5"/>
    <w:rsid w:val="3105721D"/>
    <w:rsid w:val="31064BDC"/>
    <w:rsid w:val="31151598"/>
    <w:rsid w:val="311D11F9"/>
    <w:rsid w:val="312005FD"/>
    <w:rsid w:val="31260935"/>
    <w:rsid w:val="313B579E"/>
    <w:rsid w:val="3141306A"/>
    <w:rsid w:val="314D66AC"/>
    <w:rsid w:val="315B030E"/>
    <w:rsid w:val="31633A81"/>
    <w:rsid w:val="31676C5A"/>
    <w:rsid w:val="316778A5"/>
    <w:rsid w:val="31710DF6"/>
    <w:rsid w:val="31716198"/>
    <w:rsid w:val="31853DC1"/>
    <w:rsid w:val="31855812"/>
    <w:rsid w:val="31863748"/>
    <w:rsid w:val="319B73CA"/>
    <w:rsid w:val="31A75F94"/>
    <w:rsid w:val="31A970FC"/>
    <w:rsid w:val="31AC2027"/>
    <w:rsid w:val="31AE090D"/>
    <w:rsid w:val="31AE429F"/>
    <w:rsid w:val="31B037C8"/>
    <w:rsid w:val="31BD79E1"/>
    <w:rsid w:val="31C215B2"/>
    <w:rsid w:val="31C35638"/>
    <w:rsid w:val="31C35C0C"/>
    <w:rsid w:val="31D2795D"/>
    <w:rsid w:val="31D82C22"/>
    <w:rsid w:val="31DE5855"/>
    <w:rsid w:val="31E42DE9"/>
    <w:rsid w:val="31E90989"/>
    <w:rsid w:val="31FC0116"/>
    <w:rsid w:val="31FC1B75"/>
    <w:rsid w:val="32047BC2"/>
    <w:rsid w:val="320519A6"/>
    <w:rsid w:val="321E640A"/>
    <w:rsid w:val="32267A27"/>
    <w:rsid w:val="32360DD4"/>
    <w:rsid w:val="32375429"/>
    <w:rsid w:val="32417841"/>
    <w:rsid w:val="3248348F"/>
    <w:rsid w:val="324E58C4"/>
    <w:rsid w:val="325151DC"/>
    <w:rsid w:val="325636F0"/>
    <w:rsid w:val="325640B7"/>
    <w:rsid w:val="32567524"/>
    <w:rsid w:val="326D7FB0"/>
    <w:rsid w:val="32720159"/>
    <w:rsid w:val="327C6663"/>
    <w:rsid w:val="328C7952"/>
    <w:rsid w:val="3292271E"/>
    <w:rsid w:val="32954303"/>
    <w:rsid w:val="329738E4"/>
    <w:rsid w:val="32975BC0"/>
    <w:rsid w:val="32A674B7"/>
    <w:rsid w:val="32AA7032"/>
    <w:rsid w:val="32AB79CF"/>
    <w:rsid w:val="32B949BE"/>
    <w:rsid w:val="32BC14B4"/>
    <w:rsid w:val="32C21294"/>
    <w:rsid w:val="32C36C3E"/>
    <w:rsid w:val="32CA3A29"/>
    <w:rsid w:val="32D07B37"/>
    <w:rsid w:val="32D768BF"/>
    <w:rsid w:val="32DE78CF"/>
    <w:rsid w:val="32E147B5"/>
    <w:rsid w:val="32E2381A"/>
    <w:rsid w:val="32EB25E7"/>
    <w:rsid w:val="32EE5BAA"/>
    <w:rsid w:val="32EF11E2"/>
    <w:rsid w:val="32F42A07"/>
    <w:rsid w:val="32F66F77"/>
    <w:rsid w:val="32FB7DA4"/>
    <w:rsid w:val="32FE7F5F"/>
    <w:rsid w:val="33004995"/>
    <w:rsid w:val="330E546E"/>
    <w:rsid w:val="331963EE"/>
    <w:rsid w:val="331F6DFD"/>
    <w:rsid w:val="332D6E5A"/>
    <w:rsid w:val="332F1156"/>
    <w:rsid w:val="33312863"/>
    <w:rsid w:val="33316332"/>
    <w:rsid w:val="3342551E"/>
    <w:rsid w:val="334261A2"/>
    <w:rsid w:val="33515337"/>
    <w:rsid w:val="33580099"/>
    <w:rsid w:val="335C770F"/>
    <w:rsid w:val="335F76CA"/>
    <w:rsid w:val="33643B98"/>
    <w:rsid w:val="33696030"/>
    <w:rsid w:val="336B7285"/>
    <w:rsid w:val="336C7A5F"/>
    <w:rsid w:val="33736D27"/>
    <w:rsid w:val="337724FD"/>
    <w:rsid w:val="33797176"/>
    <w:rsid w:val="33830E1F"/>
    <w:rsid w:val="338674E9"/>
    <w:rsid w:val="338C3F53"/>
    <w:rsid w:val="339B7631"/>
    <w:rsid w:val="33A116E0"/>
    <w:rsid w:val="33A519D8"/>
    <w:rsid w:val="33B358B6"/>
    <w:rsid w:val="33B93186"/>
    <w:rsid w:val="33BA57A4"/>
    <w:rsid w:val="33C02C8F"/>
    <w:rsid w:val="33C542B0"/>
    <w:rsid w:val="33CB305B"/>
    <w:rsid w:val="33D93917"/>
    <w:rsid w:val="33DD0934"/>
    <w:rsid w:val="33DF2E32"/>
    <w:rsid w:val="33E20591"/>
    <w:rsid w:val="33E7043B"/>
    <w:rsid w:val="34006396"/>
    <w:rsid w:val="34087FDC"/>
    <w:rsid w:val="340F5658"/>
    <w:rsid w:val="3411637B"/>
    <w:rsid w:val="341A50A2"/>
    <w:rsid w:val="34232D1B"/>
    <w:rsid w:val="3425388C"/>
    <w:rsid w:val="34292062"/>
    <w:rsid w:val="342C5F3F"/>
    <w:rsid w:val="342E1E47"/>
    <w:rsid w:val="343A0C80"/>
    <w:rsid w:val="343C4171"/>
    <w:rsid w:val="344C2008"/>
    <w:rsid w:val="344C23DD"/>
    <w:rsid w:val="344D3430"/>
    <w:rsid w:val="346063DD"/>
    <w:rsid w:val="346A639D"/>
    <w:rsid w:val="34717587"/>
    <w:rsid w:val="34745EC7"/>
    <w:rsid w:val="348127D3"/>
    <w:rsid w:val="348727A1"/>
    <w:rsid w:val="34901ED7"/>
    <w:rsid w:val="34947489"/>
    <w:rsid w:val="34974D7D"/>
    <w:rsid w:val="349C3490"/>
    <w:rsid w:val="34A1358E"/>
    <w:rsid w:val="34A92875"/>
    <w:rsid w:val="34AC503F"/>
    <w:rsid w:val="34B87501"/>
    <w:rsid w:val="34BC764E"/>
    <w:rsid w:val="34C167F5"/>
    <w:rsid w:val="34CD3818"/>
    <w:rsid w:val="34CE691D"/>
    <w:rsid w:val="34CF065D"/>
    <w:rsid w:val="34D5303E"/>
    <w:rsid w:val="34E77799"/>
    <w:rsid w:val="34E81690"/>
    <w:rsid w:val="34E964B5"/>
    <w:rsid w:val="34EE613E"/>
    <w:rsid w:val="34F959FE"/>
    <w:rsid w:val="34F97083"/>
    <w:rsid w:val="34FF45D0"/>
    <w:rsid w:val="35005675"/>
    <w:rsid w:val="350A392C"/>
    <w:rsid w:val="351D7722"/>
    <w:rsid w:val="35214B58"/>
    <w:rsid w:val="35221DE0"/>
    <w:rsid w:val="35230CA8"/>
    <w:rsid w:val="35232BB9"/>
    <w:rsid w:val="352A2157"/>
    <w:rsid w:val="352B704A"/>
    <w:rsid w:val="352D5B3D"/>
    <w:rsid w:val="353425DD"/>
    <w:rsid w:val="35347DC6"/>
    <w:rsid w:val="35377148"/>
    <w:rsid w:val="353A1B44"/>
    <w:rsid w:val="35420E63"/>
    <w:rsid w:val="35465A73"/>
    <w:rsid w:val="35492737"/>
    <w:rsid w:val="354955D5"/>
    <w:rsid w:val="354E5F7B"/>
    <w:rsid w:val="35512014"/>
    <w:rsid w:val="35561DDB"/>
    <w:rsid w:val="35597613"/>
    <w:rsid w:val="355C6FA6"/>
    <w:rsid w:val="357464A1"/>
    <w:rsid w:val="357B256C"/>
    <w:rsid w:val="35902D00"/>
    <w:rsid w:val="359273EB"/>
    <w:rsid w:val="3595017E"/>
    <w:rsid w:val="35962882"/>
    <w:rsid w:val="359850BD"/>
    <w:rsid w:val="35994189"/>
    <w:rsid w:val="359D012C"/>
    <w:rsid w:val="35A138FF"/>
    <w:rsid w:val="35AB1B80"/>
    <w:rsid w:val="35B77B8B"/>
    <w:rsid w:val="35B90B05"/>
    <w:rsid w:val="35C81FC2"/>
    <w:rsid w:val="35C85FF9"/>
    <w:rsid w:val="35D16BC0"/>
    <w:rsid w:val="35D547D6"/>
    <w:rsid w:val="35DB7F97"/>
    <w:rsid w:val="35E445E9"/>
    <w:rsid w:val="35E67ADB"/>
    <w:rsid w:val="35EC6635"/>
    <w:rsid w:val="35FA2648"/>
    <w:rsid w:val="35FA2884"/>
    <w:rsid w:val="35FA7867"/>
    <w:rsid w:val="36057C8F"/>
    <w:rsid w:val="360C5AE8"/>
    <w:rsid w:val="360E3BFD"/>
    <w:rsid w:val="361403A5"/>
    <w:rsid w:val="362242BB"/>
    <w:rsid w:val="362D7142"/>
    <w:rsid w:val="362F6ECD"/>
    <w:rsid w:val="36303FC1"/>
    <w:rsid w:val="36381DC9"/>
    <w:rsid w:val="363B7123"/>
    <w:rsid w:val="36434FEF"/>
    <w:rsid w:val="364955C8"/>
    <w:rsid w:val="364C0735"/>
    <w:rsid w:val="364F6BCE"/>
    <w:rsid w:val="36512560"/>
    <w:rsid w:val="36512A61"/>
    <w:rsid w:val="3654293C"/>
    <w:rsid w:val="365F1D7B"/>
    <w:rsid w:val="365F7C78"/>
    <w:rsid w:val="36607A89"/>
    <w:rsid w:val="36630710"/>
    <w:rsid w:val="36677A62"/>
    <w:rsid w:val="366911D1"/>
    <w:rsid w:val="366A4B34"/>
    <w:rsid w:val="366F21F4"/>
    <w:rsid w:val="36701379"/>
    <w:rsid w:val="367941CA"/>
    <w:rsid w:val="3687660E"/>
    <w:rsid w:val="368A2BED"/>
    <w:rsid w:val="36912CE2"/>
    <w:rsid w:val="369C7C31"/>
    <w:rsid w:val="36AB57B9"/>
    <w:rsid w:val="36B21DB3"/>
    <w:rsid w:val="36B414F2"/>
    <w:rsid w:val="36B9299E"/>
    <w:rsid w:val="36C0457C"/>
    <w:rsid w:val="36D252F5"/>
    <w:rsid w:val="36D44C0C"/>
    <w:rsid w:val="36D961D4"/>
    <w:rsid w:val="36DB0D0B"/>
    <w:rsid w:val="36DD33E3"/>
    <w:rsid w:val="36DE75A9"/>
    <w:rsid w:val="36DF6618"/>
    <w:rsid w:val="36E21119"/>
    <w:rsid w:val="36E52EA2"/>
    <w:rsid w:val="36EA36F7"/>
    <w:rsid w:val="36F54340"/>
    <w:rsid w:val="36F60D36"/>
    <w:rsid w:val="36F8761E"/>
    <w:rsid w:val="36F97784"/>
    <w:rsid w:val="37055B91"/>
    <w:rsid w:val="370B40F6"/>
    <w:rsid w:val="37101BA8"/>
    <w:rsid w:val="371A516A"/>
    <w:rsid w:val="3722038F"/>
    <w:rsid w:val="3722303B"/>
    <w:rsid w:val="372824AC"/>
    <w:rsid w:val="372E6340"/>
    <w:rsid w:val="373800B1"/>
    <w:rsid w:val="37390CB6"/>
    <w:rsid w:val="374724C9"/>
    <w:rsid w:val="374E2CE4"/>
    <w:rsid w:val="37545245"/>
    <w:rsid w:val="37651070"/>
    <w:rsid w:val="3775675D"/>
    <w:rsid w:val="377B6513"/>
    <w:rsid w:val="377C56D7"/>
    <w:rsid w:val="379973CA"/>
    <w:rsid w:val="37A9583E"/>
    <w:rsid w:val="37C81CEE"/>
    <w:rsid w:val="37D265CF"/>
    <w:rsid w:val="37DB2FF4"/>
    <w:rsid w:val="37E1712D"/>
    <w:rsid w:val="37E759FB"/>
    <w:rsid w:val="37E85690"/>
    <w:rsid w:val="37ED0902"/>
    <w:rsid w:val="37EF25A1"/>
    <w:rsid w:val="37F8110C"/>
    <w:rsid w:val="3803712B"/>
    <w:rsid w:val="381A1ED2"/>
    <w:rsid w:val="381E3D6F"/>
    <w:rsid w:val="381F7717"/>
    <w:rsid w:val="38203CC3"/>
    <w:rsid w:val="38214215"/>
    <w:rsid w:val="382C18E7"/>
    <w:rsid w:val="383C12D6"/>
    <w:rsid w:val="383C4C76"/>
    <w:rsid w:val="385607C5"/>
    <w:rsid w:val="38573F24"/>
    <w:rsid w:val="387C067E"/>
    <w:rsid w:val="388337E1"/>
    <w:rsid w:val="38853F38"/>
    <w:rsid w:val="38910D51"/>
    <w:rsid w:val="3895797A"/>
    <w:rsid w:val="38AE10B5"/>
    <w:rsid w:val="38B312F7"/>
    <w:rsid w:val="38B4790D"/>
    <w:rsid w:val="38B72EBB"/>
    <w:rsid w:val="38BB4FB6"/>
    <w:rsid w:val="38BC7473"/>
    <w:rsid w:val="38CC5F05"/>
    <w:rsid w:val="38CD07D4"/>
    <w:rsid w:val="38E41E94"/>
    <w:rsid w:val="38EA76A3"/>
    <w:rsid w:val="38EC2E3C"/>
    <w:rsid w:val="38EF36BB"/>
    <w:rsid w:val="38F313AC"/>
    <w:rsid w:val="39012334"/>
    <w:rsid w:val="390C5839"/>
    <w:rsid w:val="390F3545"/>
    <w:rsid w:val="39100704"/>
    <w:rsid w:val="39161BDA"/>
    <w:rsid w:val="39186453"/>
    <w:rsid w:val="391A054F"/>
    <w:rsid w:val="391A58D1"/>
    <w:rsid w:val="391C53D5"/>
    <w:rsid w:val="39206977"/>
    <w:rsid w:val="39293870"/>
    <w:rsid w:val="39471332"/>
    <w:rsid w:val="394A13A1"/>
    <w:rsid w:val="394C664F"/>
    <w:rsid w:val="395705A7"/>
    <w:rsid w:val="395C0FCE"/>
    <w:rsid w:val="396317F4"/>
    <w:rsid w:val="396A2A53"/>
    <w:rsid w:val="397B0CB7"/>
    <w:rsid w:val="39855CEB"/>
    <w:rsid w:val="39871B3B"/>
    <w:rsid w:val="39871B44"/>
    <w:rsid w:val="398D41F7"/>
    <w:rsid w:val="399B2380"/>
    <w:rsid w:val="39A1115A"/>
    <w:rsid w:val="39A50CEC"/>
    <w:rsid w:val="39A85521"/>
    <w:rsid w:val="39BB3BDC"/>
    <w:rsid w:val="39BC4A0B"/>
    <w:rsid w:val="39CB6D99"/>
    <w:rsid w:val="39CD4D3C"/>
    <w:rsid w:val="39D0709D"/>
    <w:rsid w:val="39D35B17"/>
    <w:rsid w:val="39D47DA9"/>
    <w:rsid w:val="39DC44D9"/>
    <w:rsid w:val="39E8000A"/>
    <w:rsid w:val="39F84FE3"/>
    <w:rsid w:val="39FA5FD0"/>
    <w:rsid w:val="3A043BA1"/>
    <w:rsid w:val="3A121D6C"/>
    <w:rsid w:val="3A134AA0"/>
    <w:rsid w:val="3A1B1D64"/>
    <w:rsid w:val="3A1F64E7"/>
    <w:rsid w:val="3A2B18EA"/>
    <w:rsid w:val="3A3913A4"/>
    <w:rsid w:val="3A412DF2"/>
    <w:rsid w:val="3A457E8F"/>
    <w:rsid w:val="3A4969A6"/>
    <w:rsid w:val="3A5C27A0"/>
    <w:rsid w:val="3A605111"/>
    <w:rsid w:val="3A6B4811"/>
    <w:rsid w:val="3A6B5E11"/>
    <w:rsid w:val="3A6D35C9"/>
    <w:rsid w:val="3A771742"/>
    <w:rsid w:val="3A7C2E2B"/>
    <w:rsid w:val="3A815239"/>
    <w:rsid w:val="3A881ACA"/>
    <w:rsid w:val="3A8829B8"/>
    <w:rsid w:val="3A9079A9"/>
    <w:rsid w:val="3A920E05"/>
    <w:rsid w:val="3A9F2E32"/>
    <w:rsid w:val="3AA27C6E"/>
    <w:rsid w:val="3AA47CA7"/>
    <w:rsid w:val="3AA957CA"/>
    <w:rsid w:val="3AAA18F1"/>
    <w:rsid w:val="3AAA335E"/>
    <w:rsid w:val="3AAB7DDB"/>
    <w:rsid w:val="3AB42A84"/>
    <w:rsid w:val="3ABC2078"/>
    <w:rsid w:val="3ABE6575"/>
    <w:rsid w:val="3AC16524"/>
    <w:rsid w:val="3ACE7DC3"/>
    <w:rsid w:val="3AD336A5"/>
    <w:rsid w:val="3AD90EAF"/>
    <w:rsid w:val="3ADD3F10"/>
    <w:rsid w:val="3ADD4D52"/>
    <w:rsid w:val="3ADE36AC"/>
    <w:rsid w:val="3AE55342"/>
    <w:rsid w:val="3AE61012"/>
    <w:rsid w:val="3AE93B48"/>
    <w:rsid w:val="3AEB2553"/>
    <w:rsid w:val="3AF0529A"/>
    <w:rsid w:val="3AF24D8F"/>
    <w:rsid w:val="3AFC440D"/>
    <w:rsid w:val="3B02475F"/>
    <w:rsid w:val="3B0338B1"/>
    <w:rsid w:val="3B060A9F"/>
    <w:rsid w:val="3B0B1558"/>
    <w:rsid w:val="3B117DD7"/>
    <w:rsid w:val="3B146A73"/>
    <w:rsid w:val="3B1743E0"/>
    <w:rsid w:val="3B25191D"/>
    <w:rsid w:val="3B2C340A"/>
    <w:rsid w:val="3B3A6618"/>
    <w:rsid w:val="3B4351E2"/>
    <w:rsid w:val="3B44089E"/>
    <w:rsid w:val="3B4A10AF"/>
    <w:rsid w:val="3B527066"/>
    <w:rsid w:val="3B61789E"/>
    <w:rsid w:val="3B62006C"/>
    <w:rsid w:val="3B627D62"/>
    <w:rsid w:val="3B64721A"/>
    <w:rsid w:val="3B7364D1"/>
    <w:rsid w:val="3B976099"/>
    <w:rsid w:val="3BA32E03"/>
    <w:rsid w:val="3BA635D9"/>
    <w:rsid w:val="3BA971CB"/>
    <w:rsid w:val="3BAE7FCB"/>
    <w:rsid w:val="3BB465AC"/>
    <w:rsid w:val="3BBA31D3"/>
    <w:rsid w:val="3BBD54EF"/>
    <w:rsid w:val="3BBE44C0"/>
    <w:rsid w:val="3BC0030E"/>
    <w:rsid w:val="3BC2789C"/>
    <w:rsid w:val="3BC52FA8"/>
    <w:rsid w:val="3BC61581"/>
    <w:rsid w:val="3BD04BF2"/>
    <w:rsid w:val="3BD2683A"/>
    <w:rsid w:val="3BE27198"/>
    <w:rsid w:val="3BEF146C"/>
    <w:rsid w:val="3BF46078"/>
    <w:rsid w:val="3C0F3483"/>
    <w:rsid w:val="3C195013"/>
    <w:rsid w:val="3C250408"/>
    <w:rsid w:val="3C352E55"/>
    <w:rsid w:val="3C3E1987"/>
    <w:rsid w:val="3C491886"/>
    <w:rsid w:val="3C4E2A3C"/>
    <w:rsid w:val="3C5C295B"/>
    <w:rsid w:val="3C62303B"/>
    <w:rsid w:val="3C64141A"/>
    <w:rsid w:val="3C643AE7"/>
    <w:rsid w:val="3C761E38"/>
    <w:rsid w:val="3C7E5DFA"/>
    <w:rsid w:val="3C836501"/>
    <w:rsid w:val="3C8B2F74"/>
    <w:rsid w:val="3C962F92"/>
    <w:rsid w:val="3C9B1FCD"/>
    <w:rsid w:val="3CAF6482"/>
    <w:rsid w:val="3CB718DD"/>
    <w:rsid w:val="3CBB6C44"/>
    <w:rsid w:val="3CC13A13"/>
    <w:rsid w:val="3CC36102"/>
    <w:rsid w:val="3CD42651"/>
    <w:rsid w:val="3CDB09F8"/>
    <w:rsid w:val="3CDC7B67"/>
    <w:rsid w:val="3CE413DB"/>
    <w:rsid w:val="3CEE3B0E"/>
    <w:rsid w:val="3CF62FFF"/>
    <w:rsid w:val="3CF7153E"/>
    <w:rsid w:val="3CFB556B"/>
    <w:rsid w:val="3CFC0C1F"/>
    <w:rsid w:val="3D004FFC"/>
    <w:rsid w:val="3D06094C"/>
    <w:rsid w:val="3D0B30FB"/>
    <w:rsid w:val="3D0C0310"/>
    <w:rsid w:val="3D1334C4"/>
    <w:rsid w:val="3D1524BF"/>
    <w:rsid w:val="3D2100AD"/>
    <w:rsid w:val="3D2219D5"/>
    <w:rsid w:val="3D241A91"/>
    <w:rsid w:val="3D27555F"/>
    <w:rsid w:val="3D275F57"/>
    <w:rsid w:val="3D284615"/>
    <w:rsid w:val="3D313454"/>
    <w:rsid w:val="3D3721B9"/>
    <w:rsid w:val="3D46437E"/>
    <w:rsid w:val="3D497385"/>
    <w:rsid w:val="3D4C1B40"/>
    <w:rsid w:val="3D526E35"/>
    <w:rsid w:val="3D540A6E"/>
    <w:rsid w:val="3D5B1069"/>
    <w:rsid w:val="3D5C0912"/>
    <w:rsid w:val="3D5E607A"/>
    <w:rsid w:val="3D65607A"/>
    <w:rsid w:val="3D672B53"/>
    <w:rsid w:val="3D756421"/>
    <w:rsid w:val="3D854E1A"/>
    <w:rsid w:val="3D8657A8"/>
    <w:rsid w:val="3DA53450"/>
    <w:rsid w:val="3DAC0DF1"/>
    <w:rsid w:val="3DAD7A17"/>
    <w:rsid w:val="3DAE7396"/>
    <w:rsid w:val="3DB07D63"/>
    <w:rsid w:val="3DB623C4"/>
    <w:rsid w:val="3DBC2294"/>
    <w:rsid w:val="3DCA2D57"/>
    <w:rsid w:val="3DCD0DD7"/>
    <w:rsid w:val="3DCE1B4B"/>
    <w:rsid w:val="3DD46078"/>
    <w:rsid w:val="3DD95014"/>
    <w:rsid w:val="3DDE74D9"/>
    <w:rsid w:val="3DE267D2"/>
    <w:rsid w:val="3DE72125"/>
    <w:rsid w:val="3DF055F8"/>
    <w:rsid w:val="3DF81BFB"/>
    <w:rsid w:val="3DFA502F"/>
    <w:rsid w:val="3E050ABF"/>
    <w:rsid w:val="3E0D007F"/>
    <w:rsid w:val="3E0E6A67"/>
    <w:rsid w:val="3E1E4DA6"/>
    <w:rsid w:val="3E282964"/>
    <w:rsid w:val="3E342B92"/>
    <w:rsid w:val="3E514348"/>
    <w:rsid w:val="3E5978DC"/>
    <w:rsid w:val="3E5D29CD"/>
    <w:rsid w:val="3E695B36"/>
    <w:rsid w:val="3E73007F"/>
    <w:rsid w:val="3E743640"/>
    <w:rsid w:val="3E824749"/>
    <w:rsid w:val="3E884142"/>
    <w:rsid w:val="3E8D3A08"/>
    <w:rsid w:val="3E9A39F9"/>
    <w:rsid w:val="3EB01023"/>
    <w:rsid w:val="3EB51CF3"/>
    <w:rsid w:val="3EBD688F"/>
    <w:rsid w:val="3EC1275B"/>
    <w:rsid w:val="3ED261B4"/>
    <w:rsid w:val="3ED50165"/>
    <w:rsid w:val="3ED6738C"/>
    <w:rsid w:val="3ED90969"/>
    <w:rsid w:val="3EDE53A8"/>
    <w:rsid w:val="3EDF5D28"/>
    <w:rsid w:val="3EDF7A91"/>
    <w:rsid w:val="3EF00BEF"/>
    <w:rsid w:val="3EF03F22"/>
    <w:rsid w:val="3EFC5FA4"/>
    <w:rsid w:val="3F006A65"/>
    <w:rsid w:val="3F03147B"/>
    <w:rsid w:val="3F0363B3"/>
    <w:rsid w:val="3F0C7BE8"/>
    <w:rsid w:val="3F176BB2"/>
    <w:rsid w:val="3F1C4126"/>
    <w:rsid w:val="3F265224"/>
    <w:rsid w:val="3F2D0FE8"/>
    <w:rsid w:val="3F324DF9"/>
    <w:rsid w:val="3F3B18E0"/>
    <w:rsid w:val="3F3F66AA"/>
    <w:rsid w:val="3F402DEF"/>
    <w:rsid w:val="3F417326"/>
    <w:rsid w:val="3F490F15"/>
    <w:rsid w:val="3F4C12DC"/>
    <w:rsid w:val="3F523004"/>
    <w:rsid w:val="3F531AE6"/>
    <w:rsid w:val="3F5837ED"/>
    <w:rsid w:val="3F63697E"/>
    <w:rsid w:val="3F65283C"/>
    <w:rsid w:val="3F7045E9"/>
    <w:rsid w:val="3F737469"/>
    <w:rsid w:val="3F7A3730"/>
    <w:rsid w:val="3F823C7F"/>
    <w:rsid w:val="3F8C37A7"/>
    <w:rsid w:val="3F9A4FF9"/>
    <w:rsid w:val="3FA606FE"/>
    <w:rsid w:val="3FB12D92"/>
    <w:rsid w:val="3FB54A76"/>
    <w:rsid w:val="3FB64131"/>
    <w:rsid w:val="3FB717F1"/>
    <w:rsid w:val="3FBA380A"/>
    <w:rsid w:val="3FBB70C3"/>
    <w:rsid w:val="3FBD715D"/>
    <w:rsid w:val="3FBE64CB"/>
    <w:rsid w:val="3FC46582"/>
    <w:rsid w:val="3FD6324E"/>
    <w:rsid w:val="3FDE5B06"/>
    <w:rsid w:val="40016C96"/>
    <w:rsid w:val="40075E2E"/>
    <w:rsid w:val="400A4AD5"/>
    <w:rsid w:val="40134CB1"/>
    <w:rsid w:val="40181303"/>
    <w:rsid w:val="40201E18"/>
    <w:rsid w:val="40221C82"/>
    <w:rsid w:val="40224228"/>
    <w:rsid w:val="403F13A5"/>
    <w:rsid w:val="40427826"/>
    <w:rsid w:val="40432DF8"/>
    <w:rsid w:val="40493C2A"/>
    <w:rsid w:val="404F2925"/>
    <w:rsid w:val="4051125E"/>
    <w:rsid w:val="40584A42"/>
    <w:rsid w:val="405B1B8D"/>
    <w:rsid w:val="40813FD7"/>
    <w:rsid w:val="408212DE"/>
    <w:rsid w:val="4087367B"/>
    <w:rsid w:val="4089712F"/>
    <w:rsid w:val="408B520F"/>
    <w:rsid w:val="408F360D"/>
    <w:rsid w:val="40981339"/>
    <w:rsid w:val="4098715D"/>
    <w:rsid w:val="40A01D3C"/>
    <w:rsid w:val="40A341F6"/>
    <w:rsid w:val="40A97691"/>
    <w:rsid w:val="40AD4606"/>
    <w:rsid w:val="40B26ED3"/>
    <w:rsid w:val="40B308D0"/>
    <w:rsid w:val="40C605E7"/>
    <w:rsid w:val="40D91EA1"/>
    <w:rsid w:val="40DC25CE"/>
    <w:rsid w:val="40DC66E9"/>
    <w:rsid w:val="40DD4272"/>
    <w:rsid w:val="40ED057D"/>
    <w:rsid w:val="40F7228C"/>
    <w:rsid w:val="40F841E6"/>
    <w:rsid w:val="40FA1135"/>
    <w:rsid w:val="40FA5BD0"/>
    <w:rsid w:val="40FD0C8B"/>
    <w:rsid w:val="41052205"/>
    <w:rsid w:val="41054F3D"/>
    <w:rsid w:val="411843F3"/>
    <w:rsid w:val="41197DE9"/>
    <w:rsid w:val="411B14D8"/>
    <w:rsid w:val="411D443F"/>
    <w:rsid w:val="412767D3"/>
    <w:rsid w:val="413A20B4"/>
    <w:rsid w:val="414B1AA4"/>
    <w:rsid w:val="41504519"/>
    <w:rsid w:val="415D250C"/>
    <w:rsid w:val="41621777"/>
    <w:rsid w:val="41635F63"/>
    <w:rsid w:val="41655197"/>
    <w:rsid w:val="416A68D3"/>
    <w:rsid w:val="416F4CA6"/>
    <w:rsid w:val="41795D79"/>
    <w:rsid w:val="417B2B70"/>
    <w:rsid w:val="418F3C6F"/>
    <w:rsid w:val="4195747B"/>
    <w:rsid w:val="419E3128"/>
    <w:rsid w:val="41A10A41"/>
    <w:rsid w:val="41A42282"/>
    <w:rsid w:val="41AB3010"/>
    <w:rsid w:val="41AE6CD4"/>
    <w:rsid w:val="41BD1C5A"/>
    <w:rsid w:val="41C2165C"/>
    <w:rsid w:val="41C75941"/>
    <w:rsid w:val="41C91B6C"/>
    <w:rsid w:val="41CF3EAC"/>
    <w:rsid w:val="41CF63B2"/>
    <w:rsid w:val="41CF72DE"/>
    <w:rsid w:val="41D31AAF"/>
    <w:rsid w:val="41D726F6"/>
    <w:rsid w:val="41D87F4D"/>
    <w:rsid w:val="41DE68A1"/>
    <w:rsid w:val="41E06FDB"/>
    <w:rsid w:val="41F7454A"/>
    <w:rsid w:val="41F95765"/>
    <w:rsid w:val="41FA4516"/>
    <w:rsid w:val="42057FE5"/>
    <w:rsid w:val="42094E25"/>
    <w:rsid w:val="420B64FB"/>
    <w:rsid w:val="420F3312"/>
    <w:rsid w:val="4212650E"/>
    <w:rsid w:val="42145AAD"/>
    <w:rsid w:val="42196620"/>
    <w:rsid w:val="421A24D4"/>
    <w:rsid w:val="42286D10"/>
    <w:rsid w:val="4229521C"/>
    <w:rsid w:val="423572E4"/>
    <w:rsid w:val="424602E6"/>
    <w:rsid w:val="42533CF0"/>
    <w:rsid w:val="425A2AFB"/>
    <w:rsid w:val="425D51A7"/>
    <w:rsid w:val="42665504"/>
    <w:rsid w:val="42707193"/>
    <w:rsid w:val="42756542"/>
    <w:rsid w:val="42761E42"/>
    <w:rsid w:val="4279297D"/>
    <w:rsid w:val="427B4EC0"/>
    <w:rsid w:val="427E3C98"/>
    <w:rsid w:val="4281000C"/>
    <w:rsid w:val="428B14A0"/>
    <w:rsid w:val="428B23F0"/>
    <w:rsid w:val="428C052A"/>
    <w:rsid w:val="428D3BD4"/>
    <w:rsid w:val="429B64C2"/>
    <w:rsid w:val="42AE3A95"/>
    <w:rsid w:val="42AF45A4"/>
    <w:rsid w:val="42CB045F"/>
    <w:rsid w:val="42DA0F6B"/>
    <w:rsid w:val="42E518CE"/>
    <w:rsid w:val="42EA3B1E"/>
    <w:rsid w:val="42EA7730"/>
    <w:rsid w:val="42EE2540"/>
    <w:rsid w:val="42F66599"/>
    <w:rsid w:val="430723CF"/>
    <w:rsid w:val="4307581F"/>
    <w:rsid w:val="43135156"/>
    <w:rsid w:val="431F06CC"/>
    <w:rsid w:val="43340C8C"/>
    <w:rsid w:val="4339108B"/>
    <w:rsid w:val="433E22D9"/>
    <w:rsid w:val="43474310"/>
    <w:rsid w:val="43475BA4"/>
    <w:rsid w:val="434A6DF6"/>
    <w:rsid w:val="434C5FAB"/>
    <w:rsid w:val="4350317F"/>
    <w:rsid w:val="435B42C0"/>
    <w:rsid w:val="4366493B"/>
    <w:rsid w:val="436F737A"/>
    <w:rsid w:val="43853E09"/>
    <w:rsid w:val="43963585"/>
    <w:rsid w:val="43A86614"/>
    <w:rsid w:val="43AF6485"/>
    <w:rsid w:val="43C12B0C"/>
    <w:rsid w:val="43CD610A"/>
    <w:rsid w:val="43D31498"/>
    <w:rsid w:val="43E623BE"/>
    <w:rsid w:val="43EA78FA"/>
    <w:rsid w:val="43FB1208"/>
    <w:rsid w:val="43FC5590"/>
    <w:rsid w:val="440472BC"/>
    <w:rsid w:val="441117F8"/>
    <w:rsid w:val="441519B5"/>
    <w:rsid w:val="44196A89"/>
    <w:rsid w:val="441B3AA7"/>
    <w:rsid w:val="441B3E6B"/>
    <w:rsid w:val="4421516A"/>
    <w:rsid w:val="4425591D"/>
    <w:rsid w:val="44343F93"/>
    <w:rsid w:val="44387394"/>
    <w:rsid w:val="44392757"/>
    <w:rsid w:val="443C150B"/>
    <w:rsid w:val="443D683F"/>
    <w:rsid w:val="444008EE"/>
    <w:rsid w:val="44420844"/>
    <w:rsid w:val="444B485C"/>
    <w:rsid w:val="444F768A"/>
    <w:rsid w:val="445E5CB2"/>
    <w:rsid w:val="445F1D21"/>
    <w:rsid w:val="44605A53"/>
    <w:rsid w:val="44693654"/>
    <w:rsid w:val="44705ECD"/>
    <w:rsid w:val="447401ED"/>
    <w:rsid w:val="447D00CC"/>
    <w:rsid w:val="447E491B"/>
    <w:rsid w:val="447E5E31"/>
    <w:rsid w:val="447F786E"/>
    <w:rsid w:val="44846572"/>
    <w:rsid w:val="44967B66"/>
    <w:rsid w:val="44986E80"/>
    <w:rsid w:val="449A5655"/>
    <w:rsid w:val="44A11AE9"/>
    <w:rsid w:val="44A7724F"/>
    <w:rsid w:val="44B53122"/>
    <w:rsid w:val="44BA1F75"/>
    <w:rsid w:val="44BA555F"/>
    <w:rsid w:val="44C36539"/>
    <w:rsid w:val="44CB7162"/>
    <w:rsid w:val="44D5643F"/>
    <w:rsid w:val="44DE659C"/>
    <w:rsid w:val="44E21A49"/>
    <w:rsid w:val="44E7085B"/>
    <w:rsid w:val="44E92BD9"/>
    <w:rsid w:val="44F93FAA"/>
    <w:rsid w:val="44F95A87"/>
    <w:rsid w:val="44FA5072"/>
    <w:rsid w:val="44FC07C1"/>
    <w:rsid w:val="450119F9"/>
    <w:rsid w:val="450C70A5"/>
    <w:rsid w:val="45127613"/>
    <w:rsid w:val="45131C43"/>
    <w:rsid w:val="45180488"/>
    <w:rsid w:val="451F2989"/>
    <w:rsid w:val="4527652F"/>
    <w:rsid w:val="453008BC"/>
    <w:rsid w:val="453542B1"/>
    <w:rsid w:val="45480483"/>
    <w:rsid w:val="45521EC8"/>
    <w:rsid w:val="45526D5C"/>
    <w:rsid w:val="455E63B6"/>
    <w:rsid w:val="4570027E"/>
    <w:rsid w:val="457E75C6"/>
    <w:rsid w:val="457F7CCE"/>
    <w:rsid w:val="458A634C"/>
    <w:rsid w:val="459314C8"/>
    <w:rsid w:val="45980F94"/>
    <w:rsid w:val="45AA324E"/>
    <w:rsid w:val="45B34CBD"/>
    <w:rsid w:val="45B95223"/>
    <w:rsid w:val="45BB5C67"/>
    <w:rsid w:val="45BF26B8"/>
    <w:rsid w:val="45C62081"/>
    <w:rsid w:val="45D03088"/>
    <w:rsid w:val="45D07917"/>
    <w:rsid w:val="45D15FD3"/>
    <w:rsid w:val="45D93B26"/>
    <w:rsid w:val="45DF78AD"/>
    <w:rsid w:val="45E00D84"/>
    <w:rsid w:val="45ED2FAE"/>
    <w:rsid w:val="45EE7877"/>
    <w:rsid w:val="46151BC7"/>
    <w:rsid w:val="46153199"/>
    <w:rsid w:val="4621624C"/>
    <w:rsid w:val="462C3C69"/>
    <w:rsid w:val="463C6989"/>
    <w:rsid w:val="46427527"/>
    <w:rsid w:val="46431D04"/>
    <w:rsid w:val="464D5BD9"/>
    <w:rsid w:val="465465EE"/>
    <w:rsid w:val="465F6FAE"/>
    <w:rsid w:val="466557B6"/>
    <w:rsid w:val="466617F3"/>
    <w:rsid w:val="46664279"/>
    <w:rsid w:val="46667A5C"/>
    <w:rsid w:val="46692EDD"/>
    <w:rsid w:val="466A0B99"/>
    <w:rsid w:val="466F3BC1"/>
    <w:rsid w:val="46721847"/>
    <w:rsid w:val="467A599D"/>
    <w:rsid w:val="468023FA"/>
    <w:rsid w:val="46826952"/>
    <w:rsid w:val="4685683D"/>
    <w:rsid w:val="46882875"/>
    <w:rsid w:val="468A33B5"/>
    <w:rsid w:val="46956D5F"/>
    <w:rsid w:val="4698020F"/>
    <w:rsid w:val="469C2400"/>
    <w:rsid w:val="469C71B6"/>
    <w:rsid w:val="46A113AF"/>
    <w:rsid w:val="46A1381D"/>
    <w:rsid w:val="46A26052"/>
    <w:rsid w:val="46AA4863"/>
    <w:rsid w:val="46AC0974"/>
    <w:rsid w:val="46AC137C"/>
    <w:rsid w:val="46AC29FE"/>
    <w:rsid w:val="46B07DED"/>
    <w:rsid w:val="46C85D02"/>
    <w:rsid w:val="46D1004F"/>
    <w:rsid w:val="46D63FD4"/>
    <w:rsid w:val="46DE53EC"/>
    <w:rsid w:val="46E03FC4"/>
    <w:rsid w:val="46F02060"/>
    <w:rsid w:val="46F02D3B"/>
    <w:rsid w:val="46F5070B"/>
    <w:rsid w:val="46F8080B"/>
    <w:rsid w:val="46FA72C2"/>
    <w:rsid w:val="4720309E"/>
    <w:rsid w:val="47212965"/>
    <w:rsid w:val="47353E17"/>
    <w:rsid w:val="47410D51"/>
    <w:rsid w:val="47427A69"/>
    <w:rsid w:val="47437350"/>
    <w:rsid w:val="474B67F5"/>
    <w:rsid w:val="47530EDE"/>
    <w:rsid w:val="47540555"/>
    <w:rsid w:val="475B1D40"/>
    <w:rsid w:val="475C6EC5"/>
    <w:rsid w:val="47612799"/>
    <w:rsid w:val="476B1DE7"/>
    <w:rsid w:val="476D2535"/>
    <w:rsid w:val="476E014F"/>
    <w:rsid w:val="476F4B95"/>
    <w:rsid w:val="47734934"/>
    <w:rsid w:val="47737E1B"/>
    <w:rsid w:val="477744A3"/>
    <w:rsid w:val="477E1AED"/>
    <w:rsid w:val="477F79E0"/>
    <w:rsid w:val="4783106A"/>
    <w:rsid w:val="478C11CF"/>
    <w:rsid w:val="47904065"/>
    <w:rsid w:val="4794023B"/>
    <w:rsid w:val="47AA3CC4"/>
    <w:rsid w:val="47B10337"/>
    <w:rsid w:val="47B27D41"/>
    <w:rsid w:val="47B42D8C"/>
    <w:rsid w:val="47B515E4"/>
    <w:rsid w:val="47B56FDE"/>
    <w:rsid w:val="47B66774"/>
    <w:rsid w:val="47B80586"/>
    <w:rsid w:val="47DE1B9E"/>
    <w:rsid w:val="47DE3B72"/>
    <w:rsid w:val="47E349B2"/>
    <w:rsid w:val="47ED048B"/>
    <w:rsid w:val="47F50BDB"/>
    <w:rsid w:val="47F71640"/>
    <w:rsid w:val="47F93CD0"/>
    <w:rsid w:val="47FB0B07"/>
    <w:rsid w:val="47FD6B93"/>
    <w:rsid w:val="480D1373"/>
    <w:rsid w:val="480E5943"/>
    <w:rsid w:val="48113320"/>
    <w:rsid w:val="48265D58"/>
    <w:rsid w:val="482820E7"/>
    <w:rsid w:val="482D2DF9"/>
    <w:rsid w:val="482D60BF"/>
    <w:rsid w:val="482E1928"/>
    <w:rsid w:val="48307EFB"/>
    <w:rsid w:val="483645D0"/>
    <w:rsid w:val="48384BAC"/>
    <w:rsid w:val="48386FB9"/>
    <w:rsid w:val="4847542A"/>
    <w:rsid w:val="48540C76"/>
    <w:rsid w:val="485B31E6"/>
    <w:rsid w:val="48612AE8"/>
    <w:rsid w:val="486A2AF4"/>
    <w:rsid w:val="48715CD5"/>
    <w:rsid w:val="487C1BB7"/>
    <w:rsid w:val="4881054A"/>
    <w:rsid w:val="48885EE2"/>
    <w:rsid w:val="488B2B6F"/>
    <w:rsid w:val="488D092E"/>
    <w:rsid w:val="489449E0"/>
    <w:rsid w:val="489C585E"/>
    <w:rsid w:val="48A35DF2"/>
    <w:rsid w:val="48AD25D8"/>
    <w:rsid w:val="48B55CFF"/>
    <w:rsid w:val="48B76E6B"/>
    <w:rsid w:val="48C51A5E"/>
    <w:rsid w:val="48C7403E"/>
    <w:rsid w:val="48C93626"/>
    <w:rsid w:val="48D32E92"/>
    <w:rsid w:val="48D77E17"/>
    <w:rsid w:val="48D91068"/>
    <w:rsid w:val="48D9397E"/>
    <w:rsid w:val="48DA1C19"/>
    <w:rsid w:val="48DE7871"/>
    <w:rsid w:val="48DF5868"/>
    <w:rsid w:val="48E644FE"/>
    <w:rsid w:val="48E83035"/>
    <w:rsid w:val="48EF7682"/>
    <w:rsid w:val="48F1300A"/>
    <w:rsid w:val="48F62FCA"/>
    <w:rsid w:val="48F70003"/>
    <w:rsid w:val="48F9019D"/>
    <w:rsid w:val="4901142D"/>
    <w:rsid w:val="491218CD"/>
    <w:rsid w:val="49223727"/>
    <w:rsid w:val="492C2240"/>
    <w:rsid w:val="492C2D04"/>
    <w:rsid w:val="492D2F3F"/>
    <w:rsid w:val="492F0998"/>
    <w:rsid w:val="49312542"/>
    <w:rsid w:val="493D646F"/>
    <w:rsid w:val="493F5FC6"/>
    <w:rsid w:val="494034B0"/>
    <w:rsid w:val="49427944"/>
    <w:rsid w:val="495126E4"/>
    <w:rsid w:val="495429C7"/>
    <w:rsid w:val="495F4C6B"/>
    <w:rsid w:val="49611DAC"/>
    <w:rsid w:val="496F67E9"/>
    <w:rsid w:val="49820C2E"/>
    <w:rsid w:val="49821E15"/>
    <w:rsid w:val="49841107"/>
    <w:rsid w:val="498636D4"/>
    <w:rsid w:val="49896BBC"/>
    <w:rsid w:val="498D4704"/>
    <w:rsid w:val="498E0C12"/>
    <w:rsid w:val="499063AB"/>
    <w:rsid w:val="49A1602A"/>
    <w:rsid w:val="49A22C38"/>
    <w:rsid w:val="49A23A6F"/>
    <w:rsid w:val="49A92464"/>
    <w:rsid w:val="49B20628"/>
    <w:rsid w:val="49B97585"/>
    <w:rsid w:val="49C453C4"/>
    <w:rsid w:val="49C47B97"/>
    <w:rsid w:val="49C92650"/>
    <w:rsid w:val="49D610BB"/>
    <w:rsid w:val="49DB3767"/>
    <w:rsid w:val="49E7343A"/>
    <w:rsid w:val="49E85A90"/>
    <w:rsid w:val="49EB2BA0"/>
    <w:rsid w:val="49EC1C66"/>
    <w:rsid w:val="49F00B53"/>
    <w:rsid w:val="49F017B5"/>
    <w:rsid w:val="49F1235D"/>
    <w:rsid w:val="49F711CA"/>
    <w:rsid w:val="49FC1489"/>
    <w:rsid w:val="4A055124"/>
    <w:rsid w:val="4A0F2A7B"/>
    <w:rsid w:val="4A1937B4"/>
    <w:rsid w:val="4A2502E7"/>
    <w:rsid w:val="4A27194D"/>
    <w:rsid w:val="4A2833A4"/>
    <w:rsid w:val="4A2E30B6"/>
    <w:rsid w:val="4A2F2264"/>
    <w:rsid w:val="4A3959A3"/>
    <w:rsid w:val="4A403CF9"/>
    <w:rsid w:val="4A417600"/>
    <w:rsid w:val="4A4656ED"/>
    <w:rsid w:val="4A4D0831"/>
    <w:rsid w:val="4A5057FC"/>
    <w:rsid w:val="4A557929"/>
    <w:rsid w:val="4A5F57F6"/>
    <w:rsid w:val="4A6E29C7"/>
    <w:rsid w:val="4A7D6E6C"/>
    <w:rsid w:val="4A8A3353"/>
    <w:rsid w:val="4A983A00"/>
    <w:rsid w:val="4A9B594C"/>
    <w:rsid w:val="4AA03C9E"/>
    <w:rsid w:val="4AA26767"/>
    <w:rsid w:val="4AAD7692"/>
    <w:rsid w:val="4AB47925"/>
    <w:rsid w:val="4ABB5BEB"/>
    <w:rsid w:val="4ABC3546"/>
    <w:rsid w:val="4ABC40BB"/>
    <w:rsid w:val="4ABF639B"/>
    <w:rsid w:val="4AC02F0D"/>
    <w:rsid w:val="4AC82554"/>
    <w:rsid w:val="4ACB2F11"/>
    <w:rsid w:val="4AD17CAC"/>
    <w:rsid w:val="4AD2088F"/>
    <w:rsid w:val="4AEB7952"/>
    <w:rsid w:val="4AF40122"/>
    <w:rsid w:val="4AFA2582"/>
    <w:rsid w:val="4AFF4228"/>
    <w:rsid w:val="4B041BC9"/>
    <w:rsid w:val="4B053723"/>
    <w:rsid w:val="4B077CAD"/>
    <w:rsid w:val="4B081F5B"/>
    <w:rsid w:val="4B0B6B99"/>
    <w:rsid w:val="4B0C7D7E"/>
    <w:rsid w:val="4B1452E4"/>
    <w:rsid w:val="4B1828C3"/>
    <w:rsid w:val="4B186339"/>
    <w:rsid w:val="4B1A5CD1"/>
    <w:rsid w:val="4B1F6D68"/>
    <w:rsid w:val="4B201AE7"/>
    <w:rsid w:val="4B2827BE"/>
    <w:rsid w:val="4B2B0CAA"/>
    <w:rsid w:val="4B333902"/>
    <w:rsid w:val="4B381D40"/>
    <w:rsid w:val="4B521671"/>
    <w:rsid w:val="4B7258BD"/>
    <w:rsid w:val="4B7D09C0"/>
    <w:rsid w:val="4B7D2E1B"/>
    <w:rsid w:val="4B902A86"/>
    <w:rsid w:val="4B926981"/>
    <w:rsid w:val="4BA3166C"/>
    <w:rsid w:val="4BA855EA"/>
    <w:rsid w:val="4BA93528"/>
    <w:rsid w:val="4BAF26A0"/>
    <w:rsid w:val="4BB03E97"/>
    <w:rsid w:val="4BCD49FE"/>
    <w:rsid w:val="4BD65E05"/>
    <w:rsid w:val="4BDC56F5"/>
    <w:rsid w:val="4BE82FEC"/>
    <w:rsid w:val="4BE9620C"/>
    <w:rsid w:val="4BE973F8"/>
    <w:rsid w:val="4BEC22CD"/>
    <w:rsid w:val="4BF07D4F"/>
    <w:rsid w:val="4BF945FD"/>
    <w:rsid w:val="4BFD752F"/>
    <w:rsid w:val="4C012D15"/>
    <w:rsid w:val="4C014AA2"/>
    <w:rsid w:val="4C052445"/>
    <w:rsid w:val="4C075BFC"/>
    <w:rsid w:val="4C0D6744"/>
    <w:rsid w:val="4C185370"/>
    <w:rsid w:val="4C1A5BF3"/>
    <w:rsid w:val="4C1D49AB"/>
    <w:rsid w:val="4C316D3B"/>
    <w:rsid w:val="4C3334F9"/>
    <w:rsid w:val="4C41336D"/>
    <w:rsid w:val="4C430D56"/>
    <w:rsid w:val="4C4E03F9"/>
    <w:rsid w:val="4C585A8F"/>
    <w:rsid w:val="4C677114"/>
    <w:rsid w:val="4C6A7A8F"/>
    <w:rsid w:val="4C6D11DD"/>
    <w:rsid w:val="4C7155AA"/>
    <w:rsid w:val="4C7704CF"/>
    <w:rsid w:val="4C7F06D7"/>
    <w:rsid w:val="4C85071C"/>
    <w:rsid w:val="4C896815"/>
    <w:rsid w:val="4C93303C"/>
    <w:rsid w:val="4C93717F"/>
    <w:rsid w:val="4C967A5F"/>
    <w:rsid w:val="4CA05EA3"/>
    <w:rsid w:val="4CA40B7E"/>
    <w:rsid w:val="4CA42AEA"/>
    <w:rsid w:val="4CA679C2"/>
    <w:rsid w:val="4CAD706F"/>
    <w:rsid w:val="4CCE16D2"/>
    <w:rsid w:val="4CE91089"/>
    <w:rsid w:val="4CF15A13"/>
    <w:rsid w:val="4CF247E6"/>
    <w:rsid w:val="4CF43F73"/>
    <w:rsid w:val="4CF919D9"/>
    <w:rsid w:val="4D01570B"/>
    <w:rsid w:val="4D074F5D"/>
    <w:rsid w:val="4D0D45AE"/>
    <w:rsid w:val="4D183A4E"/>
    <w:rsid w:val="4D1C656A"/>
    <w:rsid w:val="4D1C729F"/>
    <w:rsid w:val="4D1F2D63"/>
    <w:rsid w:val="4D23268A"/>
    <w:rsid w:val="4D2D4A97"/>
    <w:rsid w:val="4D3A455F"/>
    <w:rsid w:val="4D3D5BFA"/>
    <w:rsid w:val="4D4B217A"/>
    <w:rsid w:val="4D4E04A2"/>
    <w:rsid w:val="4D5A1861"/>
    <w:rsid w:val="4D71466D"/>
    <w:rsid w:val="4D785709"/>
    <w:rsid w:val="4D7A1EAD"/>
    <w:rsid w:val="4D7A541D"/>
    <w:rsid w:val="4D864DE1"/>
    <w:rsid w:val="4D8E39EF"/>
    <w:rsid w:val="4D960AC7"/>
    <w:rsid w:val="4DA44F03"/>
    <w:rsid w:val="4DA75232"/>
    <w:rsid w:val="4DAA1048"/>
    <w:rsid w:val="4DAE475E"/>
    <w:rsid w:val="4DAE517E"/>
    <w:rsid w:val="4DAF25E5"/>
    <w:rsid w:val="4DB40612"/>
    <w:rsid w:val="4DC2581B"/>
    <w:rsid w:val="4DCA20F6"/>
    <w:rsid w:val="4DD25B3A"/>
    <w:rsid w:val="4DDA7F52"/>
    <w:rsid w:val="4DE312CF"/>
    <w:rsid w:val="4DED192E"/>
    <w:rsid w:val="4DF179F1"/>
    <w:rsid w:val="4DFC4993"/>
    <w:rsid w:val="4E0A4FA5"/>
    <w:rsid w:val="4E0E24D6"/>
    <w:rsid w:val="4E2529A5"/>
    <w:rsid w:val="4E2709D7"/>
    <w:rsid w:val="4E2A1A56"/>
    <w:rsid w:val="4E2A584F"/>
    <w:rsid w:val="4E2C6CC0"/>
    <w:rsid w:val="4E390341"/>
    <w:rsid w:val="4E407FFF"/>
    <w:rsid w:val="4E4566B4"/>
    <w:rsid w:val="4E4C2F4A"/>
    <w:rsid w:val="4E553B56"/>
    <w:rsid w:val="4E57532F"/>
    <w:rsid w:val="4E593F30"/>
    <w:rsid w:val="4E5B6F4E"/>
    <w:rsid w:val="4E5C104A"/>
    <w:rsid w:val="4E615943"/>
    <w:rsid w:val="4E6668E3"/>
    <w:rsid w:val="4E676881"/>
    <w:rsid w:val="4E6A3C6C"/>
    <w:rsid w:val="4E860160"/>
    <w:rsid w:val="4E865533"/>
    <w:rsid w:val="4E91512B"/>
    <w:rsid w:val="4E920188"/>
    <w:rsid w:val="4E9F39D3"/>
    <w:rsid w:val="4EAC5401"/>
    <w:rsid w:val="4EBE1C30"/>
    <w:rsid w:val="4ECF35E1"/>
    <w:rsid w:val="4ED25FCB"/>
    <w:rsid w:val="4EDC13A8"/>
    <w:rsid w:val="4EE41410"/>
    <w:rsid w:val="4EE82C00"/>
    <w:rsid w:val="4EEB40B6"/>
    <w:rsid w:val="4EED3143"/>
    <w:rsid w:val="4EF009CB"/>
    <w:rsid w:val="4EFA2522"/>
    <w:rsid w:val="4EFB4D35"/>
    <w:rsid w:val="4F191A9D"/>
    <w:rsid w:val="4F194159"/>
    <w:rsid w:val="4F1A27B6"/>
    <w:rsid w:val="4F1C4023"/>
    <w:rsid w:val="4F204A59"/>
    <w:rsid w:val="4F266064"/>
    <w:rsid w:val="4F2D2E81"/>
    <w:rsid w:val="4F3425F5"/>
    <w:rsid w:val="4F3B2132"/>
    <w:rsid w:val="4F4924E4"/>
    <w:rsid w:val="4F4E1E9F"/>
    <w:rsid w:val="4F581065"/>
    <w:rsid w:val="4F5A09DE"/>
    <w:rsid w:val="4F6729B7"/>
    <w:rsid w:val="4F7B755A"/>
    <w:rsid w:val="4F825295"/>
    <w:rsid w:val="4F830447"/>
    <w:rsid w:val="4F8604F3"/>
    <w:rsid w:val="4F8E269C"/>
    <w:rsid w:val="4F8E45B1"/>
    <w:rsid w:val="4F9445D5"/>
    <w:rsid w:val="4F961F3F"/>
    <w:rsid w:val="4FAB4C13"/>
    <w:rsid w:val="4FB11B29"/>
    <w:rsid w:val="4FB70507"/>
    <w:rsid w:val="4FB7753A"/>
    <w:rsid w:val="4FCF4767"/>
    <w:rsid w:val="4FD30768"/>
    <w:rsid w:val="4FD53D1E"/>
    <w:rsid w:val="4FD77628"/>
    <w:rsid w:val="4FDD1049"/>
    <w:rsid w:val="4FE40A4D"/>
    <w:rsid w:val="4FEC7872"/>
    <w:rsid w:val="4FF1209B"/>
    <w:rsid w:val="4FF34B2F"/>
    <w:rsid w:val="4FF733FC"/>
    <w:rsid w:val="4FFB1578"/>
    <w:rsid w:val="4FFB17C1"/>
    <w:rsid w:val="4FFF7F8F"/>
    <w:rsid w:val="50067BD6"/>
    <w:rsid w:val="501A3928"/>
    <w:rsid w:val="501D0E52"/>
    <w:rsid w:val="50213BC3"/>
    <w:rsid w:val="50223E0C"/>
    <w:rsid w:val="50242A28"/>
    <w:rsid w:val="502D21F5"/>
    <w:rsid w:val="503707BF"/>
    <w:rsid w:val="503C2D85"/>
    <w:rsid w:val="503E7928"/>
    <w:rsid w:val="503F172D"/>
    <w:rsid w:val="504609E9"/>
    <w:rsid w:val="50462EFB"/>
    <w:rsid w:val="504D13D3"/>
    <w:rsid w:val="50544241"/>
    <w:rsid w:val="50601543"/>
    <w:rsid w:val="506634E9"/>
    <w:rsid w:val="5069290F"/>
    <w:rsid w:val="506C56C0"/>
    <w:rsid w:val="506D66F1"/>
    <w:rsid w:val="50794041"/>
    <w:rsid w:val="507960A3"/>
    <w:rsid w:val="507E5889"/>
    <w:rsid w:val="508401AD"/>
    <w:rsid w:val="508978FB"/>
    <w:rsid w:val="50911095"/>
    <w:rsid w:val="50945E52"/>
    <w:rsid w:val="5096506A"/>
    <w:rsid w:val="509C6EAA"/>
    <w:rsid w:val="50A85591"/>
    <w:rsid w:val="50C166B6"/>
    <w:rsid w:val="50C8657D"/>
    <w:rsid w:val="50CB182E"/>
    <w:rsid w:val="50CB5057"/>
    <w:rsid w:val="50CF4C70"/>
    <w:rsid w:val="50DC5AB7"/>
    <w:rsid w:val="50DF58AD"/>
    <w:rsid w:val="50E02F34"/>
    <w:rsid w:val="50E936FC"/>
    <w:rsid w:val="50EA3261"/>
    <w:rsid w:val="50EE030A"/>
    <w:rsid w:val="50F836E9"/>
    <w:rsid w:val="50FA1F20"/>
    <w:rsid w:val="50FC57FE"/>
    <w:rsid w:val="50FD7286"/>
    <w:rsid w:val="51083099"/>
    <w:rsid w:val="510C0CBD"/>
    <w:rsid w:val="51133161"/>
    <w:rsid w:val="511A4751"/>
    <w:rsid w:val="511C4BA4"/>
    <w:rsid w:val="512816AD"/>
    <w:rsid w:val="51286465"/>
    <w:rsid w:val="51290AAF"/>
    <w:rsid w:val="512E43FA"/>
    <w:rsid w:val="51360AD5"/>
    <w:rsid w:val="513827D8"/>
    <w:rsid w:val="513B1156"/>
    <w:rsid w:val="5148275F"/>
    <w:rsid w:val="514E68C0"/>
    <w:rsid w:val="514F6B16"/>
    <w:rsid w:val="515B5AFD"/>
    <w:rsid w:val="51633EBC"/>
    <w:rsid w:val="51637AA5"/>
    <w:rsid w:val="51727CAB"/>
    <w:rsid w:val="5174447A"/>
    <w:rsid w:val="51776EE6"/>
    <w:rsid w:val="51782B66"/>
    <w:rsid w:val="518028D5"/>
    <w:rsid w:val="51866B28"/>
    <w:rsid w:val="518938C9"/>
    <w:rsid w:val="518A07BF"/>
    <w:rsid w:val="518C4DD2"/>
    <w:rsid w:val="518E3907"/>
    <w:rsid w:val="518F164C"/>
    <w:rsid w:val="5199193F"/>
    <w:rsid w:val="51995A12"/>
    <w:rsid w:val="519C409B"/>
    <w:rsid w:val="51A37C57"/>
    <w:rsid w:val="51A47FD6"/>
    <w:rsid w:val="51A9360F"/>
    <w:rsid w:val="51BB2ECE"/>
    <w:rsid w:val="51C54623"/>
    <w:rsid w:val="51DA594D"/>
    <w:rsid w:val="51DD2DC3"/>
    <w:rsid w:val="51E32852"/>
    <w:rsid w:val="51E70AA3"/>
    <w:rsid w:val="51F342E6"/>
    <w:rsid w:val="51F7177F"/>
    <w:rsid w:val="51FB7307"/>
    <w:rsid w:val="52031B57"/>
    <w:rsid w:val="520768B3"/>
    <w:rsid w:val="521A012E"/>
    <w:rsid w:val="521C02B3"/>
    <w:rsid w:val="521C19AA"/>
    <w:rsid w:val="5224434D"/>
    <w:rsid w:val="522D3CAE"/>
    <w:rsid w:val="52366CAB"/>
    <w:rsid w:val="523B309E"/>
    <w:rsid w:val="523B650D"/>
    <w:rsid w:val="524263F4"/>
    <w:rsid w:val="52451A17"/>
    <w:rsid w:val="5251400A"/>
    <w:rsid w:val="52572892"/>
    <w:rsid w:val="52574EAC"/>
    <w:rsid w:val="525E5A96"/>
    <w:rsid w:val="526213FB"/>
    <w:rsid w:val="526254B2"/>
    <w:rsid w:val="5263340A"/>
    <w:rsid w:val="52636D7C"/>
    <w:rsid w:val="526856EC"/>
    <w:rsid w:val="526C5DB2"/>
    <w:rsid w:val="52743762"/>
    <w:rsid w:val="52835737"/>
    <w:rsid w:val="52855DD0"/>
    <w:rsid w:val="528E30CE"/>
    <w:rsid w:val="529501A7"/>
    <w:rsid w:val="5296175B"/>
    <w:rsid w:val="529F2E0F"/>
    <w:rsid w:val="52A14CB6"/>
    <w:rsid w:val="52A207EE"/>
    <w:rsid w:val="52B1208B"/>
    <w:rsid w:val="52B37614"/>
    <w:rsid w:val="52B63EF2"/>
    <w:rsid w:val="52C969AB"/>
    <w:rsid w:val="52CA271B"/>
    <w:rsid w:val="52CE2708"/>
    <w:rsid w:val="52CE6CA4"/>
    <w:rsid w:val="52DC047D"/>
    <w:rsid w:val="52E10B2A"/>
    <w:rsid w:val="52E63DE1"/>
    <w:rsid w:val="52E67AAD"/>
    <w:rsid w:val="52F27537"/>
    <w:rsid w:val="52FB4326"/>
    <w:rsid w:val="5305367A"/>
    <w:rsid w:val="530B4ECD"/>
    <w:rsid w:val="530E4F22"/>
    <w:rsid w:val="530F176A"/>
    <w:rsid w:val="531C0935"/>
    <w:rsid w:val="53212802"/>
    <w:rsid w:val="532D6E69"/>
    <w:rsid w:val="53426306"/>
    <w:rsid w:val="534D473A"/>
    <w:rsid w:val="534E4202"/>
    <w:rsid w:val="535A2953"/>
    <w:rsid w:val="535A3BD3"/>
    <w:rsid w:val="535E3168"/>
    <w:rsid w:val="53637AA3"/>
    <w:rsid w:val="53692AE7"/>
    <w:rsid w:val="53702D8D"/>
    <w:rsid w:val="5372104D"/>
    <w:rsid w:val="53807090"/>
    <w:rsid w:val="53872E48"/>
    <w:rsid w:val="538A7AC4"/>
    <w:rsid w:val="538B64E3"/>
    <w:rsid w:val="53913B9E"/>
    <w:rsid w:val="5397181E"/>
    <w:rsid w:val="539B4E7F"/>
    <w:rsid w:val="539C4C99"/>
    <w:rsid w:val="53A26AD3"/>
    <w:rsid w:val="53A44C1C"/>
    <w:rsid w:val="53A56FF5"/>
    <w:rsid w:val="53A66DE0"/>
    <w:rsid w:val="53AC5446"/>
    <w:rsid w:val="53AE048B"/>
    <w:rsid w:val="53AF14AD"/>
    <w:rsid w:val="53B75E58"/>
    <w:rsid w:val="53BC4E8A"/>
    <w:rsid w:val="53BC50BB"/>
    <w:rsid w:val="53C667DE"/>
    <w:rsid w:val="53CA3C5A"/>
    <w:rsid w:val="53D336DD"/>
    <w:rsid w:val="53DA52F7"/>
    <w:rsid w:val="53F13437"/>
    <w:rsid w:val="53F62BA6"/>
    <w:rsid w:val="53FA0827"/>
    <w:rsid w:val="54031F9E"/>
    <w:rsid w:val="54192C59"/>
    <w:rsid w:val="541E2AEC"/>
    <w:rsid w:val="54275DD0"/>
    <w:rsid w:val="54292298"/>
    <w:rsid w:val="543B6D0B"/>
    <w:rsid w:val="544562AF"/>
    <w:rsid w:val="544A6A72"/>
    <w:rsid w:val="544E6006"/>
    <w:rsid w:val="54536542"/>
    <w:rsid w:val="54553C2F"/>
    <w:rsid w:val="545F7239"/>
    <w:rsid w:val="546672EE"/>
    <w:rsid w:val="546749A3"/>
    <w:rsid w:val="546A447F"/>
    <w:rsid w:val="546C3669"/>
    <w:rsid w:val="546D2177"/>
    <w:rsid w:val="54755087"/>
    <w:rsid w:val="5478078B"/>
    <w:rsid w:val="547941E4"/>
    <w:rsid w:val="547C5FB2"/>
    <w:rsid w:val="548A3223"/>
    <w:rsid w:val="548A7A83"/>
    <w:rsid w:val="548C4E79"/>
    <w:rsid w:val="548D1DA4"/>
    <w:rsid w:val="54991676"/>
    <w:rsid w:val="54A42844"/>
    <w:rsid w:val="54AD4484"/>
    <w:rsid w:val="54B4071C"/>
    <w:rsid w:val="54B73E56"/>
    <w:rsid w:val="54B86DC7"/>
    <w:rsid w:val="54C31F4C"/>
    <w:rsid w:val="54D211C1"/>
    <w:rsid w:val="54D560BA"/>
    <w:rsid w:val="54E15D3E"/>
    <w:rsid w:val="54E37DA6"/>
    <w:rsid w:val="54ED3F39"/>
    <w:rsid w:val="54F245F4"/>
    <w:rsid w:val="54FE073C"/>
    <w:rsid w:val="55023372"/>
    <w:rsid w:val="55147904"/>
    <w:rsid w:val="551B189F"/>
    <w:rsid w:val="551B50C4"/>
    <w:rsid w:val="5521152A"/>
    <w:rsid w:val="55254F4E"/>
    <w:rsid w:val="55265581"/>
    <w:rsid w:val="553A3F82"/>
    <w:rsid w:val="553B6C24"/>
    <w:rsid w:val="553F18B6"/>
    <w:rsid w:val="55450833"/>
    <w:rsid w:val="55477E54"/>
    <w:rsid w:val="554924CA"/>
    <w:rsid w:val="554E05D8"/>
    <w:rsid w:val="55512E11"/>
    <w:rsid w:val="5559714D"/>
    <w:rsid w:val="555A08C0"/>
    <w:rsid w:val="555A7F0F"/>
    <w:rsid w:val="555D6D2B"/>
    <w:rsid w:val="556724FA"/>
    <w:rsid w:val="556D7AD0"/>
    <w:rsid w:val="556E3AA6"/>
    <w:rsid w:val="55784C48"/>
    <w:rsid w:val="55866477"/>
    <w:rsid w:val="558E4BA5"/>
    <w:rsid w:val="558F7694"/>
    <w:rsid w:val="559042B3"/>
    <w:rsid w:val="55940493"/>
    <w:rsid w:val="559E413C"/>
    <w:rsid w:val="55A17F4A"/>
    <w:rsid w:val="55AE3A97"/>
    <w:rsid w:val="55AF768B"/>
    <w:rsid w:val="55BB4BFB"/>
    <w:rsid w:val="55BD100B"/>
    <w:rsid w:val="55BD55B1"/>
    <w:rsid w:val="55C033E4"/>
    <w:rsid w:val="55C47454"/>
    <w:rsid w:val="55D53979"/>
    <w:rsid w:val="55D96FE2"/>
    <w:rsid w:val="55DD1E20"/>
    <w:rsid w:val="55EF570C"/>
    <w:rsid w:val="55F20D46"/>
    <w:rsid w:val="55F249B9"/>
    <w:rsid w:val="55F309AB"/>
    <w:rsid w:val="55F63771"/>
    <w:rsid w:val="55F93F54"/>
    <w:rsid w:val="55FA01B8"/>
    <w:rsid w:val="56157386"/>
    <w:rsid w:val="56190219"/>
    <w:rsid w:val="562F1553"/>
    <w:rsid w:val="563365C7"/>
    <w:rsid w:val="56435955"/>
    <w:rsid w:val="5646277D"/>
    <w:rsid w:val="56475B5B"/>
    <w:rsid w:val="565106E9"/>
    <w:rsid w:val="56520CB0"/>
    <w:rsid w:val="56525A50"/>
    <w:rsid w:val="5653477B"/>
    <w:rsid w:val="5653578E"/>
    <w:rsid w:val="56594D7C"/>
    <w:rsid w:val="56623FE4"/>
    <w:rsid w:val="56631BD6"/>
    <w:rsid w:val="5667077B"/>
    <w:rsid w:val="5669433E"/>
    <w:rsid w:val="566A5CF2"/>
    <w:rsid w:val="566B21B1"/>
    <w:rsid w:val="567E493C"/>
    <w:rsid w:val="568979D4"/>
    <w:rsid w:val="569B2110"/>
    <w:rsid w:val="569E30FF"/>
    <w:rsid w:val="56A576CA"/>
    <w:rsid w:val="56A912FE"/>
    <w:rsid w:val="56B35BC5"/>
    <w:rsid w:val="56B711BB"/>
    <w:rsid w:val="56D65359"/>
    <w:rsid w:val="56D8636B"/>
    <w:rsid w:val="56D918F4"/>
    <w:rsid w:val="56E007D6"/>
    <w:rsid w:val="56E03DED"/>
    <w:rsid w:val="56E568C6"/>
    <w:rsid w:val="56F07F29"/>
    <w:rsid w:val="56F3685C"/>
    <w:rsid w:val="5705792F"/>
    <w:rsid w:val="570764D1"/>
    <w:rsid w:val="570A64EE"/>
    <w:rsid w:val="571065A7"/>
    <w:rsid w:val="571F3008"/>
    <w:rsid w:val="572015EF"/>
    <w:rsid w:val="5723228F"/>
    <w:rsid w:val="57256AF0"/>
    <w:rsid w:val="57261688"/>
    <w:rsid w:val="57302A1D"/>
    <w:rsid w:val="573A6FAD"/>
    <w:rsid w:val="57446068"/>
    <w:rsid w:val="575253E7"/>
    <w:rsid w:val="57527386"/>
    <w:rsid w:val="575A7F3C"/>
    <w:rsid w:val="57651EC9"/>
    <w:rsid w:val="57662435"/>
    <w:rsid w:val="576A56DC"/>
    <w:rsid w:val="576F0A3D"/>
    <w:rsid w:val="576F7BAB"/>
    <w:rsid w:val="57722FF5"/>
    <w:rsid w:val="57735484"/>
    <w:rsid w:val="577915C3"/>
    <w:rsid w:val="57830EA0"/>
    <w:rsid w:val="578E1D7F"/>
    <w:rsid w:val="57901965"/>
    <w:rsid w:val="57930750"/>
    <w:rsid w:val="579569CD"/>
    <w:rsid w:val="579A5FF7"/>
    <w:rsid w:val="57A12CA7"/>
    <w:rsid w:val="57BA1364"/>
    <w:rsid w:val="57BC710D"/>
    <w:rsid w:val="57BC7A41"/>
    <w:rsid w:val="57C91070"/>
    <w:rsid w:val="57CA1404"/>
    <w:rsid w:val="57CB2358"/>
    <w:rsid w:val="57CD42DE"/>
    <w:rsid w:val="57D36721"/>
    <w:rsid w:val="57DC5CC6"/>
    <w:rsid w:val="57E03A7C"/>
    <w:rsid w:val="57E203F8"/>
    <w:rsid w:val="57E22BEB"/>
    <w:rsid w:val="57E26931"/>
    <w:rsid w:val="57E55ECE"/>
    <w:rsid w:val="57EF7AEE"/>
    <w:rsid w:val="57F236CB"/>
    <w:rsid w:val="57F55F49"/>
    <w:rsid w:val="58030477"/>
    <w:rsid w:val="58030FBF"/>
    <w:rsid w:val="5808175F"/>
    <w:rsid w:val="58082BC7"/>
    <w:rsid w:val="580E38D2"/>
    <w:rsid w:val="580F1112"/>
    <w:rsid w:val="5812448E"/>
    <w:rsid w:val="581C10F6"/>
    <w:rsid w:val="5822657C"/>
    <w:rsid w:val="5824264D"/>
    <w:rsid w:val="58276590"/>
    <w:rsid w:val="58320A29"/>
    <w:rsid w:val="58330C9F"/>
    <w:rsid w:val="584265FB"/>
    <w:rsid w:val="58474322"/>
    <w:rsid w:val="584D741D"/>
    <w:rsid w:val="58615AD3"/>
    <w:rsid w:val="586A6640"/>
    <w:rsid w:val="5872245F"/>
    <w:rsid w:val="587871EE"/>
    <w:rsid w:val="587C0DC1"/>
    <w:rsid w:val="587D5518"/>
    <w:rsid w:val="587E6B44"/>
    <w:rsid w:val="587E76B6"/>
    <w:rsid w:val="587F1669"/>
    <w:rsid w:val="587F69D8"/>
    <w:rsid w:val="5882178C"/>
    <w:rsid w:val="588326EB"/>
    <w:rsid w:val="5888647E"/>
    <w:rsid w:val="588B15B2"/>
    <w:rsid w:val="588F1D45"/>
    <w:rsid w:val="58AE0BC4"/>
    <w:rsid w:val="58B733E5"/>
    <w:rsid w:val="58C87811"/>
    <w:rsid w:val="58C96FBD"/>
    <w:rsid w:val="58CF04A4"/>
    <w:rsid w:val="58D87A5E"/>
    <w:rsid w:val="58F4280C"/>
    <w:rsid w:val="59030F7B"/>
    <w:rsid w:val="59042449"/>
    <w:rsid w:val="59045CD3"/>
    <w:rsid w:val="590D0592"/>
    <w:rsid w:val="59113080"/>
    <w:rsid w:val="59144EC0"/>
    <w:rsid w:val="591717AF"/>
    <w:rsid w:val="591F691E"/>
    <w:rsid w:val="59360A8A"/>
    <w:rsid w:val="593766AC"/>
    <w:rsid w:val="593A0841"/>
    <w:rsid w:val="59437D0E"/>
    <w:rsid w:val="59446DD2"/>
    <w:rsid w:val="59480E5F"/>
    <w:rsid w:val="59496864"/>
    <w:rsid w:val="594D69EF"/>
    <w:rsid w:val="594E422B"/>
    <w:rsid w:val="594F5B14"/>
    <w:rsid w:val="59520FFB"/>
    <w:rsid w:val="595446B3"/>
    <w:rsid w:val="59662CD1"/>
    <w:rsid w:val="59747342"/>
    <w:rsid w:val="597B5D09"/>
    <w:rsid w:val="597D4F34"/>
    <w:rsid w:val="59805764"/>
    <w:rsid w:val="59876530"/>
    <w:rsid w:val="59881D9B"/>
    <w:rsid w:val="598A5B36"/>
    <w:rsid w:val="598B2443"/>
    <w:rsid w:val="598F0914"/>
    <w:rsid w:val="599D6880"/>
    <w:rsid w:val="59A015F0"/>
    <w:rsid w:val="59A30036"/>
    <w:rsid w:val="59A533C7"/>
    <w:rsid w:val="59A716AA"/>
    <w:rsid w:val="59AC6C37"/>
    <w:rsid w:val="59B82FFF"/>
    <w:rsid w:val="59C27A20"/>
    <w:rsid w:val="59C61D72"/>
    <w:rsid w:val="59CD6D40"/>
    <w:rsid w:val="59CE290A"/>
    <w:rsid w:val="59D23BA8"/>
    <w:rsid w:val="59D26EBB"/>
    <w:rsid w:val="59D42816"/>
    <w:rsid w:val="59D47007"/>
    <w:rsid w:val="59DA63EF"/>
    <w:rsid w:val="59DB65C1"/>
    <w:rsid w:val="59E02B6E"/>
    <w:rsid w:val="59F25E07"/>
    <w:rsid w:val="59FA6516"/>
    <w:rsid w:val="5A085968"/>
    <w:rsid w:val="5A0E3DD7"/>
    <w:rsid w:val="5A1C4A6E"/>
    <w:rsid w:val="5A1C5EBB"/>
    <w:rsid w:val="5A1D7E77"/>
    <w:rsid w:val="5A2039D1"/>
    <w:rsid w:val="5A291BAA"/>
    <w:rsid w:val="5A355962"/>
    <w:rsid w:val="5A363E44"/>
    <w:rsid w:val="5A3869ED"/>
    <w:rsid w:val="5A405F35"/>
    <w:rsid w:val="5A4A5794"/>
    <w:rsid w:val="5A4D7F73"/>
    <w:rsid w:val="5A4F1C0F"/>
    <w:rsid w:val="5A4F6424"/>
    <w:rsid w:val="5A5A4EAF"/>
    <w:rsid w:val="5A691033"/>
    <w:rsid w:val="5A8456C1"/>
    <w:rsid w:val="5A8B1C8A"/>
    <w:rsid w:val="5A8C14A1"/>
    <w:rsid w:val="5A8E2D47"/>
    <w:rsid w:val="5A93748F"/>
    <w:rsid w:val="5AA10A4D"/>
    <w:rsid w:val="5AA61DA6"/>
    <w:rsid w:val="5AB83430"/>
    <w:rsid w:val="5AC04D8A"/>
    <w:rsid w:val="5AC73C78"/>
    <w:rsid w:val="5ADE6EB9"/>
    <w:rsid w:val="5ADF0DFE"/>
    <w:rsid w:val="5ADF23B1"/>
    <w:rsid w:val="5AEA224D"/>
    <w:rsid w:val="5AEE6256"/>
    <w:rsid w:val="5AEF5E30"/>
    <w:rsid w:val="5AF0028F"/>
    <w:rsid w:val="5AF52483"/>
    <w:rsid w:val="5AFA7ABA"/>
    <w:rsid w:val="5B1070C2"/>
    <w:rsid w:val="5B13585F"/>
    <w:rsid w:val="5B1B598E"/>
    <w:rsid w:val="5B1D5F74"/>
    <w:rsid w:val="5B1F4098"/>
    <w:rsid w:val="5B386FEB"/>
    <w:rsid w:val="5B3B1EFD"/>
    <w:rsid w:val="5B3F0831"/>
    <w:rsid w:val="5B4850A2"/>
    <w:rsid w:val="5B4D361B"/>
    <w:rsid w:val="5B4D3A90"/>
    <w:rsid w:val="5B4D415C"/>
    <w:rsid w:val="5B4E53F2"/>
    <w:rsid w:val="5B505CD7"/>
    <w:rsid w:val="5B533615"/>
    <w:rsid w:val="5B5E4961"/>
    <w:rsid w:val="5B5F4611"/>
    <w:rsid w:val="5B642A54"/>
    <w:rsid w:val="5B6A2457"/>
    <w:rsid w:val="5B773D07"/>
    <w:rsid w:val="5B8C05D5"/>
    <w:rsid w:val="5B8F265E"/>
    <w:rsid w:val="5B9176F7"/>
    <w:rsid w:val="5B924987"/>
    <w:rsid w:val="5B942390"/>
    <w:rsid w:val="5BA013DD"/>
    <w:rsid w:val="5BAB46A4"/>
    <w:rsid w:val="5BB250B7"/>
    <w:rsid w:val="5BB440B8"/>
    <w:rsid w:val="5BB44E1C"/>
    <w:rsid w:val="5BBE3BE1"/>
    <w:rsid w:val="5BC15C57"/>
    <w:rsid w:val="5BD95970"/>
    <w:rsid w:val="5BDA1100"/>
    <w:rsid w:val="5BE27884"/>
    <w:rsid w:val="5BE95A3B"/>
    <w:rsid w:val="5BEF674E"/>
    <w:rsid w:val="5BF562D4"/>
    <w:rsid w:val="5BF64AD3"/>
    <w:rsid w:val="5C010F53"/>
    <w:rsid w:val="5C0145DA"/>
    <w:rsid w:val="5C084C3D"/>
    <w:rsid w:val="5C0916E4"/>
    <w:rsid w:val="5C115F14"/>
    <w:rsid w:val="5C3C7F05"/>
    <w:rsid w:val="5C425F0D"/>
    <w:rsid w:val="5C4E60D2"/>
    <w:rsid w:val="5C552D6F"/>
    <w:rsid w:val="5C667BE9"/>
    <w:rsid w:val="5C6729F2"/>
    <w:rsid w:val="5C6A1C8D"/>
    <w:rsid w:val="5C6C7826"/>
    <w:rsid w:val="5C784073"/>
    <w:rsid w:val="5C8159CE"/>
    <w:rsid w:val="5C832E95"/>
    <w:rsid w:val="5C8C5F5E"/>
    <w:rsid w:val="5C926976"/>
    <w:rsid w:val="5CA05635"/>
    <w:rsid w:val="5CA7454C"/>
    <w:rsid w:val="5CAE383C"/>
    <w:rsid w:val="5CBA5E7A"/>
    <w:rsid w:val="5CBA7412"/>
    <w:rsid w:val="5CBF44A6"/>
    <w:rsid w:val="5CC02746"/>
    <w:rsid w:val="5CC948ED"/>
    <w:rsid w:val="5CCB2794"/>
    <w:rsid w:val="5CCC7812"/>
    <w:rsid w:val="5CDC37DE"/>
    <w:rsid w:val="5CE41893"/>
    <w:rsid w:val="5CE72DB6"/>
    <w:rsid w:val="5CE9769D"/>
    <w:rsid w:val="5CEE5B3D"/>
    <w:rsid w:val="5CF83F2C"/>
    <w:rsid w:val="5D013AFA"/>
    <w:rsid w:val="5D0750D3"/>
    <w:rsid w:val="5D0F1A39"/>
    <w:rsid w:val="5D3145EF"/>
    <w:rsid w:val="5D32505A"/>
    <w:rsid w:val="5D360A37"/>
    <w:rsid w:val="5D490903"/>
    <w:rsid w:val="5D5476E5"/>
    <w:rsid w:val="5D55046F"/>
    <w:rsid w:val="5D5B74D8"/>
    <w:rsid w:val="5D605CF8"/>
    <w:rsid w:val="5D606548"/>
    <w:rsid w:val="5D61489E"/>
    <w:rsid w:val="5D675116"/>
    <w:rsid w:val="5D745C21"/>
    <w:rsid w:val="5D7B6DC8"/>
    <w:rsid w:val="5D7F092E"/>
    <w:rsid w:val="5D8441F7"/>
    <w:rsid w:val="5D84471E"/>
    <w:rsid w:val="5D8507F9"/>
    <w:rsid w:val="5D885015"/>
    <w:rsid w:val="5D894BDC"/>
    <w:rsid w:val="5D8A3769"/>
    <w:rsid w:val="5D8B24AA"/>
    <w:rsid w:val="5D930450"/>
    <w:rsid w:val="5D997002"/>
    <w:rsid w:val="5DAA57CD"/>
    <w:rsid w:val="5DAA6A82"/>
    <w:rsid w:val="5DAC42F3"/>
    <w:rsid w:val="5DAF1B7F"/>
    <w:rsid w:val="5DB645D0"/>
    <w:rsid w:val="5DB837EB"/>
    <w:rsid w:val="5DC0266D"/>
    <w:rsid w:val="5DC547D6"/>
    <w:rsid w:val="5DDA3A49"/>
    <w:rsid w:val="5DDC04BD"/>
    <w:rsid w:val="5DE232A4"/>
    <w:rsid w:val="5DE94C61"/>
    <w:rsid w:val="5DEF3843"/>
    <w:rsid w:val="5DF14A3B"/>
    <w:rsid w:val="5DF33983"/>
    <w:rsid w:val="5DFF15EB"/>
    <w:rsid w:val="5E0E09D4"/>
    <w:rsid w:val="5E152BE0"/>
    <w:rsid w:val="5E157E49"/>
    <w:rsid w:val="5E1C1BE5"/>
    <w:rsid w:val="5E20067E"/>
    <w:rsid w:val="5E253AEB"/>
    <w:rsid w:val="5E2767D8"/>
    <w:rsid w:val="5E2D1D2C"/>
    <w:rsid w:val="5E3F16FF"/>
    <w:rsid w:val="5E3F37AF"/>
    <w:rsid w:val="5E517574"/>
    <w:rsid w:val="5E52337D"/>
    <w:rsid w:val="5E5C572C"/>
    <w:rsid w:val="5E5D23C4"/>
    <w:rsid w:val="5E6720EA"/>
    <w:rsid w:val="5E6A192A"/>
    <w:rsid w:val="5E7F79CC"/>
    <w:rsid w:val="5E8947D4"/>
    <w:rsid w:val="5E9223B4"/>
    <w:rsid w:val="5E9338F0"/>
    <w:rsid w:val="5EA01484"/>
    <w:rsid w:val="5EA73041"/>
    <w:rsid w:val="5EA839AB"/>
    <w:rsid w:val="5EAA4990"/>
    <w:rsid w:val="5EAD036D"/>
    <w:rsid w:val="5EB65552"/>
    <w:rsid w:val="5EB7149B"/>
    <w:rsid w:val="5EC14CFB"/>
    <w:rsid w:val="5EC864EE"/>
    <w:rsid w:val="5ED14353"/>
    <w:rsid w:val="5ED443A0"/>
    <w:rsid w:val="5ED529C9"/>
    <w:rsid w:val="5EDC4206"/>
    <w:rsid w:val="5EDD672F"/>
    <w:rsid w:val="5EE975B0"/>
    <w:rsid w:val="5EEC6E61"/>
    <w:rsid w:val="5EEE08A1"/>
    <w:rsid w:val="5EF27809"/>
    <w:rsid w:val="5EF336A4"/>
    <w:rsid w:val="5EF463E6"/>
    <w:rsid w:val="5EF95CEA"/>
    <w:rsid w:val="5F031CE3"/>
    <w:rsid w:val="5F0634A5"/>
    <w:rsid w:val="5F22007E"/>
    <w:rsid w:val="5F270186"/>
    <w:rsid w:val="5F3E1CD2"/>
    <w:rsid w:val="5F4375C0"/>
    <w:rsid w:val="5F452002"/>
    <w:rsid w:val="5F457A08"/>
    <w:rsid w:val="5F4A6664"/>
    <w:rsid w:val="5F4E3361"/>
    <w:rsid w:val="5F5307F4"/>
    <w:rsid w:val="5F550459"/>
    <w:rsid w:val="5F6067D1"/>
    <w:rsid w:val="5F666AA1"/>
    <w:rsid w:val="5F683DE8"/>
    <w:rsid w:val="5F687828"/>
    <w:rsid w:val="5F6F2D9A"/>
    <w:rsid w:val="5F7432D0"/>
    <w:rsid w:val="5F765117"/>
    <w:rsid w:val="5F794437"/>
    <w:rsid w:val="5F8F0442"/>
    <w:rsid w:val="5F996F25"/>
    <w:rsid w:val="5FA40490"/>
    <w:rsid w:val="5FB44D72"/>
    <w:rsid w:val="5FC00B28"/>
    <w:rsid w:val="5FC4076F"/>
    <w:rsid w:val="5FC81F78"/>
    <w:rsid w:val="5FD04D37"/>
    <w:rsid w:val="5FD85C96"/>
    <w:rsid w:val="5FD87E77"/>
    <w:rsid w:val="5FDC525B"/>
    <w:rsid w:val="5FE8161E"/>
    <w:rsid w:val="5FED52AC"/>
    <w:rsid w:val="5FF2717C"/>
    <w:rsid w:val="5FF533B6"/>
    <w:rsid w:val="60007F28"/>
    <w:rsid w:val="600B479E"/>
    <w:rsid w:val="60115B4A"/>
    <w:rsid w:val="602A4727"/>
    <w:rsid w:val="6037442E"/>
    <w:rsid w:val="603A1BEB"/>
    <w:rsid w:val="603C7CE6"/>
    <w:rsid w:val="60450EE8"/>
    <w:rsid w:val="604B6596"/>
    <w:rsid w:val="605717CA"/>
    <w:rsid w:val="60583D68"/>
    <w:rsid w:val="605C2C01"/>
    <w:rsid w:val="606471D6"/>
    <w:rsid w:val="606A2D40"/>
    <w:rsid w:val="606C3A38"/>
    <w:rsid w:val="60763F2C"/>
    <w:rsid w:val="60766940"/>
    <w:rsid w:val="60774F4F"/>
    <w:rsid w:val="60787F6F"/>
    <w:rsid w:val="609F11FE"/>
    <w:rsid w:val="60A31FBD"/>
    <w:rsid w:val="60A33417"/>
    <w:rsid w:val="60A465BB"/>
    <w:rsid w:val="60A50C32"/>
    <w:rsid w:val="60AB2449"/>
    <w:rsid w:val="60AF535E"/>
    <w:rsid w:val="60B55777"/>
    <w:rsid w:val="60C01EF8"/>
    <w:rsid w:val="60C27288"/>
    <w:rsid w:val="60C4538E"/>
    <w:rsid w:val="60C95FE4"/>
    <w:rsid w:val="60D14603"/>
    <w:rsid w:val="60D42648"/>
    <w:rsid w:val="60E3363E"/>
    <w:rsid w:val="60E6019B"/>
    <w:rsid w:val="60E92861"/>
    <w:rsid w:val="610805F9"/>
    <w:rsid w:val="611E48D4"/>
    <w:rsid w:val="612041E8"/>
    <w:rsid w:val="612A3F41"/>
    <w:rsid w:val="613677D7"/>
    <w:rsid w:val="61386BB5"/>
    <w:rsid w:val="6140423B"/>
    <w:rsid w:val="61405FF8"/>
    <w:rsid w:val="614118A3"/>
    <w:rsid w:val="61431BBB"/>
    <w:rsid w:val="6148677A"/>
    <w:rsid w:val="61491D88"/>
    <w:rsid w:val="614B74DB"/>
    <w:rsid w:val="61604264"/>
    <w:rsid w:val="616F6C41"/>
    <w:rsid w:val="61756B20"/>
    <w:rsid w:val="617B1B56"/>
    <w:rsid w:val="61820FC8"/>
    <w:rsid w:val="618A758F"/>
    <w:rsid w:val="61902F9A"/>
    <w:rsid w:val="61945D60"/>
    <w:rsid w:val="61964F3E"/>
    <w:rsid w:val="619B1FCE"/>
    <w:rsid w:val="619F6015"/>
    <w:rsid w:val="61A96ACD"/>
    <w:rsid w:val="61AA7465"/>
    <w:rsid w:val="61B20347"/>
    <w:rsid w:val="61B50043"/>
    <w:rsid w:val="61B5131A"/>
    <w:rsid w:val="61C057F7"/>
    <w:rsid w:val="61C3125A"/>
    <w:rsid w:val="61D01A58"/>
    <w:rsid w:val="61D77203"/>
    <w:rsid w:val="61DF2993"/>
    <w:rsid w:val="61E4271C"/>
    <w:rsid w:val="61E54DA3"/>
    <w:rsid w:val="61E77A4B"/>
    <w:rsid w:val="61ED349B"/>
    <w:rsid w:val="61F06849"/>
    <w:rsid w:val="61F85010"/>
    <w:rsid w:val="61FF3DF6"/>
    <w:rsid w:val="6200597A"/>
    <w:rsid w:val="620206AF"/>
    <w:rsid w:val="6203356C"/>
    <w:rsid w:val="6204665E"/>
    <w:rsid w:val="62072F34"/>
    <w:rsid w:val="620957D5"/>
    <w:rsid w:val="62095ED6"/>
    <w:rsid w:val="620F12B0"/>
    <w:rsid w:val="620F5A33"/>
    <w:rsid w:val="62101D99"/>
    <w:rsid w:val="621518ED"/>
    <w:rsid w:val="622635BF"/>
    <w:rsid w:val="622D29F6"/>
    <w:rsid w:val="622D3A57"/>
    <w:rsid w:val="622F400C"/>
    <w:rsid w:val="62341FBD"/>
    <w:rsid w:val="623F0794"/>
    <w:rsid w:val="623F5F9D"/>
    <w:rsid w:val="624E1A99"/>
    <w:rsid w:val="6254581F"/>
    <w:rsid w:val="62570A34"/>
    <w:rsid w:val="625C4283"/>
    <w:rsid w:val="625C642F"/>
    <w:rsid w:val="626477E7"/>
    <w:rsid w:val="62664EC7"/>
    <w:rsid w:val="6268322D"/>
    <w:rsid w:val="626A7CE6"/>
    <w:rsid w:val="627033FB"/>
    <w:rsid w:val="62715D43"/>
    <w:rsid w:val="62813E21"/>
    <w:rsid w:val="628869E1"/>
    <w:rsid w:val="628C7DE2"/>
    <w:rsid w:val="6299540B"/>
    <w:rsid w:val="629D775C"/>
    <w:rsid w:val="62A75B1D"/>
    <w:rsid w:val="62AA2AA2"/>
    <w:rsid w:val="62AC0D31"/>
    <w:rsid w:val="62AC692C"/>
    <w:rsid w:val="62B115F2"/>
    <w:rsid w:val="62B540A6"/>
    <w:rsid w:val="62CB5BB9"/>
    <w:rsid w:val="62D15B54"/>
    <w:rsid w:val="62D702C9"/>
    <w:rsid w:val="62E70576"/>
    <w:rsid w:val="62EC30A7"/>
    <w:rsid w:val="62F176BF"/>
    <w:rsid w:val="62F65FE4"/>
    <w:rsid w:val="62FD08C2"/>
    <w:rsid w:val="63013BD1"/>
    <w:rsid w:val="6310740E"/>
    <w:rsid w:val="63186264"/>
    <w:rsid w:val="631E4DA4"/>
    <w:rsid w:val="632123E5"/>
    <w:rsid w:val="63230ECC"/>
    <w:rsid w:val="632457B0"/>
    <w:rsid w:val="632A4E20"/>
    <w:rsid w:val="632B2CA7"/>
    <w:rsid w:val="633318DA"/>
    <w:rsid w:val="63354B26"/>
    <w:rsid w:val="6340772F"/>
    <w:rsid w:val="634577BD"/>
    <w:rsid w:val="63485DA5"/>
    <w:rsid w:val="634A10B7"/>
    <w:rsid w:val="634B36A7"/>
    <w:rsid w:val="634C24E7"/>
    <w:rsid w:val="634F4271"/>
    <w:rsid w:val="634F45AB"/>
    <w:rsid w:val="63551821"/>
    <w:rsid w:val="63644793"/>
    <w:rsid w:val="6366790A"/>
    <w:rsid w:val="63686627"/>
    <w:rsid w:val="636B7769"/>
    <w:rsid w:val="63725230"/>
    <w:rsid w:val="637E1B4E"/>
    <w:rsid w:val="6381447C"/>
    <w:rsid w:val="638512B5"/>
    <w:rsid w:val="638C00E2"/>
    <w:rsid w:val="63951831"/>
    <w:rsid w:val="63A00CA5"/>
    <w:rsid w:val="63A03B4E"/>
    <w:rsid w:val="63A26C32"/>
    <w:rsid w:val="63A47DF9"/>
    <w:rsid w:val="63A53E73"/>
    <w:rsid w:val="63AC019A"/>
    <w:rsid w:val="63B73F00"/>
    <w:rsid w:val="63BB5D3A"/>
    <w:rsid w:val="63C648B9"/>
    <w:rsid w:val="63C76E8A"/>
    <w:rsid w:val="63CD7638"/>
    <w:rsid w:val="63DD591C"/>
    <w:rsid w:val="63E002CD"/>
    <w:rsid w:val="63FD6918"/>
    <w:rsid w:val="6415681B"/>
    <w:rsid w:val="641E621F"/>
    <w:rsid w:val="6421653F"/>
    <w:rsid w:val="642264BB"/>
    <w:rsid w:val="64291AE0"/>
    <w:rsid w:val="642E78EB"/>
    <w:rsid w:val="64416180"/>
    <w:rsid w:val="6441683A"/>
    <w:rsid w:val="6449283B"/>
    <w:rsid w:val="64497172"/>
    <w:rsid w:val="644C0D29"/>
    <w:rsid w:val="644F2985"/>
    <w:rsid w:val="644F3B8E"/>
    <w:rsid w:val="64506C6F"/>
    <w:rsid w:val="6452055E"/>
    <w:rsid w:val="64560C9D"/>
    <w:rsid w:val="6458155F"/>
    <w:rsid w:val="645A1AB7"/>
    <w:rsid w:val="645C36E9"/>
    <w:rsid w:val="645D7390"/>
    <w:rsid w:val="64617A94"/>
    <w:rsid w:val="64637A26"/>
    <w:rsid w:val="646E04DC"/>
    <w:rsid w:val="648A29F0"/>
    <w:rsid w:val="64925272"/>
    <w:rsid w:val="64A10705"/>
    <w:rsid w:val="64A81608"/>
    <w:rsid w:val="64AB0BA0"/>
    <w:rsid w:val="64B0413E"/>
    <w:rsid w:val="64B731AB"/>
    <w:rsid w:val="64BA26E9"/>
    <w:rsid w:val="64BF536F"/>
    <w:rsid w:val="64C11620"/>
    <w:rsid w:val="64C947DB"/>
    <w:rsid w:val="64CB2B98"/>
    <w:rsid w:val="64CC4F55"/>
    <w:rsid w:val="64D0376B"/>
    <w:rsid w:val="64D655FB"/>
    <w:rsid w:val="64D84167"/>
    <w:rsid w:val="64EB7F50"/>
    <w:rsid w:val="64F21012"/>
    <w:rsid w:val="64F21227"/>
    <w:rsid w:val="64F338EB"/>
    <w:rsid w:val="64F508D2"/>
    <w:rsid w:val="64F74020"/>
    <w:rsid w:val="6505463E"/>
    <w:rsid w:val="65071367"/>
    <w:rsid w:val="651A1C61"/>
    <w:rsid w:val="65274067"/>
    <w:rsid w:val="653668EA"/>
    <w:rsid w:val="65373463"/>
    <w:rsid w:val="6538764C"/>
    <w:rsid w:val="65417DBB"/>
    <w:rsid w:val="65447D2D"/>
    <w:rsid w:val="654D693D"/>
    <w:rsid w:val="65530348"/>
    <w:rsid w:val="65565791"/>
    <w:rsid w:val="655F4533"/>
    <w:rsid w:val="656D275F"/>
    <w:rsid w:val="656F1A45"/>
    <w:rsid w:val="65773241"/>
    <w:rsid w:val="657A61F8"/>
    <w:rsid w:val="65882129"/>
    <w:rsid w:val="65985E69"/>
    <w:rsid w:val="659904C1"/>
    <w:rsid w:val="65A53C9B"/>
    <w:rsid w:val="65C22F6F"/>
    <w:rsid w:val="65CB115A"/>
    <w:rsid w:val="65CB3C3A"/>
    <w:rsid w:val="65CD49F4"/>
    <w:rsid w:val="65D17737"/>
    <w:rsid w:val="65E166B9"/>
    <w:rsid w:val="65E21D87"/>
    <w:rsid w:val="65E23E2D"/>
    <w:rsid w:val="65E26F62"/>
    <w:rsid w:val="65E67EDE"/>
    <w:rsid w:val="65F57CEE"/>
    <w:rsid w:val="65FB437C"/>
    <w:rsid w:val="65FC3748"/>
    <w:rsid w:val="66004D29"/>
    <w:rsid w:val="66005492"/>
    <w:rsid w:val="660637BC"/>
    <w:rsid w:val="660A3825"/>
    <w:rsid w:val="66111BDF"/>
    <w:rsid w:val="66166E46"/>
    <w:rsid w:val="661C5A0B"/>
    <w:rsid w:val="6623337F"/>
    <w:rsid w:val="66292466"/>
    <w:rsid w:val="66355966"/>
    <w:rsid w:val="663F40E7"/>
    <w:rsid w:val="66462121"/>
    <w:rsid w:val="664B65A7"/>
    <w:rsid w:val="664D3B16"/>
    <w:rsid w:val="6654161B"/>
    <w:rsid w:val="665753C9"/>
    <w:rsid w:val="665C3B59"/>
    <w:rsid w:val="665E2BD1"/>
    <w:rsid w:val="666B4A32"/>
    <w:rsid w:val="666E5A05"/>
    <w:rsid w:val="66751B48"/>
    <w:rsid w:val="667C6E98"/>
    <w:rsid w:val="667F0828"/>
    <w:rsid w:val="66810D67"/>
    <w:rsid w:val="66812D31"/>
    <w:rsid w:val="66861B78"/>
    <w:rsid w:val="668622FF"/>
    <w:rsid w:val="66882F26"/>
    <w:rsid w:val="668F6805"/>
    <w:rsid w:val="669073AE"/>
    <w:rsid w:val="66AD0599"/>
    <w:rsid w:val="66AF6EBE"/>
    <w:rsid w:val="66B11C6A"/>
    <w:rsid w:val="66BC2447"/>
    <w:rsid w:val="66C5709B"/>
    <w:rsid w:val="66CC478E"/>
    <w:rsid w:val="66CD66D2"/>
    <w:rsid w:val="66D32CA4"/>
    <w:rsid w:val="66E308A7"/>
    <w:rsid w:val="66E82446"/>
    <w:rsid w:val="66F05669"/>
    <w:rsid w:val="66FE785A"/>
    <w:rsid w:val="66FF0416"/>
    <w:rsid w:val="67077BB8"/>
    <w:rsid w:val="67104867"/>
    <w:rsid w:val="6719302B"/>
    <w:rsid w:val="67264FC3"/>
    <w:rsid w:val="672A6DD8"/>
    <w:rsid w:val="67323DB7"/>
    <w:rsid w:val="673B63D4"/>
    <w:rsid w:val="673C4A5B"/>
    <w:rsid w:val="67412541"/>
    <w:rsid w:val="67625016"/>
    <w:rsid w:val="676517C2"/>
    <w:rsid w:val="6767450B"/>
    <w:rsid w:val="676850BE"/>
    <w:rsid w:val="676E6C1F"/>
    <w:rsid w:val="6775593A"/>
    <w:rsid w:val="67804339"/>
    <w:rsid w:val="67840FAB"/>
    <w:rsid w:val="67893147"/>
    <w:rsid w:val="678E4A51"/>
    <w:rsid w:val="678E7FA2"/>
    <w:rsid w:val="67943D0D"/>
    <w:rsid w:val="679E7B07"/>
    <w:rsid w:val="67A94ED3"/>
    <w:rsid w:val="67AB741B"/>
    <w:rsid w:val="67AE3ACF"/>
    <w:rsid w:val="67B42DE4"/>
    <w:rsid w:val="67BE0C3A"/>
    <w:rsid w:val="67BE17C4"/>
    <w:rsid w:val="67C47360"/>
    <w:rsid w:val="67C816A4"/>
    <w:rsid w:val="67C82D5F"/>
    <w:rsid w:val="67C85096"/>
    <w:rsid w:val="67CB1572"/>
    <w:rsid w:val="67D04742"/>
    <w:rsid w:val="67F53E87"/>
    <w:rsid w:val="67F60892"/>
    <w:rsid w:val="67F74899"/>
    <w:rsid w:val="680C51C8"/>
    <w:rsid w:val="6812653C"/>
    <w:rsid w:val="68151E36"/>
    <w:rsid w:val="68153F9B"/>
    <w:rsid w:val="68241A97"/>
    <w:rsid w:val="68254233"/>
    <w:rsid w:val="682A794E"/>
    <w:rsid w:val="68391233"/>
    <w:rsid w:val="683B3169"/>
    <w:rsid w:val="683B4D55"/>
    <w:rsid w:val="68421E14"/>
    <w:rsid w:val="68452469"/>
    <w:rsid w:val="684832D3"/>
    <w:rsid w:val="685E32F6"/>
    <w:rsid w:val="686E3668"/>
    <w:rsid w:val="6881305B"/>
    <w:rsid w:val="68856BF0"/>
    <w:rsid w:val="68876847"/>
    <w:rsid w:val="688A2833"/>
    <w:rsid w:val="6890554D"/>
    <w:rsid w:val="6899247E"/>
    <w:rsid w:val="68995D55"/>
    <w:rsid w:val="689C2DA2"/>
    <w:rsid w:val="689D4E4D"/>
    <w:rsid w:val="68A0045E"/>
    <w:rsid w:val="68A45C11"/>
    <w:rsid w:val="68AC4AD2"/>
    <w:rsid w:val="68AF528C"/>
    <w:rsid w:val="68C12A12"/>
    <w:rsid w:val="68C204A3"/>
    <w:rsid w:val="68C3196D"/>
    <w:rsid w:val="68C32E9B"/>
    <w:rsid w:val="68CA05DA"/>
    <w:rsid w:val="68CE3687"/>
    <w:rsid w:val="68D47881"/>
    <w:rsid w:val="68DC2BB7"/>
    <w:rsid w:val="68E45A2E"/>
    <w:rsid w:val="68EA5353"/>
    <w:rsid w:val="68EC1538"/>
    <w:rsid w:val="68F30A7A"/>
    <w:rsid w:val="68F37A3A"/>
    <w:rsid w:val="68F737B9"/>
    <w:rsid w:val="68FE7886"/>
    <w:rsid w:val="690C08FC"/>
    <w:rsid w:val="6915235D"/>
    <w:rsid w:val="6920319F"/>
    <w:rsid w:val="693131A7"/>
    <w:rsid w:val="69393A4C"/>
    <w:rsid w:val="693A6BA0"/>
    <w:rsid w:val="693E5D0B"/>
    <w:rsid w:val="69507431"/>
    <w:rsid w:val="69510BB1"/>
    <w:rsid w:val="6956466E"/>
    <w:rsid w:val="695B771A"/>
    <w:rsid w:val="695C246F"/>
    <w:rsid w:val="695D5AF2"/>
    <w:rsid w:val="69667882"/>
    <w:rsid w:val="69673907"/>
    <w:rsid w:val="696B638E"/>
    <w:rsid w:val="697161EF"/>
    <w:rsid w:val="69724193"/>
    <w:rsid w:val="69730CC7"/>
    <w:rsid w:val="6982315D"/>
    <w:rsid w:val="69942792"/>
    <w:rsid w:val="69997FF1"/>
    <w:rsid w:val="69A01F10"/>
    <w:rsid w:val="69A112B7"/>
    <w:rsid w:val="69B02533"/>
    <w:rsid w:val="69B0321C"/>
    <w:rsid w:val="69D114BA"/>
    <w:rsid w:val="69D20629"/>
    <w:rsid w:val="69D37957"/>
    <w:rsid w:val="69DA5063"/>
    <w:rsid w:val="69E37B73"/>
    <w:rsid w:val="69ED2826"/>
    <w:rsid w:val="69F108B1"/>
    <w:rsid w:val="69F41382"/>
    <w:rsid w:val="69FA4E6C"/>
    <w:rsid w:val="69FC6665"/>
    <w:rsid w:val="6A1168F3"/>
    <w:rsid w:val="6A2259DB"/>
    <w:rsid w:val="6A3653B1"/>
    <w:rsid w:val="6A372A84"/>
    <w:rsid w:val="6A442AD9"/>
    <w:rsid w:val="6A4E1CE1"/>
    <w:rsid w:val="6A553C87"/>
    <w:rsid w:val="6A5755B0"/>
    <w:rsid w:val="6A5C64AC"/>
    <w:rsid w:val="6A5D7E8E"/>
    <w:rsid w:val="6A5F0117"/>
    <w:rsid w:val="6A6100EE"/>
    <w:rsid w:val="6A612035"/>
    <w:rsid w:val="6A6632F4"/>
    <w:rsid w:val="6A713EBE"/>
    <w:rsid w:val="6A72382B"/>
    <w:rsid w:val="6A7C579D"/>
    <w:rsid w:val="6A850351"/>
    <w:rsid w:val="6A86136A"/>
    <w:rsid w:val="6A8C277C"/>
    <w:rsid w:val="6A97367C"/>
    <w:rsid w:val="6A9F52D9"/>
    <w:rsid w:val="6AA14DFE"/>
    <w:rsid w:val="6AA16763"/>
    <w:rsid w:val="6AA249A8"/>
    <w:rsid w:val="6AA53BB6"/>
    <w:rsid w:val="6AA732FA"/>
    <w:rsid w:val="6AAC1E79"/>
    <w:rsid w:val="6AAD461F"/>
    <w:rsid w:val="6AAF1831"/>
    <w:rsid w:val="6AC5006C"/>
    <w:rsid w:val="6AC7378F"/>
    <w:rsid w:val="6AC806DE"/>
    <w:rsid w:val="6AD00FE4"/>
    <w:rsid w:val="6ADB1CC6"/>
    <w:rsid w:val="6AEE0688"/>
    <w:rsid w:val="6AF16EF8"/>
    <w:rsid w:val="6AF759E3"/>
    <w:rsid w:val="6B000A13"/>
    <w:rsid w:val="6B055F0B"/>
    <w:rsid w:val="6B0638CA"/>
    <w:rsid w:val="6B10773F"/>
    <w:rsid w:val="6B1173D0"/>
    <w:rsid w:val="6B184A79"/>
    <w:rsid w:val="6B1D1900"/>
    <w:rsid w:val="6B1F126C"/>
    <w:rsid w:val="6B4550A4"/>
    <w:rsid w:val="6B4C65D0"/>
    <w:rsid w:val="6B52226B"/>
    <w:rsid w:val="6B5B1A22"/>
    <w:rsid w:val="6B5C1A14"/>
    <w:rsid w:val="6B5C7617"/>
    <w:rsid w:val="6B5E14EF"/>
    <w:rsid w:val="6B611B5E"/>
    <w:rsid w:val="6B624EB0"/>
    <w:rsid w:val="6B6C3749"/>
    <w:rsid w:val="6B746A76"/>
    <w:rsid w:val="6B767664"/>
    <w:rsid w:val="6B7962C8"/>
    <w:rsid w:val="6B7E3E26"/>
    <w:rsid w:val="6B9C5610"/>
    <w:rsid w:val="6B9D3257"/>
    <w:rsid w:val="6BB11715"/>
    <w:rsid w:val="6BB4280D"/>
    <w:rsid w:val="6BBB6B65"/>
    <w:rsid w:val="6BBD3AAD"/>
    <w:rsid w:val="6BC051CC"/>
    <w:rsid w:val="6BC40B45"/>
    <w:rsid w:val="6BD74671"/>
    <w:rsid w:val="6BD77208"/>
    <w:rsid w:val="6BD851D9"/>
    <w:rsid w:val="6BDD7204"/>
    <w:rsid w:val="6BE03DA2"/>
    <w:rsid w:val="6BE55D85"/>
    <w:rsid w:val="6BF46540"/>
    <w:rsid w:val="6BF847DD"/>
    <w:rsid w:val="6C034D3A"/>
    <w:rsid w:val="6C0B7D9C"/>
    <w:rsid w:val="6C136791"/>
    <w:rsid w:val="6C191239"/>
    <w:rsid w:val="6C1A286C"/>
    <w:rsid w:val="6C223134"/>
    <w:rsid w:val="6C233807"/>
    <w:rsid w:val="6C243178"/>
    <w:rsid w:val="6C2B7570"/>
    <w:rsid w:val="6C2C7F28"/>
    <w:rsid w:val="6C336087"/>
    <w:rsid w:val="6C4B3A91"/>
    <w:rsid w:val="6C4B7118"/>
    <w:rsid w:val="6C57209A"/>
    <w:rsid w:val="6C572174"/>
    <w:rsid w:val="6C5B3BA2"/>
    <w:rsid w:val="6C5D4390"/>
    <w:rsid w:val="6C5E78E5"/>
    <w:rsid w:val="6C617257"/>
    <w:rsid w:val="6C660B6B"/>
    <w:rsid w:val="6C7E32D1"/>
    <w:rsid w:val="6C7F40B4"/>
    <w:rsid w:val="6C913A1C"/>
    <w:rsid w:val="6C9E4BF7"/>
    <w:rsid w:val="6CA111B6"/>
    <w:rsid w:val="6CB8703E"/>
    <w:rsid w:val="6CBD790B"/>
    <w:rsid w:val="6CC61646"/>
    <w:rsid w:val="6CD13C1F"/>
    <w:rsid w:val="6CD67615"/>
    <w:rsid w:val="6CDA097C"/>
    <w:rsid w:val="6CDE420D"/>
    <w:rsid w:val="6CDE42C1"/>
    <w:rsid w:val="6CDE5500"/>
    <w:rsid w:val="6CE34455"/>
    <w:rsid w:val="6CE73E80"/>
    <w:rsid w:val="6CE838F8"/>
    <w:rsid w:val="6CF34261"/>
    <w:rsid w:val="6CF54EFC"/>
    <w:rsid w:val="6CFA4FD6"/>
    <w:rsid w:val="6CFB1313"/>
    <w:rsid w:val="6D1047D6"/>
    <w:rsid w:val="6D1569A7"/>
    <w:rsid w:val="6D177401"/>
    <w:rsid w:val="6D1B2165"/>
    <w:rsid w:val="6D36756E"/>
    <w:rsid w:val="6D3720A6"/>
    <w:rsid w:val="6D39724C"/>
    <w:rsid w:val="6D432F19"/>
    <w:rsid w:val="6D490B25"/>
    <w:rsid w:val="6D4A5739"/>
    <w:rsid w:val="6D520BA4"/>
    <w:rsid w:val="6D600085"/>
    <w:rsid w:val="6D632534"/>
    <w:rsid w:val="6D6B1E4A"/>
    <w:rsid w:val="6D6D6793"/>
    <w:rsid w:val="6D742D5A"/>
    <w:rsid w:val="6D7D48EF"/>
    <w:rsid w:val="6D807431"/>
    <w:rsid w:val="6D823FBE"/>
    <w:rsid w:val="6D914C40"/>
    <w:rsid w:val="6D945435"/>
    <w:rsid w:val="6D98370F"/>
    <w:rsid w:val="6D991EBD"/>
    <w:rsid w:val="6DA0493D"/>
    <w:rsid w:val="6DA76D1E"/>
    <w:rsid w:val="6DB426BF"/>
    <w:rsid w:val="6DB7025F"/>
    <w:rsid w:val="6DBD6BEB"/>
    <w:rsid w:val="6DBD6DFE"/>
    <w:rsid w:val="6DBE0988"/>
    <w:rsid w:val="6DC07B03"/>
    <w:rsid w:val="6DC52BEC"/>
    <w:rsid w:val="6DC8092A"/>
    <w:rsid w:val="6DD376CF"/>
    <w:rsid w:val="6DD96E18"/>
    <w:rsid w:val="6DDD28D3"/>
    <w:rsid w:val="6DDD56A8"/>
    <w:rsid w:val="6DDE043B"/>
    <w:rsid w:val="6DE0299B"/>
    <w:rsid w:val="6DF67FD8"/>
    <w:rsid w:val="6DF945AB"/>
    <w:rsid w:val="6DFA5207"/>
    <w:rsid w:val="6E002008"/>
    <w:rsid w:val="6E0D1CEF"/>
    <w:rsid w:val="6E1B089A"/>
    <w:rsid w:val="6E1C4362"/>
    <w:rsid w:val="6E2460CB"/>
    <w:rsid w:val="6E2F071E"/>
    <w:rsid w:val="6E301A0D"/>
    <w:rsid w:val="6E3339D8"/>
    <w:rsid w:val="6E336323"/>
    <w:rsid w:val="6E372C57"/>
    <w:rsid w:val="6E3C6C16"/>
    <w:rsid w:val="6E3E79AA"/>
    <w:rsid w:val="6E3F772B"/>
    <w:rsid w:val="6E401B89"/>
    <w:rsid w:val="6E53263A"/>
    <w:rsid w:val="6E5E2FE8"/>
    <w:rsid w:val="6E6245F8"/>
    <w:rsid w:val="6E6C744A"/>
    <w:rsid w:val="6E722BC8"/>
    <w:rsid w:val="6E763AA5"/>
    <w:rsid w:val="6E787B36"/>
    <w:rsid w:val="6E792831"/>
    <w:rsid w:val="6E7B43E5"/>
    <w:rsid w:val="6E846D5B"/>
    <w:rsid w:val="6E85539F"/>
    <w:rsid w:val="6E861140"/>
    <w:rsid w:val="6E8A6B68"/>
    <w:rsid w:val="6E8C0134"/>
    <w:rsid w:val="6E8D2020"/>
    <w:rsid w:val="6E94208C"/>
    <w:rsid w:val="6E996E77"/>
    <w:rsid w:val="6EB06CB9"/>
    <w:rsid w:val="6EB30FA1"/>
    <w:rsid w:val="6EB539E2"/>
    <w:rsid w:val="6EC23F33"/>
    <w:rsid w:val="6EED148F"/>
    <w:rsid w:val="6EF1071E"/>
    <w:rsid w:val="6EFE2225"/>
    <w:rsid w:val="6F03497B"/>
    <w:rsid w:val="6F0B0240"/>
    <w:rsid w:val="6F1411FD"/>
    <w:rsid w:val="6F1A6D04"/>
    <w:rsid w:val="6F1B7CC4"/>
    <w:rsid w:val="6F22430B"/>
    <w:rsid w:val="6F331362"/>
    <w:rsid w:val="6F334491"/>
    <w:rsid w:val="6F350293"/>
    <w:rsid w:val="6F36235C"/>
    <w:rsid w:val="6F371932"/>
    <w:rsid w:val="6F3B4273"/>
    <w:rsid w:val="6F425DE1"/>
    <w:rsid w:val="6F462F65"/>
    <w:rsid w:val="6F492C2B"/>
    <w:rsid w:val="6F4E7986"/>
    <w:rsid w:val="6F574415"/>
    <w:rsid w:val="6F5A50DB"/>
    <w:rsid w:val="6F5D0E7C"/>
    <w:rsid w:val="6F65358D"/>
    <w:rsid w:val="6F6836C1"/>
    <w:rsid w:val="6F6F6CC8"/>
    <w:rsid w:val="6F73149E"/>
    <w:rsid w:val="6F772590"/>
    <w:rsid w:val="6F7C47FE"/>
    <w:rsid w:val="6F9826A2"/>
    <w:rsid w:val="6F9829BD"/>
    <w:rsid w:val="6F9F2C0C"/>
    <w:rsid w:val="6FA56E00"/>
    <w:rsid w:val="6FA76884"/>
    <w:rsid w:val="6FB2063A"/>
    <w:rsid w:val="6FB62A0E"/>
    <w:rsid w:val="6FC0293A"/>
    <w:rsid w:val="6FC17676"/>
    <w:rsid w:val="6FD22E66"/>
    <w:rsid w:val="6FD31CE2"/>
    <w:rsid w:val="6FD44E7F"/>
    <w:rsid w:val="6FD576E9"/>
    <w:rsid w:val="6FD76381"/>
    <w:rsid w:val="6FDA27B5"/>
    <w:rsid w:val="6FE16562"/>
    <w:rsid w:val="6FE3637C"/>
    <w:rsid w:val="6FE81787"/>
    <w:rsid w:val="6FFA0E22"/>
    <w:rsid w:val="6FFB2C23"/>
    <w:rsid w:val="70012AFD"/>
    <w:rsid w:val="700C3147"/>
    <w:rsid w:val="700F4B65"/>
    <w:rsid w:val="70167548"/>
    <w:rsid w:val="701B7517"/>
    <w:rsid w:val="701E4FA1"/>
    <w:rsid w:val="70284BF1"/>
    <w:rsid w:val="703219C6"/>
    <w:rsid w:val="70332033"/>
    <w:rsid w:val="703B1BE1"/>
    <w:rsid w:val="703D54E1"/>
    <w:rsid w:val="7045361B"/>
    <w:rsid w:val="70483D24"/>
    <w:rsid w:val="70614722"/>
    <w:rsid w:val="70631672"/>
    <w:rsid w:val="70726662"/>
    <w:rsid w:val="707408C9"/>
    <w:rsid w:val="707418EF"/>
    <w:rsid w:val="707707D0"/>
    <w:rsid w:val="7077506E"/>
    <w:rsid w:val="707F4CC9"/>
    <w:rsid w:val="708F1730"/>
    <w:rsid w:val="70901B9F"/>
    <w:rsid w:val="7090608A"/>
    <w:rsid w:val="70982E4A"/>
    <w:rsid w:val="709A7208"/>
    <w:rsid w:val="70A164A6"/>
    <w:rsid w:val="70A360B2"/>
    <w:rsid w:val="70A96226"/>
    <w:rsid w:val="70B62607"/>
    <w:rsid w:val="70B977A2"/>
    <w:rsid w:val="70C04803"/>
    <w:rsid w:val="70CD4113"/>
    <w:rsid w:val="70D86B59"/>
    <w:rsid w:val="70DA61A7"/>
    <w:rsid w:val="70E11A42"/>
    <w:rsid w:val="70E878AC"/>
    <w:rsid w:val="70E9364F"/>
    <w:rsid w:val="70EE21CB"/>
    <w:rsid w:val="70EF0FE0"/>
    <w:rsid w:val="70EF57C4"/>
    <w:rsid w:val="70F6459F"/>
    <w:rsid w:val="70F75D54"/>
    <w:rsid w:val="70F96E41"/>
    <w:rsid w:val="70FF0CD8"/>
    <w:rsid w:val="711D1D66"/>
    <w:rsid w:val="711D209A"/>
    <w:rsid w:val="71253D9E"/>
    <w:rsid w:val="71267EEC"/>
    <w:rsid w:val="712E089A"/>
    <w:rsid w:val="713654D0"/>
    <w:rsid w:val="713B13BE"/>
    <w:rsid w:val="714D3AA7"/>
    <w:rsid w:val="71501C79"/>
    <w:rsid w:val="71514304"/>
    <w:rsid w:val="715836AA"/>
    <w:rsid w:val="715B3DE7"/>
    <w:rsid w:val="715C40B5"/>
    <w:rsid w:val="715D4A6A"/>
    <w:rsid w:val="716421C5"/>
    <w:rsid w:val="716819CB"/>
    <w:rsid w:val="716C2061"/>
    <w:rsid w:val="71781FFA"/>
    <w:rsid w:val="717E0284"/>
    <w:rsid w:val="71801073"/>
    <w:rsid w:val="71884E30"/>
    <w:rsid w:val="718B2CA0"/>
    <w:rsid w:val="719D2CFE"/>
    <w:rsid w:val="71A27FA3"/>
    <w:rsid w:val="71A450BE"/>
    <w:rsid w:val="71A56AF0"/>
    <w:rsid w:val="71A97C14"/>
    <w:rsid w:val="71AC3A9F"/>
    <w:rsid w:val="71AD6BD5"/>
    <w:rsid w:val="71AF1B7C"/>
    <w:rsid w:val="71B053BE"/>
    <w:rsid w:val="71B270A4"/>
    <w:rsid w:val="71B76578"/>
    <w:rsid w:val="71BC52E0"/>
    <w:rsid w:val="71C756DF"/>
    <w:rsid w:val="71C81562"/>
    <w:rsid w:val="71CB14C1"/>
    <w:rsid w:val="71D4456C"/>
    <w:rsid w:val="71D82106"/>
    <w:rsid w:val="71E22404"/>
    <w:rsid w:val="71E305AE"/>
    <w:rsid w:val="71E41DF6"/>
    <w:rsid w:val="71E72F58"/>
    <w:rsid w:val="71EE442F"/>
    <w:rsid w:val="71F7249F"/>
    <w:rsid w:val="71FE3029"/>
    <w:rsid w:val="72000EB8"/>
    <w:rsid w:val="7201465E"/>
    <w:rsid w:val="7202138C"/>
    <w:rsid w:val="720B60C0"/>
    <w:rsid w:val="720F0C9E"/>
    <w:rsid w:val="72113348"/>
    <w:rsid w:val="72164D71"/>
    <w:rsid w:val="721D59E2"/>
    <w:rsid w:val="721F1869"/>
    <w:rsid w:val="7220528F"/>
    <w:rsid w:val="72272EEC"/>
    <w:rsid w:val="722B3EC6"/>
    <w:rsid w:val="72384615"/>
    <w:rsid w:val="723F4FA9"/>
    <w:rsid w:val="72486690"/>
    <w:rsid w:val="724A5806"/>
    <w:rsid w:val="72515334"/>
    <w:rsid w:val="72576A76"/>
    <w:rsid w:val="725B307E"/>
    <w:rsid w:val="725D46A7"/>
    <w:rsid w:val="72730369"/>
    <w:rsid w:val="727E4B7E"/>
    <w:rsid w:val="72813237"/>
    <w:rsid w:val="728B0A4E"/>
    <w:rsid w:val="728E78BB"/>
    <w:rsid w:val="728F3ABA"/>
    <w:rsid w:val="728F56B7"/>
    <w:rsid w:val="72945E02"/>
    <w:rsid w:val="729C43A9"/>
    <w:rsid w:val="729D1897"/>
    <w:rsid w:val="729D42B4"/>
    <w:rsid w:val="729F355D"/>
    <w:rsid w:val="72A45025"/>
    <w:rsid w:val="72A95323"/>
    <w:rsid w:val="72B04A3F"/>
    <w:rsid w:val="72B61BE7"/>
    <w:rsid w:val="72C043CC"/>
    <w:rsid w:val="72C42679"/>
    <w:rsid w:val="72CF39E9"/>
    <w:rsid w:val="72D5087F"/>
    <w:rsid w:val="72E5616E"/>
    <w:rsid w:val="72F17859"/>
    <w:rsid w:val="72F23EC0"/>
    <w:rsid w:val="72F738E5"/>
    <w:rsid w:val="72FA232A"/>
    <w:rsid w:val="7301146A"/>
    <w:rsid w:val="73055287"/>
    <w:rsid w:val="730809D6"/>
    <w:rsid w:val="73084D25"/>
    <w:rsid w:val="73183A4D"/>
    <w:rsid w:val="731D2C63"/>
    <w:rsid w:val="73211E3D"/>
    <w:rsid w:val="732873FA"/>
    <w:rsid w:val="73302DF7"/>
    <w:rsid w:val="7339679F"/>
    <w:rsid w:val="733F1542"/>
    <w:rsid w:val="73434E9C"/>
    <w:rsid w:val="7348121A"/>
    <w:rsid w:val="73486541"/>
    <w:rsid w:val="734E2B52"/>
    <w:rsid w:val="73554D7F"/>
    <w:rsid w:val="73556992"/>
    <w:rsid w:val="73580E55"/>
    <w:rsid w:val="735A12CE"/>
    <w:rsid w:val="736472E7"/>
    <w:rsid w:val="73660E2C"/>
    <w:rsid w:val="736C39DC"/>
    <w:rsid w:val="737340F3"/>
    <w:rsid w:val="737E18A0"/>
    <w:rsid w:val="737E76AA"/>
    <w:rsid w:val="738060DB"/>
    <w:rsid w:val="73856B67"/>
    <w:rsid w:val="7387238E"/>
    <w:rsid w:val="738B60F5"/>
    <w:rsid w:val="738D6AC8"/>
    <w:rsid w:val="73985D4A"/>
    <w:rsid w:val="739D37BE"/>
    <w:rsid w:val="739D46B8"/>
    <w:rsid w:val="73A61B9B"/>
    <w:rsid w:val="73AD79B0"/>
    <w:rsid w:val="73B07D28"/>
    <w:rsid w:val="73B27250"/>
    <w:rsid w:val="73BA2788"/>
    <w:rsid w:val="73BF10CB"/>
    <w:rsid w:val="73BF3788"/>
    <w:rsid w:val="73C64552"/>
    <w:rsid w:val="73CE16D4"/>
    <w:rsid w:val="73DF6DFE"/>
    <w:rsid w:val="73E22F47"/>
    <w:rsid w:val="73E24C48"/>
    <w:rsid w:val="73E377FF"/>
    <w:rsid w:val="73E57223"/>
    <w:rsid w:val="73E77126"/>
    <w:rsid w:val="73EE667C"/>
    <w:rsid w:val="73F907EF"/>
    <w:rsid w:val="73FD4405"/>
    <w:rsid w:val="740A312A"/>
    <w:rsid w:val="74121ECF"/>
    <w:rsid w:val="7415214C"/>
    <w:rsid w:val="741602E2"/>
    <w:rsid w:val="741B190B"/>
    <w:rsid w:val="741F7CE1"/>
    <w:rsid w:val="74244FEC"/>
    <w:rsid w:val="742459FA"/>
    <w:rsid w:val="742646F5"/>
    <w:rsid w:val="742A538C"/>
    <w:rsid w:val="742F7AA8"/>
    <w:rsid w:val="743026E7"/>
    <w:rsid w:val="74314E44"/>
    <w:rsid w:val="743B5754"/>
    <w:rsid w:val="745F7FDB"/>
    <w:rsid w:val="74690240"/>
    <w:rsid w:val="746945D6"/>
    <w:rsid w:val="74847F43"/>
    <w:rsid w:val="74871C80"/>
    <w:rsid w:val="74957102"/>
    <w:rsid w:val="74967779"/>
    <w:rsid w:val="7497458A"/>
    <w:rsid w:val="74A91792"/>
    <w:rsid w:val="74B00C0C"/>
    <w:rsid w:val="74B46570"/>
    <w:rsid w:val="74B60C7C"/>
    <w:rsid w:val="74B73B56"/>
    <w:rsid w:val="74B801E3"/>
    <w:rsid w:val="74B806A3"/>
    <w:rsid w:val="74C03964"/>
    <w:rsid w:val="74CB76DB"/>
    <w:rsid w:val="74E15A27"/>
    <w:rsid w:val="74E172A8"/>
    <w:rsid w:val="74E54AEC"/>
    <w:rsid w:val="74E747B0"/>
    <w:rsid w:val="74E76CFD"/>
    <w:rsid w:val="74EF7A6E"/>
    <w:rsid w:val="74FD6D21"/>
    <w:rsid w:val="75042CC4"/>
    <w:rsid w:val="75060161"/>
    <w:rsid w:val="75172225"/>
    <w:rsid w:val="752632EF"/>
    <w:rsid w:val="75297950"/>
    <w:rsid w:val="752C0CFE"/>
    <w:rsid w:val="753047CF"/>
    <w:rsid w:val="75306643"/>
    <w:rsid w:val="753A57D7"/>
    <w:rsid w:val="753E0A71"/>
    <w:rsid w:val="753E5444"/>
    <w:rsid w:val="7557029A"/>
    <w:rsid w:val="755C20DE"/>
    <w:rsid w:val="7564348F"/>
    <w:rsid w:val="75660603"/>
    <w:rsid w:val="75667897"/>
    <w:rsid w:val="756D1F76"/>
    <w:rsid w:val="756F21EC"/>
    <w:rsid w:val="757337A2"/>
    <w:rsid w:val="75764EFF"/>
    <w:rsid w:val="75822F95"/>
    <w:rsid w:val="758B3BDE"/>
    <w:rsid w:val="758E7480"/>
    <w:rsid w:val="758F5477"/>
    <w:rsid w:val="759060F1"/>
    <w:rsid w:val="75942E26"/>
    <w:rsid w:val="759939AE"/>
    <w:rsid w:val="75A128BE"/>
    <w:rsid w:val="75A153C3"/>
    <w:rsid w:val="75AA79AE"/>
    <w:rsid w:val="75AF15D1"/>
    <w:rsid w:val="75AF2A02"/>
    <w:rsid w:val="75B70BC7"/>
    <w:rsid w:val="75B86E1C"/>
    <w:rsid w:val="75C6201E"/>
    <w:rsid w:val="75CF60C4"/>
    <w:rsid w:val="75D20AD9"/>
    <w:rsid w:val="75D468D5"/>
    <w:rsid w:val="75D7511F"/>
    <w:rsid w:val="75D963EC"/>
    <w:rsid w:val="75E73B67"/>
    <w:rsid w:val="75F269D2"/>
    <w:rsid w:val="75F3000C"/>
    <w:rsid w:val="760145EC"/>
    <w:rsid w:val="760739DA"/>
    <w:rsid w:val="760D77AC"/>
    <w:rsid w:val="760F6A25"/>
    <w:rsid w:val="761454AB"/>
    <w:rsid w:val="761541C7"/>
    <w:rsid w:val="76184D97"/>
    <w:rsid w:val="76264055"/>
    <w:rsid w:val="76274D6A"/>
    <w:rsid w:val="76295FD1"/>
    <w:rsid w:val="76313BBC"/>
    <w:rsid w:val="763A09E6"/>
    <w:rsid w:val="763B575E"/>
    <w:rsid w:val="76416F72"/>
    <w:rsid w:val="76473591"/>
    <w:rsid w:val="7650139F"/>
    <w:rsid w:val="765215B3"/>
    <w:rsid w:val="76524BB2"/>
    <w:rsid w:val="76556F6A"/>
    <w:rsid w:val="76567AB1"/>
    <w:rsid w:val="7660784D"/>
    <w:rsid w:val="766559F7"/>
    <w:rsid w:val="76656DA2"/>
    <w:rsid w:val="76663AC7"/>
    <w:rsid w:val="76673386"/>
    <w:rsid w:val="766C0903"/>
    <w:rsid w:val="766E43EB"/>
    <w:rsid w:val="76765C96"/>
    <w:rsid w:val="767A1492"/>
    <w:rsid w:val="76814C11"/>
    <w:rsid w:val="768B239A"/>
    <w:rsid w:val="76977C87"/>
    <w:rsid w:val="769D0906"/>
    <w:rsid w:val="76A11C26"/>
    <w:rsid w:val="76A31377"/>
    <w:rsid w:val="76B26697"/>
    <w:rsid w:val="76BC1F23"/>
    <w:rsid w:val="76BE50B8"/>
    <w:rsid w:val="76C26962"/>
    <w:rsid w:val="76C67139"/>
    <w:rsid w:val="76CB0806"/>
    <w:rsid w:val="76CF17C0"/>
    <w:rsid w:val="76D14ED9"/>
    <w:rsid w:val="76D555EC"/>
    <w:rsid w:val="76DA2697"/>
    <w:rsid w:val="76E23264"/>
    <w:rsid w:val="76E51C21"/>
    <w:rsid w:val="76ED210C"/>
    <w:rsid w:val="76EE4D62"/>
    <w:rsid w:val="76F57336"/>
    <w:rsid w:val="76F75C68"/>
    <w:rsid w:val="76F75CBC"/>
    <w:rsid w:val="76FD04FF"/>
    <w:rsid w:val="77002EC6"/>
    <w:rsid w:val="77013334"/>
    <w:rsid w:val="77033142"/>
    <w:rsid w:val="77050723"/>
    <w:rsid w:val="770D5254"/>
    <w:rsid w:val="77152FA0"/>
    <w:rsid w:val="771D0C54"/>
    <w:rsid w:val="772400BD"/>
    <w:rsid w:val="7729712B"/>
    <w:rsid w:val="77355920"/>
    <w:rsid w:val="773E1C1D"/>
    <w:rsid w:val="77406B48"/>
    <w:rsid w:val="774355D7"/>
    <w:rsid w:val="774508D9"/>
    <w:rsid w:val="774B32A2"/>
    <w:rsid w:val="774C68A7"/>
    <w:rsid w:val="775057FC"/>
    <w:rsid w:val="775224D3"/>
    <w:rsid w:val="77523702"/>
    <w:rsid w:val="77527671"/>
    <w:rsid w:val="77547057"/>
    <w:rsid w:val="775E45FB"/>
    <w:rsid w:val="77610CD9"/>
    <w:rsid w:val="77683E5A"/>
    <w:rsid w:val="776A6342"/>
    <w:rsid w:val="776C186B"/>
    <w:rsid w:val="776E4333"/>
    <w:rsid w:val="77784678"/>
    <w:rsid w:val="77794C00"/>
    <w:rsid w:val="777F1F56"/>
    <w:rsid w:val="778C6A81"/>
    <w:rsid w:val="779F5645"/>
    <w:rsid w:val="77B1129A"/>
    <w:rsid w:val="77B24FAF"/>
    <w:rsid w:val="77B26B03"/>
    <w:rsid w:val="77B765A4"/>
    <w:rsid w:val="77C14146"/>
    <w:rsid w:val="77C247E9"/>
    <w:rsid w:val="77C36F84"/>
    <w:rsid w:val="77CB11AE"/>
    <w:rsid w:val="77CB7837"/>
    <w:rsid w:val="77CC12AB"/>
    <w:rsid w:val="77CF131C"/>
    <w:rsid w:val="77D750E2"/>
    <w:rsid w:val="77DB698F"/>
    <w:rsid w:val="77DE5F65"/>
    <w:rsid w:val="77DF5439"/>
    <w:rsid w:val="77E6352C"/>
    <w:rsid w:val="77EE1C0F"/>
    <w:rsid w:val="77EF24E2"/>
    <w:rsid w:val="77F03B80"/>
    <w:rsid w:val="77F57D3E"/>
    <w:rsid w:val="77FB6505"/>
    <w:rsid w:val="780D4778"/>
    <w:rsid w:val="780E4F8F"/>
    <w:rsid w:val="780E5ABD"/>
    <w:rsid w:val="781C29F0"/>
    <w:rsid w:val="7823575B"/>
    <w:rsid w:val="782B7115"/>
    <w:rsid w:val="78380771"/>
    <w:rsid w:val="783C0FE5"/>
    <w:rsid w:val="78423080"/>
    <w:rsid w:val="78506E41"/>
    <w:rsid w:val="78524670"/>
    <w:rsid w:val="78537132"/>
    <w:rsid w:val="78540A28"/>
    <w:rsid w:val="785B5D65"/>
    <w:rsid w:val="7863760E"/>
    <w:rsid w:val="78643716"/>
    <w:rsid w:val="7865183C"/>
    <w:rsid w:val="786557E9"/>
    <w:rsid w:val="78685ECF"/>
    <w:rsid w:val="786D0D11"/>
    <w:rsid w:val="786D59BC"/>
    <w:rsid w:val="786F5B9D"/>
    <w:rsid w:val="78791D80"/>
    <w:rsid w:val="78801097"/>
    <w:rsid w:val="788456EE"/>
    <w:rsid w:val="788A351C"/>
    <w:rsid w:val="78941173"/>
    <w:rsid w:val="789D197A"/>
    <w:rsid w:val="789E12D9"/>
    <w:rsid w:val="78A547E1"/>
    <w:rsid w:val="78A77A05"/>
    <w:rsid w:val="78AC1C1F"/>
    <w:rsid w:val="78B773C2"/>
    <w:rsid w:val="78BC7000"/>
    <w:rsid w:val="78BD4148"/>
    <w:rsid w:val="78C21938"/>
    <w:rsid w:val="78DB6330"/>
    <w:rsid w:val="78DF39E1"/>
    <w:rsid w:val="78E248EE"/>
    <w:rsid w:val="78F5249A"/>
    <w:rsid w:val="78F96647"/>
    <w:rsid w:val="79052DE3"/>
    <w:rsid w:val="790A3C19"/>
    <w:rsid w:val="791F445B"/>
    <w:rsid w:val="79245A51"/>
    <w:rsid w:val="79312EAE"/>
    <w:rsid w:val="793D2473"/>
    <w:rsid w:val="79421C42"/>
    <w:rsid w:val="79482994"/>
    <w:rsid w:val="794B2FAF"/>
    <w:rsid w:val="7950663B"/>
    <w:rsid w:val="79511337"/>
    <w:rsid w:val="795C325E"/>
    <w:rsid w:val="795F6384"/>
    <w:rsid w:val="797140E6"/>
    <w:rsid w:val="797500CD"/>
    <w:rsid w:val="79755D81"/>
    <w:rsid w:val="79824916"/>
    <w:rsid w:val="798829F3"/>
    <w:rsid w:val="79913C3F"/>
    <w:rsid w:val="79B10A28"/>
    <w:rsid w:val="79B210BE"/>
    <w:rsid w:val="79B51EFF"/>
    <w:rsid w:val="79BA21D7"/>
    <w:rsid w:val="79BE3CDB"/>
    <w:rsid w:val="79C1511D"/>
    <w:rsid w:val="79C523ED"/>
    <w:rsid w:val="79D22633"/>
    <w:rsid w:val="79D375D8"/>
    <w:rsid w:val="79D97EBA"/>
    <w:rsid w:val="79DA6455"/>
    <w:rsid w:val="79DC2B6C"/>
    <w:rsid w:val="79E5395B"/>
    <w:rsid w:val="79F37BEA"/>
    <w:rsid w:val="79F4159B"/>
    <w:rsid w:val="79FA46AE"/>
    <w:rsid w:val="79FB0F25"/>
    <w:rsid w:val="7A047A0D"/>
    <w:rsid w:val="7A0504D2"/>
    <w:rsid w:val="7A09268F"/>
    <w:rsid w:val="7A0B25F4"/>
    <w:rsid w:val="7A1844CF"/>
    <w:rsid w:val="7A1F4DB4"/>
    <w:rsid w:val="7A215315"/>
    <w:rsid w:val="7A2169CA"/>
    <w:rsid w:val="7A274313"/>
    <w:rsid w:val="7A2A3A5A"/>
    <w:rsid w:val="7A2B78C9"/>
    <w:rsid w:val="7A316473"/>
    <w:rsid w:val="7A3262A8"/>
    <w:rsid w:val="7A332960"/>
    <w:rsid w:val="7A3A53F7"/>
    <w:rsid w:val="7A62166D"/>
    <w:rsid w:val="7A647115"/>
    <w:rsid w:val="7A6B5240"/>
    <w:rsid w:val="7A6D5390"/>
    <w:rsid w:val="7A763424"/>
    <w:rsid w:val="7A83463A"/>
    <w:rsid w:val="7A8D0987"/>
    <w:rsid w:val="7A901EE2"/>
    <w:rsid w:val="7A9131F4"/>
    <w:rsid w:val="7A932BFC"/>
    <w:rsid w:val="7A982CD5"/>
    <w:rsid w:val="7A997291"/>
    <w:rsid w:val="7A9F3BFA"/>
    <w:rsid w:val="7AAD217F"/>
    <w:rsid w:val="7AB50DAB"/>
    <w:rsid w:val="7ABE705F"/>
    <w:rsid w:val="7AD04ECC"/>
    <w:rsid w:val="7AD72487"/>
    <w:rsid w:val="7AD77406"/>
    <w:rsid w:val="7ADB544A"/>
    <w:rsid w:val="7AE16085"/>
    <w:rsid w:val="7AE635C7"/>
    <w:rsid w:val="7AEF7E81"/>
    <w:rsid w:val="7AF047AF"/>
    <w:rsid w:val="7AF2768F"/>
    <w:rsid w:val="7AF83A6D"/>
    <w:rsid w:val="7AF83CFD"/>
    <w:rsid w:val="7B033F54"/>
    <w:rsid w:val="7B067410"/>
    <w:rsid w:val="7B0C76F9"/>
    <w:rsid w:val="7B0D5B9D"/>
    <w:rsid w:val="7B0F6D28"/>
    <w:rsid w:val="7B126B19"/>
    <w:rsid w:val="7B1C4AD4"/>
    <w:rsid w:val="7B260FAD"/>
    <w:rsid w:val="7B3450D4"/>
    <w:rsid w:val="7B386544"/>
    <w:rsid w:val="7B3F07C6"/>
    <w:rsid w:val="7B4171ED"/>
    <w:rsid w:val="7B48490A"/>
    <w:rsid w:val="7B4F6237"/>
    <w:rsid w:val="7B582172"/>
    <w:rsid w:val="7B600A47"/>
    <w:rsid w:val="7B6441D2"/>
    <w:rsid w:val="7B7032E2"/>
    <w:rsid w:val="7B7C3EC5"/>
    <w:rsid w:val="7B814C38"/>
    <w:rsid w:val="7B835957"/>
    <w:rsid w:val="7B847457"/>
    <w:rsid w:val="7B86072F"/>
    <w:rsid w:val="7B867C2E"/>
    <w:rsid w:val="7B885BCF"/>
    <w:rsid w:val="7B886665"/>
    <w:rsid w:val="7B8946A7"/>
    <w:rsid w:val="7B894CF6"/>
    <w:rsid w:val="7B8A6C1D"/>
    <w:rsid w:val="7B8B4C4E"/>
    <w:rsid w:val="7B8C1CB5"/>
    <w:rsid w:val="7B8E786F"/>
    <w:rsid w:val="7B9512B4"/>
    <w:rsid w:val="7B975A11"/>
    <w:rsid w:val="7B9A5A19"/>
    <w:rsid w:val="7B9E0E53"/>
    <w:rsid w:val="7BB017CC"/>
    <w:rsid w:val="7BB9237D"/>
    <w:rsid w:val="7BBC6289"/>
    <w:rsid w:val="7BC0571E"/>
    <w:rsid w:val="7BC56489"/>
    <w:rsid w:val="7BC9232C"/>
    <w:rsid w:val="7BE85C8B"/>
    <w:rsid w:val="7BF12086"/>
    <w:rsid w:val="7BF36D3A"/>
    <w:rsid w:val="7BF731F5"/>
    <w:rsid w:val="7BF75627"/>
    <w:rsid w:val="7BFA393E"/>
    <w:rsid w:val="7BFA7E67"/>
    <w:rsid w:val="7BFF18CF"/>
    <w:rsid w:val="7C024462"/>
    <w:rsid w:val="7C07588C"/>
    <w:rsid w:val="7C0A6107"/>
    <w:rsid w:val="7C0F495B"/>
    <w:rsid w:val="7C147C20"/>
    <w:rsid w:val="7C1618FD"/>
    <w:rsid w:val="7C1D1895"/>
    <w:rsid w:val="7C25233B"/>
    <w:rsid w:val="7C2F3B1B"/>
    <w:rsid w:val="7C34431E"/>
    <w:rsid w:val="7C3562D5"/>
    <w:rsid w:val="7C3D60A4"/>
    <w:rsid w:val="7C49202F"/>
    <w:rsid w:val="7C494FB4"/>
    <w:rsid w:val="7C4A0263"/>
    <w:rsid w:val="7C4D110F"/>
    <w:rsid w:val="7C583397"/>
    <w:rsid w:val="7C5E7C79"/>
    <w:rsid w:val="7C6C7214"/>
    <w:rsid w:val="7C7E03EC"/>
    <w:rsid w:val="7C824301"/>
    <w:rsid w:val="7C8742C9"/>
    <w:rsid w:val="7C962B8F"/>
    <w:rsid w:val="7C9B2EA7"/>
    <w:rsid w:val="7C9B6B66"/>
    <w:rsid w:val="7CA063B1"/>
    <w:rsid w:val="7CAC4037"/>
    <w:rsid w:val="7CB1160F"/>
    <w:rsid w:val="7CB66A76"/>
    <w:rsid w:val="7CBE49F8"/>
    <w:rsid w:val="7CBE5DC1"/>
    <w:rsid w:val="7CC32C38"/>
    <w:rsid w:val="7CC40853"/>
    <w:rsid w:val="7CC71208"/>
    <w:rsid w:val="7CCA298D"/>
    <w:rsid w:val="7CCE3FFA"/>
    <w:rsid w:val="7CCF3A23"/>
    <w:rsid w:val="7CD875BB"/>
    <w:rsid w:val="7CE00B31"/>
    <w:rsid w:val="7CE03E40"/>
    <w:rsid w:val="7CE61C98"/>
    <w:rsid w:val="7CF06C3F"/>
    <w:rsid w:val="7CF376D9"/>
    <w:rsid w:val="7CFC0DC5"/>
    <w:rsid w:val="7CFC2538"/>
    <w:rsid w:val="7D0D6C20"/>
    <w:rsid w:val="7D145EE7"/>
    <w:rsid w:val="7D207EFF"/>
    <w:rsid w:val="7D2212FC"/>
    <w:rsid w:val="7D2C3E8B"/>
    <w:rsid w:val="7D3339CC"/>
    <w:rsid w:val="7D402B04"/>
    <w:rsid w:val="7D5143E0"/>
    <w:rsid w:val="7D5354B6"/>
    <w:rsid w:val="7D5D1F57"/>
    <w:rsid w:val="7D600CAF"/>
    <w:rsid w:val="7D673C7B"/>
    <w:rsid w:val="7D6B76B0"/>
    <w:rsid w:val="7D6C7B5B"/>
    <w:rsid w:val="7D6E0E10"/>
    <w:rsid w:val="7D724EA4"/>
    <w:rsid w:val="7D725C72"/>
    <w:rsid w:val="7D7F6362"/>
    <w:rsid w:val="7D8A36F2"/>
    <w:rsid w:val="7D907A49"/>
    <w:rsid w:val="7D9D72D1"/>
    <w:rsid w:val="7D9E5263"/>
    <w:rsid w:val="7DA6523D"/>
    <w:rsid w:val="7DA9201C"/>
    <w:rsid w:val="7DAA49C1"/>
    <w:rsid w:val="7DB826A1"/>
    <w:rsid w:val="7DDD359E"/>
    <w:rsid w:val="7DEB33CB"/>
    <w:rsid w:val="7DEB5588"/>
    <w:rsid w:val="7DEE6409"/>
    <w:rsid w:val="7DEF4684"/>
    <w:rsid w:val="7DFB2CCA"/>
    <w:rsid w:val="7E0777EB"/>
    <w:rsid w:val="7E115A94"/>
    <w:rsid w:val="7E19665F"/>
    <w:rsid w:val="7E203768"/>
    <w:rsid w:val="7E250D7F"/>
    <w:rsid w:val="7E252312"/>
    <w:rsid w:val="7E352238"/>
    <w:rsid w:val="7E414ADB"/>
    <w:rsid w:val="7E4703C0"/>
    <w:rsid w:val="7E4A7714"/>
    <w:rsid w:val="7E4B52A5"/>
    <w:rsid w:val="7E557D50"/>
    <w:rsid w:val="7E5D742A"/>
    <w:rsid w:val="7E636D87"/>
    <w:rsid w:val="7E7049A6"/>
    <w:rsid w:val="7E707D8F"/>
    <w:rsid w:val="7E7D2615"/>
    <w:rsid w:val="7E7F7D79"/>
    <w:rsid w:val="7E846295"/>
    <w:rsid w:val="7E855C64"/>
    <w:rsid w:val="7E860662"/>
    <w:rsid w:val="7E884505"/>
    <w:rsid w:val="7E8874C3"/>
    <w:rsid w:val="7E9369E8"/>
    <w:rsid w:val="7E96450D"/>
    <w:rsid w:val="7E9B3597"/>
    <w:rsid w:val="7E9D0D1A"/>
    <w:rsid w:val="7EA36C94"/>
    <w:rsid w:val="7EA37B50"/>
    <w:rsid w:val="7EAB48B4"/>
    <w:rsid w:val="7EC03CD7"/>
    <w:rsid w:val="7EC31B04"/>
    <w:rsid w:val="7ECF3C5C"/>
    <w:rsid w:val="7EDC53AF"/>
    <w:rsid w:val="7EE001E6"/>
    <w:rsid w:val="7EE1077F"/>
    <w:rsid w:val="7EE129B1"/>
    <w:rsid w:val="7EED638C"/>
    <w:rsid w:val="7EF75954"/>
    <w:rsid w:val="7EFA3B80"/>
    <w:rsid w:val="7EFC5648"/>
    <w:rsid w:val="7F03398B"/>
    <w:rsid w:val="7F0A07CC"/>
    <w:rsid w:val="7F0A5ED8"/>
    <w:rsid w:val="7F0F1999"/>
    <w:rsid w:val="7F107ABA"/>
    <w:rsid w:val="7F1D29E6"/>
    <w:rsid w:val="7F1E2DA9"/>
    <w:rsid w:val="7F2025A5"/>
    <w:rsid w:val="7F2B2EDF"/>
    <w:rsid w:val="7F2C41A2"/>
    <w:rsid w:val="7F2E436D"/>
    <w:rsid w:val="7F305C7C"/>
    <w:rsid w:val="7F3130D0"/>
    <w:rsid w:val="7F366B7F"/>
    <w:rsid w:val="7F417BBF"/>
    <w:rsid w:val="7F4540CC"/>
    <w:rsid w:val="7F47602C"/>
    <w:rsid w:val="7F4E6C18"/>
    <w:rsid w:val="7F5372E7"/>
    <w:rsid w:val="7F5D08AF"/>
    <w:rsid w:val="7F61418C"/>
    <w:rsid w:val="7F640C24"/>
    <w:rsid w:val="7F703B97"/>
    <w:rsid w:val="7F73700C"/>
    <w:rsid w:val="7F7A4F2E"/>
    <w:rsid w:val="7F7F1D07"/>
    <w:rsid w:val="7F8B109A"/>
    <w:rsid w:val="7F8E2238"/>
    <w:rsid w:val="7F8E58CE"/>
    <w:rsid w:val="7F9D53B4"/>
    <w:rsid w:val="7FA1258E"/>
    <w:rsid w:val="7FA55FE1"/>
    <w:rsid w:val="7FA92167"/>
    <w:rsid w:val="7FA937EC"/>
    <w:rsid w:val="7FB07813"/>
    <w:rsid w:val="7FB720C8"/>
    <w:rsid w:val="7FC0033D"/>
    <w:rsid w:val="7FC13BBE"/>
    <w:rsid w:val="7FCE05F8"/>
    <w:rsid w:val="7FCF5F22"/>
    <w:rsid w:val="7FD830A2"/>
    <w:rsid w:val="7FD970E0"/>
    <w:rsid w:val="7FDA0E47"/>
    <w:rsid w:val="7FDD45B2"/>
    <w:rsid w:val="7FDE0155"/>
    <w:rsid w:val="7FDE4CB8"/>
    <w:rsid w:val="7FE058E6"/>
    <w:rsid w:val="7FE22FAE"/>
    <w:rsid w:val="7FF4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99"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next w:val="1"/>
    <w:link w:val="23"/>
    <w:qFormat/>
    <w:uiPriority w:val="0"/>
    <w:pPr>
      <w:keepNext/>
      <w:keepLines/>
      <w:spacing w:before="480" w:after="360"/>
      <w:jc w:val="center"/>
      <w:outlineLvl w:val="0"/>
    </w:pPr>
    <w:rPr>
      <w:rFonts w:ascii="Times New Roman" w:hAnsi="Times New Roman" w:eastAsia="黑体" w:cs="Times New Roman"/>
      <w:b/>
      <w:bCs/>
      <w:kern w:val="44"/>
      <w:sz w:val="28"/>
      <w:szCs w:val="44"/>
      <w:lang w:val="en-US" w:eastAsia="zh-CN" w:bidi="ar-SA"/>
    </w:rPr>
  </w:style>
  <w:style w:type="paragraph" w:styleId="3">
    <w:name w:val="heading 2"/>
    <w:next w:val="1"/>
    <w:qFormat/>
    <w:uiPriority w:val="0"/>
    <w:pPr>
      <w:keepNext/>
      <w:keepLines/>
      <w:spacing w:before="480" w:after="120"/>
      <w:outlineLvl w:val="1"/>
    </w:pPr>
    <w:rPr>
      <w:rFonts w:ascii="Times New Roman" w:hAnsi="Times New Roman" w:eastAsia="黑体" w:cs="Times New Roman"/>
      <w:sz w:val="24"/>
      <w:lang w:val="en-US" w:eastAsia="zh-CN" w:bidi="ar-SA"/>
    </w:rPr>
  </w:style>
  <w:style w:type="paragraph" w:styleId="4">
    <w:name w:val="heading 3"/>
    <w:next w:val="1"/>
    <w:qFormat/>
    <w:uiPriority w:val="0"/>
    <w:pPr>
      <w:keepNext/>
      <w:keepLines/>
      <w:spacing w:before="240" w:after="120"/>
      <w:outlineLvl w:val="2"/>
    </w:pPr>
    <w:rPr>
      <w:rFonts w:ascii="Times New Roman" w:hAnsi="Times New Roman" w:eastAsia="黑体" w:cs="Times New Roman"/>
      <w:sz w:val="24"/>
      <w:lang w:val="en-US" w:eastAsia="zh-CN" w:bidi="ar-SA"/>
    </w:rPr>
  </w:style>
  <w:style w:type="paragraph" w:styleId="5">
    <w:name w:val="heading 4"/>
    <w:next w:val="1"/>
    <w:qFormat/>
    <w:uiPriority w:val="9"/>
    <w:pPr>
      <w:keepNext/>
      <w:keepLines/>
      <w:spacing w:before="240" w:after="120"/>
      <w:outlineLvl w:val="3"/>
    </w:pPr>
    <w:rPr>
      <w:rFonts w:ascii="黑体" w:hAnsi="黑体" w:eastAsia="黑体" w:cs="Times New Roman"/>
      <w:sz w:val="24"/>
      <w:lang w:val="en-US" w:eastAsia="zh-CN" w:bidi="ar-SA"/>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link w:val="32"/>
    <w:qFormat/>
    <w:uiPriority w:val="35"/>
    <w:pPr>
      <w:spacing w:before="120" w:after="240"/>
      <w:jc w:val="center"/>
    </w:pPr>
    <w:rPr>
      <w:sz w:val="21"/>
    </w:rPr>
  </w:style>
  <w:style w:type="paragraph" w:styleId="7">
    <w:name w:val="Document Map"/>
    <w:basedOn w:val="1"/>
    <w:link w:val="28"/>
    <w:qFormat/>
    <w:uiPriority w:val="99"/>
    <w:rPr>
      <w:rFonts w:ascii="宋体"/>
      <w:sz w:val="18"/>
      <w:szCs w:val="18"/>
    </w:rPr>
  </w:style>
  <w:style w:type="paragraph" w:styleId="8">
    <w:name w:val="annotation text"/>
    <w:basedOn w:val="1"/>
    <w:link w:val="29"/>
    <w:qFormat/>
    <w:uiPriority w:val="99"/>
    <w:pPr>
      <w:jc w:val="left"/>
    </w:pPr>
  </w:style>
  <w:style w:type="paragraph" w:styleId="9">
    <w:name w:val="toc 3"/>
    <w:basedOn w:val="1"/>
    <w:next w:val="1"/>
    <w:qFormat/>
    <w:uiPriority w:val="39"/>
    <w:pPr>
      <w:spacing w:before="120" w:line="240" w:lineRule="auto"/>
      <w:ind w:left="480" w:leftChars="200"/>
    </w:pPr>
    <w:rPr>
      <w:rFonts w:eastAsia="黑体"/>
    </w:rPr>
  </w:style>
  <w:style w:type="paragraph" w:styleId="10">
    <w:name w:val="Balloon Text"/>
    <w:basedOn w:val="1"/>
    <w:link w:val="27"/>
    <w:qFormat/>
    <w:uiPriority w:val="99"/>
    <w:rPr>
      <w:sz w:val="18"/>
      <w:szCs w:val="18"/>
    </w:rPr>
  </w:style>
  <w:style w:type="paragraph" w:styleId="11">
    <w:name w:val="footer"/>
    <w:basedOn w:val="1"/>
    <w:link w:val="26"/>
    <w:qFormat/>
    <w:uiPriority w:val="99"/>
    <w:pPr>
      <w:tabs>
        <w:tab w:val="center" w:pos="4153"/>
        <w:tab w:val="right" w:pos="8306"/>
      </w:tabs>
      <w:snapToGrid w:val="0"/>
      <w:jc w:val="left"/>
    </w:pPr>
    <w:rPr>
      <w:sz w:val="18"/>
      <w:szCs w:val="18"/>
    </w:rPr>
  </w:style>
  <w:style w:type="paragraph" w:styleId="12">
    <w:name w:val="header"/>
    <w:basedOn w:val="1"/>
    <w:link w:val="25"/>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pacing w:before="120" w:line="240" w:lineRule="auto"/>
    </w:pPr>
    <w:rPr>
      <w:rFonts w:eastAsia="黑体"/>
      <w:sz w:val="28"/>
    </w:rPr>
  </w:style>
  <w:style w:type="paragraph" w:styleId="14">
    <w:name w:val="table of figures"/>
    <w:basedOn w:val="1"/>
    <w:next w:val="1"/>
    <w:qFormat/>
    <w:uiPriority w:val="99"/>
    <w:pPr>
      <w:spacing w:before="120" w:line="240" w:lineRule="auto"/>
    </w:pPr>
    <w:rPr>
      <w:rFonts w:eastAsia="黑体"/>
    </w:rPr>
  </w:style>
  <w:style w:type="paragraph" w:styleId="15">
    <w:name w:val="toc 2"/>
    <w:basedOn w:val="1"/>
    <w:next w:val="1"/>
    <w:qFormat/>
    <w:uiPriority w:val="39"/>
    <w:pPr>
      <w:spacing w:before="120" w:line="240" w:lineRule="auto"/>
      <w:ind w:left="240" w:leftChars="100"/>
    </w:pPr>
    <w:rPr>
      <w:rFonts w:eastAsia="黑体"/>
    </w:rPr>
  </w:style>
  <w:style w:type="paragraph" w:styleId="16">
    <w:name w:val="annotation subject"/>
    <w:basedOn w:val="8"/>
    <w:next w:val="8"/>
    <w:link w:val="30"/>
    <w:qFormat/>
    <w:uiPriority w:val="99"/>
    <w:rPr>
      <w:b/>
      <w:bCs/>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basedOn w:val="19"/>
    <w:qFormat/>
    <w:uiPriority w:val="99"/>
    <w:rPr>
      <w:color w:val="0000FF"/>
      <w:u w:val="single"/>
    </w:rPr>
  </w:style>
  <w:style w:type="character" w:styleId="22">
    <w:name w:val="annotation reference"/>
    <w:basedOn w:val="19"/>
    <w:qFormat/>
    <w:uiPriority w:val="99"/>
    <w:rPr>
      <w:sz w:val="21"/>
      <w:szCs w:val="21"/>
    </w:rPr>
  </w:style>
  <w:style w:type="character" w:customStyle="1" w:styleId="23">
    <w:name w:val="标题 1 字符"/>
    <w:link w:val="2"/>
    <w:qFormat/>
    <w:uiPriority w:val="0"/>
    <w:rPr>
      <w:rFonts w:ascii="Times New Roman" w:hAnsi="Times New Roman" w:eastAsia="黑体" w:cs="Times New Roman"/>
      <w:b/>
      <w:bCs/>
      <w:kern w:val="44"/>
      <w:sz w:val="28"/>
      <w:szCs w:val="44"/>
    </w:rPr>
  </w:style>
  <w:style w:type="character" w:customStyle="1" w:styleId="24">
    <w:name w:val="title21"/>
    <w:qFormat/>
    <w:uiPriority w:val="0"/>
    <w:rPr>
      <w:rFonts w:hint="eastAsia" w:ascii="楷体_GB2312" w:eastAsia="楷体_GB2312"/>
      <w:color w:val="FF0000"/>
      <w:sz w:val="30"/>
      <w:szCs w:val="30"/>
      <w:u w:val="none"/>
    </w:rPr>
  </w:style>
  <w:style w:type="character" w:customStyle="1" w:styleId="25">
    <w:name w:val="页眉 字符"/>
    <w:link w:val="12"/>
    <w:qFormat/>
    <w:uiPriority w:val="99"/>
    <w:rPr>
      <w:rFonts w:ascii="Times New Roman" w:hAnsi="Times New Roman"/>
      <w:kern w:val="2"/>
      <w:sz w:val="18"/>
      <w:szCs w:val="18"/>
    </w:rPr>
  </w:style>
  <w:style w:type="character" w:customStyle="1" w:styleId="26">
    <w:name w:val="页脚 字符"/>
    <w:link w:val="11"/>
    <w:qFormat/>
    <w:uiPriority w:val="99"/>
    <w:rPr>
      <w:rFonts w:ascii="Times New Roman" w:hAnsi="Times New Roman"/>
      <w:kern w:val="2"/>
      <w:sz w:val="18"/>
      <w:szCs w:val="18"/>
    </w:rPr>
  </w:style>
  <w:style w:type="character" w:customStyle="1" w:styleId="27">
    <w:name w:val="批注框文本 字符"/>
    <w:link w:val="10"/>
    <w:qFormat/>
    <w:uiPriority w:val="99"/>
    <w:rPr>
      <w:rFonts w:ascii="Times New Roman" w:hAnsi="Times New Roman"/>
      <w:kern w:val="2"/>
      <w:sz w:val="18"/>
      <w:szCs w:val="18"/>
    </w:rPr>
  </w:style>
  <w:style w:type="character" w:customStyle="1" w:styleId="28">
    <w:name w:val="文档结构图 字符"/>
    <w:basedOn w:val="19"/>
    <w:link w:val="7"/>
    <w:qFormat/>
    <w:uiPriority w:val="99"/>
    <w:rPr>
      <w:rFonts w:ascii="宋体" w:hAnsi="Times New Roman"/>
      <w:kern w:val="2"/>
      <w:sz w:val="18"/>
      <w:szCs w:val="18"/>
    </w:rPr>
  </w:style>
  <w:style w:type="character" w:customStyle="1" w:styleId="29">
    <w:name w:val="批注文字 字符"/>
    <w:basedOn w:val="19"/>
    <w:link w:val="8"/>
    <w:qFormat/>
    <w:uiPriority w:val="99"/>
    <w:rPr>
      <w:kern w:val="2"/>
      <w:sz w:val="24"/>
      <w:szCs w:val="24"/>
    </w:rPr>
  </w:style>
  <w:style w:type="character" w:customStyle="1" w:styleId="30">
    <w:name w:val="批注主题 字符"/>
    <w:basedOn w:val="29"/>
    <w:link w:val="16"/>
    <w:qFormat/>
    <w:uiPriority w:val="99"/>
    <w:rPr>
      <w:b/>
      <w:bCs/>
      <w:kern w:val="2"/>
      <w:sz w:val="24"/>
      <w:szCs w:val="24"/>
    </w:rPr>
  </w:style>
  <w:style w:type="paragraph" w:customStyle="1" w:styleId="31">
    <w:name w:val="正文（结尾部分）"/>
    <w:basedOn w:val="1"/>
    <w:qFormat/>
    <w:uiPriority w:val="0"/>
    <w:pPr>
      <w:adjustRightInd w:val="0"/>
      <w:snapToGrid w:val="0"/>
      <w:spacing w:line="320" w:lineRule="exact"/>
      <w:ind w:firstLine="200"/>
    </w:pPr>
  </w:style>
  <w:style w:type="character" w:customStyle="1" w:styleId="32">
    <w:name w:val="题注 字符"/>
    <w:link w:val="6"/>
    <w:qFormat/>
    <w:uiPriority w:val="0"/>
    <w:rPr>
      <w:rFonts w:ascii="Times New Roman" w:hAnsi="Times New Roman"/>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8" Type="http://schemas.openxmlformats.org/officeDocument/2006/relationships/fontTable" Target="fontTable.xml"/><Relationship Id="rId87" Type="http://schemas.openxmlformats.org/officeDocument/2006/relationships/customXml" Target="../customXml/item5.xml"/><Relationship Id="rId86" Type="http://schemas.openxmlformats.org/officeDocument/2006/relationships/customXml" Target="../customXml/item4.xml"/><Relationship Id="rId85" Type="http://schemas.openxmlformats.org/officeDocument/2006/relationships/customXml" Target="../customXml/item3.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footer" Target="footer1.xml"/><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header" Target="header3.xml"/><Relationship Id="rId69" Type="http://schemas.openxmlformats.org/officeDocument/2006/relationships/image" Target="media/image33.png"/><Relationship Id="rId68" Type="http://schemas.openxmlformats.org/officeDocument/2006/relationships/image" Target="media/image32.png"/><Relationship Id="rId67" Type="http://schemas.openxmlformats.org/officeDocument/2006/relationships/image" Target="media/image31.png"/><Relationship Id="rId66" Type="http://schemas.openxmlformats.org/officeDocument/2006/relationships/image" Target="media/image30.png"/><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png"/><Relationship Id="rId62" Type="http://schemas.openxmlformats.org/officeDocument/2006/relationships/image" Target="media/image26.png"/><Relationship Id="rId61" Type="http://schemas.openxmlformats.org/officeDocument/2006/relationships/image" Target="media/image25.png"/><Relationship Id="rId60" Type="http://schemas.openxmlformats.org/officeDocument/2006/relationships/image" Target="media/image24.png"/><Relationship Id="rId6" Type="http://schemas.openxmlformats.org/officeDocument/2006/relationships/header" Target="header2.xml"/><Relationship Id="rId59" Type="http://schemas.openxmlformats.org/officeDocument/2006/relationships/image" Target="media/image23.png"/><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bmp"/><Relationship Id="rId54"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51" Type="http://schemas.openxmlformats.org/officeDocument/2006/relationships/image" Target="media/image15.png"/><Relationship Id="rId50" Type="http://schemas.openxmlformats.org/officeDocument/2006/relationships/image" Target="media/image14.wmf"/><Relationship Id="rId5" Type="http://schemas.openxmlformats.org/officeDocument/2006/relationships/header" Target="header1.xml"/><Relationship Id="rId49" Type="http://schemas.openxmlformats.org/officeDocument/2006/relationships/oleObject" Target="embeddings/oleObject1.bin"/><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endnotes" Target="endnotes.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header" Target="header18.xml"/><Relationship Id="rId33" Type="http://schemas.openxmlformats.org/officeDocument/2006/relationships/header" Target="header17.xml"/><Relationship Id="rId32" Type="http://schemas.openxmlformats.org/officeDocument/2006/relationships/header" Target="header16.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header" Target="header12.xml"/><Relationship Id="rId27" Type="http://schemas.openxmlformats.org/officeDocument/2006/relationships/header" Target="header11.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header" Target="header10.xml"/><Relationship Id="rId23" Type="http://schemas.openxmlformats.org/officeDocument/2006/relationships/header" Target="header9.xml"/><Relationship Id="rId22" Type="http://schemas.openxmlformats.org/officeDocument/2006/relationships/header" Target="header8.xml"/><Relationship Id="rId21" Type="http://schemas.openxmlformats.org/officeDocument/2006/relationships/header" Target="header7.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239802-A345-4DFD-82D7-FC5F6DFEFD1B}">
  <ds:schemaRefs/>
</ds:datastoreItem>
</file>

<file path=customXml/itemProps3.xml><?xml version="1.0" encoding="utf-8"?>
<ds:datastoreItem xmlns:ds="http://schemas.openxmlformats.org/officeDocument/2006/customXml" ds:itemID="{157A87BC-CE4A-4EAA-A70E-341055B8ECDA}">
  <ds:schemaRefs/>
</ds:datastoreItem>
</file>

<file path=customXml/itemProps4.xml><?xml version="1.0" encoding="utf-8"?>
<ds:datastoreItem xmlns:ds="http://schemas.openxmlformats.org/officeDocument/2006/customXml" ds:itemID="{02AE86B7-AB27-4E64-A800-803F5D1A155E}">
  <ds:schemaRefs/>
</ds:datastoreItem>
</file>

<file path=customXml/itemProps5.xml><?xml version="1.0" encoding="utf-8"?>
<ds:datastoreItem xmlns:ds="http://schemas.openxmlformats.org/officeDocument/2006/customXml" ds:itemID="{038A442E-9533-4B5A-B89A-D65298D32071}">
  <ds:schemaRefs/>
</ds:datastoreItem>
</file>

<file path=docProps/app.xml><?xml version="1.0" encoding="utf-8"?>
<Properties xmlns="http://schemas.openxmlformats.org/officeDocument/2006/extended-properties" xmlns:vt="http://schemas.openxmlformats.org/officeDocument/2006/docPropsVTypes">
  <Template>Normal.dotm</Template>
  <Company>xwb</Company>
  <Pages>80</Pages>
  <Words>28371</Words>
  <Characters>49777</Characters>
  <Lines>418</Lines>
  <Paragraphs>117</Paragraphs>
  <TotalTime>3</TotalTime>
  <ScaleCrop>false</ScaleCrop>
  <LinksUpToDate>false</LinksUpToDate>
  <CharactersWithSpaces>52941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2021-02-22T08:10:00Z</dcterms:created>
  <dc:creator>邴涛</dc:creator>
  <cp:lastModifiedBy>陈力恒</cp:lastModifiedBy>
  <cp:lastPrinted>2012-04-06T01:26:00Z</cp:lastPrinted>
  <dcterms:modified xsi:type="dcterms:W3CDTF">2021-05-22T07:08:27Z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4E85B66AD72E478A92CABE2D42C6A246</vt:lpwstr>
  </property>
</Properties>
</file>