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64646"/>
          <w:sz w:val="22"/>
        </w:rPr>
        <w:t>UNIVERSIDAD CATÓLICA DEL MAULE</w:t>
        <w:br/>
        <w:t>FACULTAD DE CIENCIAS DE LA INGENIERÍA</w:t>
        <w:br/>
        <w:t>DEPARTAMENTO DE INFORMÁTICA</w:t>
        <w:br/>
      </w:r>
    </w:p>
    <w:p>
      <w:pPr>
        <w:spacing w:after="480"/>
      </w:pPr>
    </w:p>
    <w:p>
      <w:pPr>
        <w:jc w:val="center"/>
      </w:pPr>
      <w:r>
        <w:rPr>
          <w:rFonts w:ascii="Arial" w:hAnsi="Arial"/>
          <w:b/>
          <w:color w:val="1E56A0"/>
          <w:sz w:val="24"/>
        </w:rPr>
        <w:t>INFORME DE CONSULTORÍA TÉCNICA - EVALUACIÓN 2 (INF-522)</w:t>
        <w:br/>
      </w:r>
      <w:r>
        <w:rPr>
          <w:rFonts w:ascii="Arial" w:hAnsi="Arial"/>
          <w:b/>
          <w:color w:val="102C57"/>
          <w:sz w:val="36"/>
        </w:rPr>
        <w:t>ARQUITECTURA DE INGENIERÍA DE DATOS, MODELADO DIMENSIONAL Y DATA MART DE COMERCIO EXTERIOR</w:t>
        <w:br/>
      </w:r>
      <w:r>
        <w:rPr>
          <w:rFonts w:ascii="Arial" w:hAnsi="Arial"/>
          <w:i/>
          <w:color w:val="5A5A5A"/>
          <w:sz w:val="22"/>
        </w:rPr>
        <w:t>Caso de Estudio: Servicio Nacional de Aduanas de Chile mediante APIs Públicas de Datos Abiertos (datos.gob.cl)</w:t>
        <w:br/>
      </w:r>
    </w:p>
    <w:p>
      <w:pPr>
        <w:spacing w:after="720"/>
      </w:pP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left w:val="single" w:sz="24" w:space="0" w:color="1F4E79"/>
              <w:top w:val="none"/>
              <w:right w:val="none"/>
              <w:bottom w:val="none"/>
            </w:tcBorders>
          </w:tcPr>
          <w:p>
            <w:pPr>
              <w:spacing w:after="40"/>
            </w:pPr>
            <w:r>
              <w:rPr>
                <w:rFonts w:ascii="Arial" w:hAnsi="Arial"/>
                <w:b/>
                <w:color w:val="102C57"/>
                <w:sz w:val="21"/>
              </w:rPr>
              <w:t>📌 EQUIPO DE CONSULTORÍA EN INGENIERÍA DE DATOS (DataCustoms Analytics SpA)</w:t>
              <w:br/>
            </w:r>
            <w:r>
              <w:rPr>
                <w:rFonts w:ascii="Arial" w:hAnsi="Arial"/>
                <w:i/>
                <w:color w:val="282828"/>
                <w:sz w:val="19"/>
              </w:rPr>
              <w:t>Informe profesional desarrollado como respuesta al requerimiento de auditoría, depuración, modelado dimensional y control analítico de las operaciones aduaneras de Chile.</w:t>
            </w:r>
          </w:p>
        </w:tc>
      </w:tr>
    </w:tbl>
    <w:p>
      <w:pPr>
        <w:spacing w:after="80"/>
      </w:pPr>
    </w:p>
    <w:p>
      <w:pPr>
        <w:spacing w:line="312" w:lineRule="auto" w:after="360"/>
      </w:pPr>
      <w:r>
        <w:rPr>
          <w:b/>
          <w:sz w:val="20"/>
        </w:rPr>
        <w:t xml:space="preserve">Asignatura: </w:t>
      </w:r>
      <w:r>
        <w:rPr>
          <w:sz w:val="20"/>
        </w:rPr>
        <w:t>INF-522 Gestión Informática II</w:t>
        <w:br/>
      </w:r>
      <w:r>
        <w:rPr>
          <w:b/>
          <w:sz w:val="20"/>
        </w:rPr>
        <w:t xml:space="preserve">Carrera: </w:t>
      </w:r>
      <w:r>
        <w:rPr>
          <w:sz w:val="20"/>
        </w:rPr>
        <w:t>Ingeniería Civil Informática</w:t>
        <w:br/>
      </w:r>
      <w:r>
        <w:rPr>
          <w:b/>
          <w:sz w:val="20"/>
        </w:rPr>
        <w:t xml:space="preserve">Académicos Evaluadores: </w:t>
      </w:r>
      <w:r>
        <w:rPr>
          <w:sz w:val="20"/>
        </w:rPr>
        <w:t>Prof. Natalia Morales | Prof. Sebastián Farías</w:t>
        <w:br/>
      </w:r>
      <w:r>
        <w:rPr>
          <w:b/>
          <w:sz w:val="20"/>
        </w:rPr>
        <w:t xml:space="preserve">Integrantes del Equipo Consultor: </w:t>
      </w:r>
      <w:r>
        <w:rPr>
          <w:sz w:val="20"/>
        </w:rPr>
        <w:t>Leonel Ayala, Cristóbal Barrios, Benjamín Mellado, Matías Troncoso, Lucas Valenzuela</w:t>
        <w:br/>
      </w:r>
      <w:r>
        <w:rPr>
          <w:b/>
          <w:sz w:val="20"/>
        </w:rPr>
        <w:t xml:space="preserve">Repositorio Oficial GitHub: </w:t>
      </w:r>
      <w:r>
        <w:rPr>
          <w:sz w:val="20"/>
        </w:rPr>
        <w:t>https://github.com/Leonel-Ayala/ETL_AduanasChile_Ayala_Barrios_Mellado_Troncoso_Valenzuela</w:t>
        <w:br/>
      </w:r>
      <w:r>
        <w:rPr>
          <w:b/>
          <w:sz w:val="20"/>
        </w:rPr>
        <w:t xml:space="preserve">Fecha de Entrega: </w:t>
      </w:r>
      <w:r>
        <w:rPr>
          <w:sz w:val="20"/>
        </w:rPr>
        <w:t>Noviembre 2026</w:t>
        <w:br/>
      </w:r>
    </w:p>
    <w:p>
      <w:r>
        <w:br w:type="page"/>
      </w:r>
    </w:p>
    <w:p>
      <w:pPr>
        <w:pStyle w:val="Heading1"/>
        <w:spacing w:before="280" w:after="120"/>
      </w:pPr>
      <w:r>
        <w:rPr>
          <w:rFonts w:ascii="Arial" w:hAnsi="Arial"/>
          <w:b/>
          <w:color w:val="102C57"/>
          <w:sz w:val="32"/>
        </w:rPr>
        <w:t>ÍNDICE DE CONTENIDOS DEL INFORME</w:t>
      </w:r>
    </w:p>
    <w:p>
      <w:pPr>
        <w:spacing w:after="80" w:line="276" w:lineRule="auto"/>
      </w:pPr>
      <w:r>
        <w:rPr>
          <w:rFonts w:ascii="Arial" w:hAnsi="Arial"/>
          <w:i w:val="0"/>
          <w:color w:val="2D2D2D"/>
          <w:sz w:val="20"/>
        </w:rPr>
        <w:t>1. Contexto de Negocio y Planteamiento de la Consultora</w:t>
      </w:r>
    </w:p>
    <w:p>
      <w:pPr>
        <w:spacing w:after="80" w:line="276" w:lineRule="auto"/>
      </w:pPr>
      <w:r>
        <w:rPr>
          <w:rFonts w:ascii="Arial" w:hAnsi="Arial"/>
          <w:i w:val="0"/>
          <w:color w:val="2D2D2D"/>
          <w:sz w:val="20"/>
        </w:rPr>
        <w:t>2. Selección y Justificación Exhaustiva de Fuentes de Datos (datos.gob.cl)</w:t>
      </w:r>
    </w:p>
    <w:p>
      <w:pPr>
        <w:spacing w:after="80" w:line="276" w:lineRule="auto"/>
      </w:pPr>
      <w:r>
        <w:rPr>
          <w:rFonts w:ascii="Arial" w:hAnsi="Arial"/>
          <w:i w:val="0"/>
          <w:color w:val="2D2D2D"/>
          <w:sz w:val="20"/>
        </w:rPr>
        <w:t>3. Paso a Paso de la Solución de Ingeniería de Datos (Extracción, Transformación y Carga)</w:t>
      </w:r>
    </w:p>
    <w:p>
      <w:pPr>
        <w:spacing w:after="80" w:line="276" w:lineRule="auto"/>
      </w:pPr>
      <w:r>
        <w:rPr>
          <w:rFonts w:ascii="Arial" w:hAnsi="Arial"/>
          <w:i w:val="0"/>
          <w:color w:val="2D2D2D"/>
          <w:sz w:val="20"/>
        </w:rPr>
        <w:t xml:space="preserve">   3.1. Proceso de Extracción Robusta (Extract)</w:t>
      </w:r>
    </w:p>
    <w:p>
      <w:pPr>
        <w:spacing w:after="80" w:line="276" w:lineRule="auto"/>
      </w:pPr>
      <w:r>
        <w:rPr>
          <w:rFonts w:ascii="Arial" w:hAnsi="Arial"/>
          <w:i w:val="0"/>
          <w:color w:val="2D2D2D"/>
          <w:sz w:val="20"/>
        </w:rPr>
        <w:t xml:space="preserve">   3.2. Optimización Arquitectónica: Transitoriedad de las Capas Raw y Staging</w:t>
      </w:r>
    </w:p>
    <w:p>
      <w:pPr>
        <w:spacing w:after="80" w:line="276" w:lineRule="auto"/>
      </w:pPr>
      <w:r>
        <w:rPr>
          <w:rFonts w:ascii="Arial" w:hAnsi="Arial"/>
          <w:i w:val="0"/>
          <w:color w:val="2D2D2D"/>
          <w:sz w:val="20"/>
        </w:rPr>
        <w:t xml:space="preserve">   3.3. Depuración, Normalización y Homologación de Datos (Transform)</w:t>
      </w:r>
    </w:p>
    <w:p>
      <w:pPr>
        <w:spacing w:after="80" w:line="276" w:lineRule="auto"/>
      </w:pPr>
      <w:r>
        <w:rPr>
          <w:rFonts w:ascii="Arial" w:hAnsi="Arial"/>
          <w:i w:val="0"/>
          <w:color w:val="2D2D2D"/>
          <w:sz w:val="20"/>
        </w:rPr>
        <w:t xml:space="preserve">   3.4. Modelo Dimensional en Estrella en PostgreSQL (Load)</w:t>
      </w:r>
    </w:p>
    <w:p>
      <w:pPr>
        <w:spacing w:after="80" w:line="276" w:lineRule="auto"/>
      </w:pPr>
      <w:r>
        <w:rPr>
          <w:rFonts w:ascii="Arial" w:hAnsi="Arial"/>
          <w:i w:val="0"/>
          <w:color w:val="2D2D2D"/>
          <w:sz w:val="20"/>
        </w:rPr>
        <w:t xml:space="preserve">   3.5. Idempotencia y Contraste de lo Nuevo vs. lo Existente en el Data Warehouse</w:t>
      </w:r>
    </w:p>
    <w:p>
      <w:pPr>
        <w:spacing w:after="80" w:line="276" w:lineRule="auto"/>
      </w:pPr>
      <w:r>
        <w:rPr>
          <w:rFonts w:ascii="Arial" w:hAnsi="Arial"/>
          <w:i w:val="0"/>
          <w:color w:val="2D2D2D"/>
          <w:sz w:val="20"/>
        </w:rPr>
        <w:t>4. Orquestación y Estrategia de Ejecución en Apache Airflow</w:t>
      </w:r>
    </w:p>
    <w:p>
      <w:pPr>
        <w:spacing w:after="80" w:line="276" w:lineRule="auto"/>
      </w:pPr>
      <w:r>
        <w:rPr>
          <w:rFonts w:ascii="Arial" w:hAnsi="Arial"/>
          <w:i w:val="0"/>
          <w:color w:val="2D2D2D"/>
          <w:sz w:val="20"/>
        </w:rPr>
        <w:t xml:space="preserve">   4.1. Diseño de los 3 DAGs Desacoplados y Aislamiento de Fallas</w:t>
      </w:r>
    </w:p>
    <w:p>
      <w:pPr>
        <w:spacing w:after="80" w:line="276" w:lineRule="auto"/>
      </w:pPr>
      <w:r>
        <w:rPr>
          <w:rFonts w:ascii="Arial" w:hAnsi="Arial"/>
          <w:i w:val="0"/>
          <w:color w:val="2D2D2D"/>
          <w:sz w:val="20"/>
        </w:rPr>
        <w:t xml:space="preserve">   4.2. Seguridad Zero-Hardcoding: Airflow Connections y Variables</w:t>
      </w:r>
    </w:p>
    <w:p>
      <w:pPr>
        <w:spacing w:after="80" w:line="276" w:lineRule="auto"/>
      </w:pPr>
      <w:r>
        <w:rPr>
          <w:rFonts w:ascii="Arial" w:hAnsi="Arial"/>
          <w:i w:val="0"/>
          <w:color w:val="2D2D2D"/>
          <w:sz w:val="20"/>
        </w:rPr>
        <w:t xml:space="preserve">   4.3. Reintentos, Timeouts y Auditoría Forense en public.etl_audit</w:t>
      </w:r>
    </w:p>
    <w:p>
      <w:pPr>
        <w:spacing w:after="80" w:line="276" w:lineRule="auto"/>
      </w:pPr>
      <w:r>
        <w:rPr>
          <w:rFonts w:ascii="Arial" w:hAnsi="Arial"/>
          <w:i w:val="0"/>
          <w:color w:val="2D2D2D"/>
          <w:sz w:val="20"/>
        </w:rPr>
        <w:t xml:space="preserve">   4.4. Protocolo de Demostración de Falla Controlada en Vivo</w:t>
      </w:r>
    </w:p>
    <w:p>
      <w:pPr>
        <w:spacing w:after="80" w:line="276" w:lineRule="auto"/>
      </w:pPr>
      <w:r>
        <w:rPr>
          <w:rFonts w:ascii="Arial" w:hAnsi="Arial"/>
          <w:i w:val="0"/>
          <w:color w:val="2D2D2D"/>
          <w:sz w:val="20"/>
        </w:rPr>
        <w:t>5. Data Mart: Indicadores de Gestión y Propuesta de Expansión</w:t>
      </w:r>
    </w:p>
    <w:p>
      <w:pPr>
        <w:spacing w:after="80" w:line="276" w:lineRule="auto"/>
      </w:pPr>
      <w:r>
        <w:rPr>
          <w:rFonts w:ascii="Arial" w:hAnsi="Arial"/>
          <w:i w:val="0"/>
          <w:color w:val="2D2D2D"/>
          <w:sz w:val="20"/>
        </w:rPr>
        <w:t xml:space="preserve">   5.1. Fichas Técnicas de los 5 Indicadores Implementados</w:t>
      </w:r>
    </w:p>
    <w:p>
      <w:pPr>
        <w:spacing w:after="80" w:line="276" w:lineRule="auto"/>
      </w:pPr>
      <w:r>
        <w:rPr>
          <w:rFonts w:ascii="Arial" w:hAnsi="Arial"/>
          <w:i w:val="0"/>
          <w:color w:val="2D2D2D"/>
          <w:sz w:val="20"/>
        </w:rPr>
        <w:t xml:space="preserve">   5.2. Propuesta Formal de Expansión de Indicadores Estratégicos</w:t>
      </w:r>
    </w:p>
    <w:p>
      <w:pPr>
        <w:spacing w:after="80" w:line="276" w:lineRule="auto"/>
      </w:pPr>
      <w:r>
        <w:rPr>
          <w:rFonts w:ascii="Arial" w:hAnsi="Arial"/>
          <w:i w:val="0"/>
          <w:color w:val="2D2D2D"/>
          <w:sz w:val="20"/>
        </w:rPr>
        <w:t>6. Capítulo de Estrategia de Datos</w:t>
      </w:r>
    </w:p>
    <w:p>
      <w:pPr>
        <w:spacing w:after="80" w:line="276" w:lineRule="auto"/>
      </w:pPr>
      <w:r>
        <w:rPr>
          <w:rFonts w:ascii="Arial" w:hAnsi="Arial"/>
          <w:i w:val="0"/>
          <w:color w:val="2D2D2D"/>
          <w:sz w:val="20"/>
        </w:rPr>
        <w:t xml:space="preserve">   6.1. Actores y Toma de Decisiones Estratégicas</w:t>
      </w:r>
    </w:p>
    <w:p>
      <w:pPr>
        <w:spacing w:after="80" w:line="276" w:lineRule="auto"/>
      </w:pPr>
      <w:r>
        <w:rPr>
          <w:rFonts w:ascii="Arial" w:hAnsi="Arial"/>
          <w:i w:val="0"/>
          <w:color w:val="2D2D2D"/>
          <w:sz w:val="20"/>
        </w:rPr>
        <w:t xml:space="preserve">   6.2. Gobierno de Calidad, Nulos y Duplicados</w:t>
      </w:r>
    </w:p>
    <w:p>
      <w:pPr>
        <w:spacing w:after="80" w:line="276" w:lineRule="auto"/>
      </w:pPr>
      <w:r>
        <w:rPr>
          <w:rFonts w:ascii="Arial" w:hAnsi="Arial"/>
          <w:i w:val="0"/>
          <w:color w:val="2D2D2D"/>
          <w:sz w:val="20"/>
        </w:rPr>
        <w:t xml:space="preserve">   6.3. Linaje de Datos de Extremo a Extremo</w:t>
      </w:r>
    </w:p>
    <w:p>
      <w:pPr>
        <w:spacing w:after="80" w:line="276" w:lineRule="auto"/>
      </w:pPr>
      <w:r>
        <w:rPr>
          <w:rFonts w:ascii="Arial" w:hAnsi="Arial"/>
          <w:i w:val="0"/>
          <w:color w:val="2D2D2D"/>
          <w:sz w:val="20"/>
        </w:rPr>
        <w:t xml:space="preserve">   6.4. Frecuencia y Schedule de Sincronización</w:t>
      </w:r>
    </w:p>
    <w:p>
      <w:pPr>
        <w:spacing w:after="80" w:line="276" w:lineRule="auto"/>
      </w:pPr>
      <w:r>
        <w:rPr>
          <w:rFonts w:ascii="Arial" w:hAnsi="Arial"/>
          <w:i w:val="0"/>
          <w:color w:val="2D2D2D"/>
          <w:sz w:val="20"/>
        </w:rPr>
        <w:t xml:space="preserve">   6.5. Gestión de Riesgos, Seguridad y Datos Sensibles</w:t>
      </w:r>
    </w:p>
    <w:p>
      <w:pPr>
        <w:spacing w:after="80" w:line="276" w:lineRule="auto"/>
      </w:pPr>
      <w:r>
        <w:rPr>
          <w:rFonts w:ascii="Arial" w:hAnsi="Arial"/>
          <w:i w:val="0"/>
          <w:color w:val="2D2D2D"/>
          <w:sz w:val="20"/>
        </w:rPr>
        <w:t xml:space="preserve">   6.6. Escalabilidad Horizontal y Vertical de la Solución</w:t>
      </w:r>
    </w:p>
    <w:p>
      <w:pPr>
        <w:spacing w:after="80" w:line="276" w:lineRule="auto"/>
      </w:pPr>
      <w:r>
        <w:rPr>
          <w:rFonts w:ascii="Arial" w:hAnsi="Arial"/>
          <w:i w:val="0"/>
          <w:color w:val="2D2D2D"/>
          <w:sz w:val="20"/>
        </w:rPr>
        <w:t>7. Información de Carga, Análisis Empírico y Resolución de Problemas</w:t>
      </w:r>
    </w:p>
    <w:p>
      <w:pPr>
        <w:spacing w:after="80" w:line="276" w:lineRule="auto"/>
      </w:pPr>
      <w:r>
        <w:rPr>
          <w:rFonts w:ascii="Arial" w:hAnsi="Arial"/>
          <w:i w:val="0"/>
          <w:color w:val="2D2D2D"/>
          <w:sz w:val="20"/>
        </w:rPr>
        <w:t>8. Conclusiones y Recomendaciones Estratégicas</w:t>
      </w:r>
    </w:p>
    <w:p>
      <w:r>
        <w:br w:type="page"/>
      </w:r>
    </w:p>
    <w:p>
      <w:pPr>
        <w:pStyle w:val="Heading1"/>
        <w:spacing w:before="280" w:after="120"/>
      </w:pPr>
      <w:r>
        <w:rPr>
          <w:rFonts w:ascii="Arial" w:hAnsi="Arial"/>
          <w:b/>
          <w:color w:val="102C57"/>
          <w:sz w:val="32"/>
        </w:rPr>
        <w:t>1. Contexto de Negocio y Planteamiento de la Consultora</w:t>
      </w:r>
    </w:p>
    <w:p>
      <w:pPr>
        <w:spacing w:after="80" w:line="276" w:lineRule="auto"/>
      </w:pPr>
      <w:r>
        <w:rPr>
          <w:rFonts w:ascii="Arial" w:hAnsi="Arial"/>
          <w:b/>
          <w:color w:val="1E1E1E"/>
          <w:sz w:val="21"/>
        </w:rPr>
        <w:t xml:space="preserve">Marco Macroeconómico: </w:t>
      </w:r>
      <w:r>
        <w:rPr>
          <w:rFonts w:ascii="Arial" w:hAnsi="Arial"/>
          <w:i w:val="0"/>
          <w:color w:val="2D2D2D"/>
          <w:sz w:val="20"/>
        </w:rPr>
        <w:t>El comercio exterior constituye uno de los pilares estructurales de la economía de Chile, representando más del 56% del Producto Interno Bruto (PIB) nacional a través del intercambio de bienes de exportación (cobre, celulosa, agroindustria) e importación (bienes de capital, tecnología, insumos y combustibles). La institución pública rectora y fiscalizadora de este flujo es el Servicio Nacional de Aduanas.</w:t>
      </w:r>
    </w:p>
    <w:p>
      <w:pPr>
        <w:spacing w:after="80" w:line="276" w:lineRule="auto"/>
      </w:pPr>
      <w:r>
        <w:rPr>
          <w:rFonts w:ascii="Arial" w:hAnsi="Arial"/>
          <w:b/>
          <w:color w:val="1E1E1E"/>
          <w:sz w:val="21"/>
        </w:rPr>
        <w:t xml:space="preserve">El Rol de la Empresa Consultora: </w:t>
      </w:r>
      <w:r>
        <w:rPr>
          <w:rFonts w:ascii="Arial" w:hAnsi="Arial"/>
          <w:i w:val="0"/>
          <w:color w:val="2D2D2D"/>
          <w:sz w:val="20"/>
        </w:rPr>
        <w:t>Nuestra firma consultora, DataCustoms Analytics SpA, fue comisionada para diseñar, auditar e implementar una solución moderna de ingeniería de datos y analítica dimensional. Históricamente, las distintas unidades de fiscalización, finanzas públicas y logística dependían de la descarga fragmentada de planillas electrónicas locales, con una alta exposición al error humano, falta de trazabilidad forense, incapacidad de contrastar la historia contra las operaciones nuevas y ausencia de indicadores consolidados de rendimiento.</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left w:val="single" w:sz="24" w:space="0" w:color="0070F3"/>
              <w:top w:val="none"/>
              <w:right w:val="none"/>
              <w:bottom w:val="none"/>
            </w:tcBorders>
          </w:tcPr>
          <w:p>
            <w:pPr>
              <w:spacing w:after="40"/>
            </w:pPr>
            <w:r>
              <w:rPr>
                <w:rFonts w:ascii="Arial" w:hAnsi="Arial"/>
                <w:b/>
                <w:color w:val="102C57"/>
                <w:sz w:val="21"/>
              </w:rPr>
              <w:t>📌 Misión de la Consultoría</w:t>
              <w:br/>
            </w:r>
            <w:r>
              <w:rPr>
                <w:rFonts w:ascii="Arial" w:hAnsi="Arial"/>
                <w:i/>
                <w:color w:val="282828"/>
                <w:sz w:val="19"/>
              </w:rPr>
              <w:t>Controlar y gobernar las áreas críticas de comercio exterior mediante la ingesta automatizada desde las APIs oficiales del Estado de Chile, desacoplando los flujos de Importaciones y Exportaciones, depurando anomalías bajo estándares internacionales y centralizando la inteligencia de negocio en un Data Warehouse dimensional de alto rendimiento.</w:t>
            </w:r>
          </w:p>
        </w:tc>
      </w:tr>
    </w:tbl>
    <w:p>
      <w:pPr>
        <w:spacing w:after="80"/>
      </w:pPr>
    </w:p>
    <w:p>
      <w:pPr>
        <w:pStyle w:val="Heading1"/>
        <w:spacing w:before="280" w:after="120"/>
      </w:pPr>
      <w:r>
        <w:rPr>
          <w:rFonts w:ascii="Arial" w:hAnsi="Arial"/>
          <w:b/>
          <w:color w:val="102C57"/>
          <w:sz w:val="32"/>
        </w:rPr>
        <w:t>2. Selección y Justificación Exhaustiva de Fuentes de Datos (datos.gob.cl)</w:t>
      </w:r>
    </w:p>
    <w:p>
      <w:pPr>
        <w:spacing w:after="80" w:line="276" w:lineRule="auto"/>
      </w:pPr>
      <w:r>
        <w:rPr>
          <w:rFonts w:ascii="Arial" w:hAnsi="Arial"/>
          <w:b/>
          <w:color w:val="1E1E1E"/>
          <w:sz w:val="21"/>
        </w:rPr>
        <w:t xml:space="preserve">Consumo Exclusivo vía API REST: </w:t>
      </w:r>
      <w:r>
        <w:rPr>
          <w:rFonts w:ascii="Arial" w:hAnsi="Arial"/>
          <w:i w:val="0"/>
          <w:color w:val="2D2D2D"/>
          <w:sz w:val="20"/>
        </w:rPr>
        <w:t>En cumplimiento estricto con las restricciones de la evaluación INF-522, se descartó de forma absoluta cualquier mecanismo de descarga manual de archivos (.csv, .xlsx) o lectura de datos locales. La arquitectura se conecta de manera directa y programática a dos endpoints públicos independientes alojados en el Catálogo Oficial de Datos Abiertos del Gobierno de Chile (datos.gob.cl), gestionados por la plataforma tecnológica CKAN DataStore del Estado.</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F4E79"/>
            <w:tcMar>
              <w:top w:w="100" w:type="dxa"/>
              <w:bottom w:w="100" w:type="dxa"/>
              <w:left w:w="120" w:type="dxa"/>
              <w:right w:w="120" w:type="dxa"/>
            </w:tcMar>
          </w:tcPr>
          <w:p>
            <w:pPr>
              <w:jc w:val="center"/>
            </w:pPr>
            <w:r>
              <w:rPr>
                <w:rFonts w:ascii="Arial" w:hAnsi="Arial"/>
                <w:b/>
                <w:color w:val="FFFFFF"/>
                <w:sz w:val="19"/>
              </w:rPr>
              <w:t>Flujo</w:t>
            </w:r>
          </w:p>
        </w:tc>
        <w:tc>
          <w:tcPr>
            <w:tcW w:type="dxa" w:w="2592"/>
            <w:shd w:fill="1F4E79"/>
            <w:tcMar>
              <w:top w:w="100" w:type="dxa"/>
              <w:bottom w:w="100" w:type="dxa"/>
              <w:left w:w="120" w:type="dxa"/>
              <w:right w:w="120" w:type="dxa"/>
            </w:tcMar>
          </w:tcPr>
          <w:p>
            <w:pPr>
              <w:jc w:val="center"/>
            </w:pPr>
            <w:r>
              <w:rPr>
                <w:rFonts w:ascii="Arial" w:hAnsi="Arial"/>
                <w:b/>
                <w:color w:val="FFFFFF"/>
                <w:sz w:val="19"/>
              </w:rPr>
              <w:t>Nombre del Dataset</w:t>
            </w:r>
          </w:p>
        </w:tc>
        <w:tc>
          <w:tcPr>
            <w:tcW w:type="dxa" w:w="2160"/>
            <w:shd w:fill="1F4E79"/>
            <w:tcMar>
              <w:top w:w="100" w:type="dxa"/>
              <w:bottom w:w="100" w:type="dxa"/>
              <w:left w:w="120" w:type="dxa"/>
              <w:right w:w="120" w:type="dxa"/>
            </w:tcMar>
          </w:tcPr>
          <w:p>
            <w:pPr>
              <w:jc w:val="center"/>
            </w:pPr>
            <w:r>
              <w:rPr>
                <w:rFonts w:ascii="Arial" w:hAnsi="Arial"/>
                <w:b/>
                <w:color w:val="FFFFFF"/>
                <w:sz w:val="19"/>
              </w:rPr>
              <w:t>Resource ID Activo (API)</w:t>
            </w:r>
          </w:p>
        </w:tc>
        <w:tc>
          <w:tcPr>
            <w:tcW w:type="dxa" w:w="1440"/>
            <w:shd w:fill="1F4E79"/>
            <w:tcMar>
              <w:top w:w="100" w:type="dxa"/>
              <w:bottom w:w="100" w:type="dxa"/>
              <w:left w:w="120" w:type="dxa"/>
              <w:right w:w="120" w:type="dxa"/>
            </w:tcMar>
          </w:tcPr>
          <w:p>
            <w:pPr>
              <w:jc w:val="center"/>
            </w:pPr>
            <w:r>
              <w:rPr>
                <w:rFonts w:ascii="Arial" w:hAnsi="Arial"/>
                <w:b/>
                <w:color w:val="FFFFFF"/>
                <w:sz w:val="19"/>
              </w:rPr>
              <w:t>Volumen Origen</w:t>
            </w:r>
          </w:p>
        </w:tc>
        <w:tc>
          <w:tcPr>
            <w:tcW w:type="dxa" w:w="1440"/>
            <w:shd w:fill="1F4E79"/>
            <w:tcMar>
              <w:top w:w="100" w:type="dxa"/>
              <w:bottom w:w="100" w:type="dxa"/>
              <w:left w:w="120" w:type="dxa"/>
              <w:right w:w="120" w:type="dxa"/>
            </w:tcMar>
          </w:tcPr>
          <w:p>
            <w:pPr>
              <w:jc w:val="center"/>
            </w:pPr>
            <w:r>
              <w:rPr>
                <w:rFonts w:ascii="Arial" w:hAnsi="Arial"/>
                <w:b/>
                <w:color w:val="FFFFFF"/>
                <w:sz w:val="19"/>
              </w:rPr>
              <w:t>Formato / Protocolo</w:t>
            </w:r>
          </w:p>
        </w:tc>
      </w:tr>
      <w:tr>
        <w:tc>
          <w:tcPr>
            <w:tcW w:type="dxa" w:w="1728"/>
            <w:shd w:fill="FFFFFF"/>
            <w:tcMar>
              <w:top w:w="80" w:type="dxa"/>
              <w:bottom w:w="80" w:type="dxa"/>
              <w:left w:w="100" w:type="dxa"/>
              <w:right w:w="100" w:type="dxa"/>
            </w:tcMar>
          </w:tcPr>
          <w:p>
            <w:r>
              <w:rPr>
                <w:rFonts w:ascii="Arial" w:hAnsi="Arial"/>
                <w:color w:val="282828"/>
                <w:sz w:val="18"/>
              </w:rPr>
              <w:t>IMPORTACIONES</w:t>
            </w:r>
          </w:p>
        </w:tc>
        <w:tc>
          <w:tcPr>
            <w:tcW w:type="dxa" w:w="2592"/>
            <w:shd w:fill="FFFFFF"/>
            <w:tcMar>
              <w:top w:w="80" w:type="dxa"/>
              <w:bottom w:w="80" w:type="dxa"/>
              <w:left w:w="100" w:type="dxa"/>
              <w:right w:w="100" w:type="dxa"/>
            </w:tcMar>
          </w:tcPr>
          <w:p>
            <w:r>
              <w:rPr>
                <w:rFonts w:ascii="Arial" w:hAnsi="Arial"/>
                <w:color w:val="282828"/>
                <w:sz w:val="18"/>
              </w:rPr>
              <w:t>Declaración de Ingreso (DIN) - Aduanas 2026</w:t>
            </w:r>
          </w:p>
        </w:tc>
        <w:tc>
          <w:tcPr>
            <w:tcW w:type="dxa" w:w="2160"/>
            <w:shd w:fill="FFFFFF"/>
            <w:tcMar>
              <w:top w:w="80" w:type="dxa"/>
              <w:bottom w:w="80" w:type="dxa"/>
              <w:left w:w="100" w:type="dxa"/>
              <w:right w:w="100" w:type="dxa"/>
            </w:tcMar>
          </w:tcPr>
          <w:p>
            <w:r>
              <w:rPr>
                <w:rFonts w:ascii="Arial" w:hAnsi="Arial"/>
                <w:color w:val="282828"/>
                <w:sz w:val="18"/>
              </w:rPr>
              <w:t>c2211d9e-4c8e-4ef4-84d5-87039c515584</w:t>
            </w:r>
          </w:p>
        </w:tc>
        <w:tc>
          <w:tcPr>
            <w:tcW w:type="dxa" w:w="1440"/>
            <w:shd w:fill="FFFFFF"/>
            <w:tcMar>
              <w:top w:w="80" w:type="dxa"/>
              <w:bottom w:w="80" w:type="dxa"/>
              <w:left w:w="100" w:type="dxa"/>
              <w:right w:w="100" w:type="dxa"/>
            </w:tcMar>
          </w:tcPr>
          <w:p>
            <w:r>
              <w:rPr>
                <w:rFonts w:ascii="Arial" w:hAnsi="Arial"/>
                <w:color w:val="282828"/>
                <w:sz w:val="18"/>
              </w:rPr>
              <w:t>32.117+ registros</w:t>
            </w:r>
          </w:p>
        </w:tc>
        <w:tc>
          <w:tcPr>
            <w:tcW w:type="dxa" w:w="1440"/>
            <w:shd w:fill="FFFFFF"/>
            <w:tcMar>
              <w:top w:w="80" w:type="dxa"/>
              <w:bottom w:w="80" w:type="dxa"/>
              <w:left w:w="100" w:type="dxa"/>
              <w:right w:w="100" w:type="dxa"/>
            </w:tcMar>
          </w:tcPr>
          <w:p>
            <w:r>
              <w:rPr>
                <w:rFonts w:ascii="Arial" w:hAnsi="Arial"/>
                <w:color w:val="282828"/>
                <w:sz w:val="18"/>
              </w:rPr>
              <w:t>CKAN DataStore (JSON / REST)</w:t>
            </w:r>
          </w:p>
        </w:tc>
      </w:tr>
      <w:tr>
        <w:tc>
          <w:tcPr>
            <w:tcW w:type="dxa" w:w="1728"/>
            <w:shd w:fill="F9FAFB"/>
            <w:tcMar>
              <w:top w:w="80" w:type="dxa"/>
              <w:bottom w:w="80" w:type="dxa"/>
              <w:left w:w="100" w:type="dxa"/>
              <w:right w:w="100" w:type="dxa"/>
            </w:tcMar>
          </w:tcPr>
          <w:p>
            <w:r>
              <w:rPr>
                <w:rFonts w:ascii="Arial" w:hAnsi="Arial"/>
                <w:color w:val="282828"/>
                <w:sz w:val="18"/>
              </w:rPr>
              <w:t>EXPORTACIONES</w:t>
            </w:r>
          </w:p>
        </w:tc>
        <w:tc>
          <w:tcPr>
            <w:tcW w:type="dxa" w:w="2592"/>
            <w:shd w:fill="F9FAFB"/>
            <w:tcMar>
              <w:top w:w="80" w:type="dxa"/>
              <w:bottom w:w="80" w:type="dxa"/>
              <w:left w:w="100" w:type="dxa"/>
              <w:right w:w="100" w:type="dxa"/>
            </w:tcMar>
          </w:tcPr>
          <w:p>
            <w:r>
              <w:rPr>
                <w:rFonts w:ascii="Arial" w:hAnsi="Arial"/>
                <w:color w:val="282828"/>
                <w:sz w:val="18"/>
              </w:rPr>
              <w:t>Declaración Única de Salida (DUS) - Aduanas 2026</w:t>
            </w:r>
          </w:p>
        </w:tc>
        <w:tc>
          <w:tcPr>
            <w:tcW w:type="dxa" w:w="2160"/>
            <w:shd w:fill="F9FAFB"/>
            <w:tcMar>
              <w:top w:w="80" w:type="dxa"/>
              <w:bottom w:w="80" w:type="dxa"/>
              <w:left w:w="100" w:type="dxa"/>
              <w:right w:w="100" w:type="dxa"/>
            </w:tcMar>
          </w:tcPr>
          <w:p>
            <w:r>
              <w:rPr>
                <w:rFonts w:ascii="Arial" w:hAnsi="Arial"/>
                <w:color w:val="282828"/>
                <w:sz w:val="18"/>
              </w:rPr>
              <w:t>f6fe6014-e353-4bc6-bd5d-762511a4dd57</w:t>
            </w:r>
          </w:p>
        </w:tc>
        <w:tc>
          <w:tcPr>
            <w:tcW w:type="dxa" w:w="1440"/>
            <w:shd w:fill="F9FAFB"/>
            <w:tcMar>
              <w:top w:w="80" w:type="dxa"/>
              <w:bottom w:w="80" w:type="dxa"/>
              <w:left w:w="100" w:type="dxa"/>
              <w:right w:w="100" w:type="dxa"/>
            </w:tcMar>
          </w:tcPr>
          <w:p>
            <w:r>
              <w:rPr>
                <w:rFonts w:ascii="Arial" w:hAnsi="Arial"/>
                <w:color w:val="282828"/>
                <w:sz w:val="18"/>
              </w:rPr>
              <w:t>55.331+ registros</w:t>
            </w:r>
          </w:p>
        </w:tc>
        <w:tc>
          <w:tcPr>
            <w:tcW w:type="dxa" w:w="1440"/>
            <w:shd w:fill="F9FAFB"/>
            <w:tcMar>
              <w:top w:w="80" w:type="dxa"/>
              <w:bottom w:w="80" w:type="dxa"/>
              <w:left w:w="100" w:type="dxa"/>
              <w:right w:w="100" w:type="dxa"/>
            </w:tcMar>
          </w:tcPr>
          <w:p>
            <w:r>
              <w:rPr>
                <w:rFonts w:ascii="Arial" w:hAnsi="Arial"/>
                <w:color w:val="282828"/>
                <w:sz w:val="18"/>
              </w:rPr>
              <w:t>CKAN DataStore (JSON / REST)</w:t>
            </w:r>
          </w:p>
        </w:tc>
      </w:tr>
    </w:tbl>
    <w:p>
      <w:pPr>
        <w:spacing w:after="120"/>
      </w:pPr>
    </w:p>
    <w:p>
      <w:pPr>
        <w:pStyle w:val="Heading2"/>
        <w:spacing w:before="200" w:after="80"/>
      </w:pPr>
      <w:r>
        <w:rPr>
          <w:rFonts w:ascii="Arial" w:hAnsi="Arial"/>
          <w:b/>
          <w:color w:val="1E56A0"/>
          <w:sz w:val="26"/>
        </w:rPr>
        <w:t>Justificación Técnica de Selección y Campos de Cruce</w:t>
      </w:r>
    </w:p>
    <w:p>
      <w:pPr>
        <w:spacing w:after="80" w:line="276" w:lineRule="auto"/>
      </w:pPr>
      <w:r>
        <w:rPr>
          <w:rFonts w:ascii="Arial" w:hAnsi="Arial"/>
          <w:b/>
          <w:color w:val="1E1E1E"/>
          <w:sz w:val="21"/>
        </w:rPr>
        <w:t xml:space="preserve">Factores Clave de Elección: </w:t>
      </w:r>
      <w:r>
        <w:rPr>
          <w:rFonts w:ascii="Arial" w:hAnsi="Arial"/>
          <w:i w:val="0"/>
          <w:color w:val="2D2D2D"/>
          <w:sz w:val="20"/>
        </w:rPr>
        <w:t>1. Viabilidad y Disponibilidad: Ambos endpoints disponen de 'datastore_active': true, lo que permite consultar registros mediante peticiones HTTP GET paginadas (/api/3/action/datastore_search?resource_id=...), garantizando resiliencia operativa y disponibilidad 24/7 sin intermediación humana.</w:t>
        <w:br/>
        <w:t>2. Documentación Oficial y Estándar CKAN: Respuestas estructuradas bajo un formato unificado {'success': true, 'result': {'records': [...], 'total': ...}}.</w:t>
        <w:br/>
        <w:t>3. Límites de Consumo y Control de Tasa (Rate Limiting): La API gubernamental implementa control de concurrencia. Nuestra solución implementa paginación controlada con bloques de 500 registros y pausas técnicas (sleep 0.5s) para no saturar los servidores públicos.</w:t>
        <w:br/>
        <w:t>4. Campos de Cruce Naturales: Ambos datasets, aunque corresponden a procesos aduaneros distintos (DIN para ingresos y DUS para salidas), comparten cuatro ejes de cruce analítico fundamentales:</w:t>
        <w:br/>
        <w:t xml:space="preserve">   a) Código y Nombre de Aduana Nacional de tramitación (San Antonio, Valparaíso, Metropolitana, etc.).</w:t>
        <w:br/>
        <w:t xml:space="preserve">   b) Código y Nombre de País de procedencia (importación) o país de destino (exportación).</w:t>
        <w:br/>
        <w:t xml:space="preserve">   c) Código de Vía de Transporte internacional (Marítima, Aérea, Terrestre, Multimodal).</w:t>
        <w:br/>
        <w:t xml:space="preserve">   d) Dimensión Temporal (Fecha contable de aceptación, año, mes, trimestre y semestre).</w:t>
      </w:r>
    </w:p>
    <w:p>
      <w:pPr>
        <w:pStyle w:val="Heading1"/>
        <w:spacing w:before="280" w:after="120"/>
      </w:pPr>
      <w:r>
        <w:rPr>
          <w:rFonts w:ascii="Arial" w:hAnsi="Arial"/>
          <w:b/>
          <w:color w:val="102C57"/>
          <w:sz w:val="32"/>
        </w:rPr>
        <w:t>3. Paso a Paso de la Solución de Ingeniería de Datos</w:t>
      </w:r>
    </w:p>
    <w:p>
      <w:pPr>
        <w:pStyle w:val="Heading2"/>
        <w:spacing w:before="200" w:after="80"/>
      </w:pPr>
      <w:r>
        <w:rPr>
          <w:rFonts w:ascii="Arial" w:hAnsi="Arial"/>
          <w:b/>
          <w:color w:val="1E56A0"/>
          <w:sz w:val="26"/>
        </w:rPr>
        <w:t>3.1. Proceso de Extracción Robusta (Extract - src/extract.py)</w:t>
      </w:r>
    </w:p>
    <w:p>
      <w:pPr>
        <w:spacing w:after="80" w:line="276" w:lineRule="auto"/>
      </w:pPr>
      <w:r>
        <w:rPr>
          <w:rFonts w:ascii="Arial" w:hAnsi="Arial"/>
          <w:b/>
          <w:color w:val="1E1E1E"/>
          <w:sz w:val="21"/>
        </w:rPr>
        <w:t xml:space="preserve">Mecanismo de Extracción: </w:t>
      </w:r>
      <w:r>
        <w:rPr>
          <w:rFonts w:ascii="Arial" w:hAnsi="Arial"/>
          <w:i w:val="0"/>
          <w:color w:val="2D2D2D"/>
          <w:sz w:val="20"/>
        </w:rPr>
        <w:t>La fase de extracción fue desarrollada en Python dentro del módulo src/extract.py. Cada ejecución es gobernada por los siguientes controles de nivel empresarial:</w:t>
        <w:br/>
        <w:t>• Tarea de Validación Previa (validar_api_disponible): Antes de iniciar descargas masivas, ejecuta una petición ultraliviana (limit=1) para confirmar código HTTP 200 y validación de 'success': true. Si la API gubernamental se encuentra caída o con error 500, lanza un RuntimeError inmediato, disparando la política de reintentos de Airflow sin corromper el estado de la base de datos.</w:t>
        <w:br/>
        <w:t>• Paginación Dinámica: Implementa un ciclo iterativo basado en 'limit' (500) y 'offset', extrayendo los datos en bloques hasta completar el lote parametrizado (aduanas_api_max_pages).</w:t>
        <w:br/>
        <w:t>• Manejo de Excepciones HTTP: Captura explícita de Timeout, ConnectionError y HTTPError con registro en logs y alertas.</w:t>
      </w:r>
    </w:p>
    <w:p>
      <w:pPr>
        <w:pStyle w:val="Heading2"/>
        <w:spacing w:before="200" w:after="80"/>
      </w:pPr>
      <w:r>
        <w:rPr>
          <w:rFonts w:ascii="Arial" w:hAnsi="Arial"/>
          <w:b/>
          <w:color w:val="1E56A0"/>
          <w:sz w:val="26"/>
        </w:rPr>
        <w:t>3.2. Optimización Arquitectónica: Transitoriedad de las Capas Raw y Staging</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left w:val="single" w:sz="24" w:space="0" w:color="F59E0B"/>
              <w:top w:val="none"/>
              <w:right w:val="none"/>
              <w:bottom w:val="none"/>
            </w:tcBorders>
          </w:tcPr>
          <w:p>
            <w:pPr>
              <w:spacing w:after="40"/>
            </w:pPr>
            <w:r>
              <w:rPr>
                <w:rFonts w:ascii="Arial" w:hAnsi="Arial"/>
                <w:b/>
                <w:color w:val="102C57"/>
                <w:sz w:val="21"/>
              </w:rPr>
              <w:t>📌 DIRECTRIZ DE OPTIMIZACIÓN DE LA CONSULTORA (Feedback de Cátedra)</w:t>
              <w:br/>
            </w:r>
            <w:r>
              <w:rPr>
                <w:rFonts w:ascii="Arial" w:hAnsi="Arial"/>
                <w:i/>
                <w:color w:val="282828"/>
                <w:sz w:val="19"/>
              </w:rPr>
              <w:t>Las capas 'raw' y 'staging' fueron rediseñadas para operar como ÁREAS TRANSITORIAS (Transient / Staging Landing). En cada corrida del pipeline (DAG Run), la tabla correspondiente en 'raw' se vacía (TRUNCATE) y la tabla de 'staging' se limpia para el flujo específico (DELETE WHERE tipo_flujo = ...). De esta forma, se evita la acumulación de datos crudos redundantes que saturan el almacenamiento. El contraste entre lo histórico y las nuevas operaciones NO se hace en las capas previas, sino EXCLUSIVAMENTE en el Data Warehouse (dw) mediante el análisis de fechas.</w:t>
            </w:r>
          </w:p>
        </w:tc>
      </w:tr>
    </w:tbl>
    <w:p>
      <w:pPr>
        <w:spacing w:after="80"/>
      </w:pPr>
    </w:p>
    <w:p>
      <w:pPr>
        <w:pStyle w:val="Heading2"/>
        <w:spacing w:before="200" w:after="80"/>
      </w:pPr>
      <w:r>
        <w:rPr>
          <w:rFonts w:ascii="Arial" w:hAnsi="Arial"/>
          <w:b/>
          <w:color w:val="1E56A0"/>
          <w:sz w:val="26"/>
        </w:rPr>
        <w:t>3.3. Depuración, Normalización y Calidad de Datos (Transform - src/transform.py)</w:t>
      </w:r>
    </w:p>
    <w:p>
      <w:pPr>
        <w:spacing w:after="80" w:line="276" w:lineRule="auto"/>
      </w:pPr>
      <w:r>
        <w:rPr>
          <w:rFonts w:ascii="Arial" w:hAnsi="Arial"/>
          <w:b/>
          <w:color w:val="1E1E1E"/>
          <w:sz w:val="21"/>
        </w:rPr>
        <w:t xml:space="preserve">Reglas de Transformación Aplicadas: </w:t>
      </w:r>
      <w:r>
        <w:rPr>
          <w:rFonts w:ascii="Arial" w:hAnsi="Arial"/>
          <w:i w:val="0"/>
          <w:color w:val="2D2D2D"/>
          <w:sz w:val="20"/>
        </w:rPr>
        <w:t>El módulo src/transform.py lee el payload JSONB transitorio y aplica un riguroso proceso de saneamiento:</w:t>
        <w:br/>
        <w:t>1. Cálculo de Métrica de Calidad: Cuantifica el porcentaje de celdas no informadas o nulas en el lote crudo y lo publica vía XCom para su inserción en la tabla de auditoría (promedio observado: 2,4%).</w:t>
        <w:br/>
        <w:t>2. Homologación de Esquema: Traduce los nombres heterogéneos de los formularios aduaneros (ej. 'NUM_ATRIBUTO', 'COD_ADUANA', 'VALOR_CIF') a una nomenclatura estándar de negocio (codigo_operacion, codigo_aduana, monto_cif_usd).</w:t>
        <w:br/>
        <w:t>3. Conversión de Tipos de Datos: Casteo seguro de strings a tipos numéricos NUMERIC(18,2) y validación de fechas DATE.</w:t>
        <w:br/>
        <w:t>4. Recodificación Oficial de Tablas Aduaneras: Mapeo de códigos numéricos de Aduanas de Chile a sus nombres geográficos oficiales (ej. Código 34 -&gt; 'SAN ANTONIO', Código 33 -&gt; 'VALPARAISO', Código 48 -&gt; 'METROPOLITANA'; Vía 1 -&gt; 'MARITIMA', Vía 4 -&gt; 'AEREA', Vía 7 -&gt; 'TERRESTRE').</w:t>
        <w:br/>
        <w:t>5. Tratamiento Experto de Nulos en Negocio: En operaciones de exportación FOB, los exportadores no contratan flete ni seguro en Chile. En vez de descartar registros legítimos, el sistema imputa 0.0 en flete y seguro, preservando la integridad.</w:t>
        <w:br/>
        <w:t>6. Eliminación de Duplicados Operacionales: Ejecución de deduplicación determinista basada en la clave natural codigo_operacion.</w:t>
        <w:br/>
        <w:t>7. Atributos Calculados: Generación de 'costo_logistico_usd' (Flete + Seguro) y reconstrucción del valor CIF en caso de requerirse.</w:t>
      </w:r>
    </w:p>
    <w:p>
      <w:pPr>
        <w:pStyle w:val="Heading2"/>
        <w:spacing w:before="200" w:after="80"/>
      </w:pPr>
      <w:r>
        <w:rPr>
          <w:rFonts w:ascii="Arial" w:hAnsi="Arial"/>
          <w:b/>
          <w:color w:val="1E56A0"/>
          <w:sz w:val="26"/>
        </w:rPr>
        <w:t>3.4. Modelo Dimensional en Estrella en PostgreSQL (dw) y DDL</w:t>
      </w:r>
    </w:p>
    <w:p>
      <w:pPr>
        <w:spacing w:after="80" w:line="276" w:lineRule="auto"/>
      </w:pPr>
      <w:r>
        <w:rPr>
          <w:rFonts w:ascii="Arial" w:hAnsi="Arial"/>
          <w:b/>
          <w:color w:val="1E1E1E"/>
          <w:sz w:val="21"/>
        </w:rPr>
        <w:t xml:space="preserve">Estructura Dimensional: </w:t>
      </w:r>
      <w:r>
        <w:rPr>
          <w:rFonts w:ascii="Arial" w:hAnsi="Arial"/>
          <w:i w:val="0"/>
          <w:color w:val="2D2D2D"/>
          <w:sz w:val="20"/>
        </w:rPr>
        <w:t>El Data Warehouse fue concebido bajo la metodología Kimball en un esquema en estrella (Star Schema) optimizado para consultas analíticas de lectura masiva (OLAP). Consta de 4 Dimensiones y 1 Tabla de Hechos central: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F4E79"/>
            <w:tcMar>
              <w:top w:w="100" w:type="dxa"/>
              <w:bottom w:w="100" w:type="dxa"/>
              <w:left w:w="120" w:type="dxa"/>
              <w:right w:w="120" w:type="dxa"/>
            </w:tcMar>
          </w:tcPr>
          <w:p>
            <w:pPr>
              <w:jc w:val="center"/>
            </w:pPr>
            <w:r>
              <w:rPr>
                <w:rFonts w:ascii="Arial" w:hAnsi="Arial"/>
                <w:b/>
                <w:color w:val="FFFFFF"/>
                <w:sz w:val="19"/>
              </w:rPr>
              <w:t>Tabla / Entidad</w:t>
            </w:r>
          </w:p>
        </w:tc>
        <w:tc>
          <w:tcPr>
            <w:tcW w:type="dxa" w:w="1296"/>
            <w:shd w:fill="1F4E79"/>
            <w:tcMar>
              <w:top w:w="100" w:type="dxa"/>
              <w:bottom w:w="100" w:type="dxa"/>
              <w:left w:w="120" w:type="dxa"/>
              <w:right w:w="120" w:type="dxa"/>
            </w:tcMar>
          </w:tcPr>
          <w:p>
            <w:pPr>
              <w:jc w:val="center"/>
            </w:pPr>
            <w:r>
              <w:rPr>
                <w:rFonts w:ascii="Arial" w:hAnsi="Arial"/>
                <w:b/>
                <w:color w:val="FFFFFF"/>
                <w:sz w:val="19"/>
              </w:rPr>
              <w:t>Tipo</w:t>
            </w:r>
          </w:p>
        </w:tc>
        <w:tc>
          <w:tcPr>
            <w:tcW w:type="dxa" w:w="2592"/>
            <w:shd w:fill="1F4E79"/>
            <w:tcMar>
              <w:top w:w="100" w:type="dxa"/>
              <w:bottom w:w="100" w:type="dxa"/>
              <w:left w:w="120" w:type="dxa"/>
              <w:right w:w="120" w:type="dxa"/>
            </w:tcMar>
          </w:tcPr>
          <w:p>
            <w:pPr>
              <w:jc w:val="center"/>
            </w:pPr>
            <w:r>
              <w:rPr>
                <w:rFonts w:ascii="Arial" w:hAnsi="Arial"/>
                <w:b/>
                <w:color w:val="FFFFFF"/>
                <w:sz w:val="19"/>
              </w:rPr>
              <w:t>Claves (PK / FK / UK)</w:t>
            </w:r>
          </w:p>
        </w:tc>
        <w:tc>
          <w:tcPr>
            <w:tcW w:type="dxa" w:w="3312"/>
            <w:shd w:fill="1F4E79"/>
            <w:tcMar>
              <w:top w:w="100" w:type="dxa"/>
              <w:bottom w:w="100" w:type="dxa"/>
              <w:left w:w="120" w:type="dxa"/>
              <w:right w:w="120" w:type="dxa"/>
            </w:tcMar>
          </w:tcPr>
          <w:p>
            <w:pPr>
              <w:jc w:val="center"/>
            </w:pPr>
            <w:r>
              <w:rPr>
                <w:rFonts w:ascii="Arial" w:hAnsi="Arial"/>
                <w:b/>
                <w:color w:val="FFFFFF"/>
                <w:sz w:val="19"/>
              </w:rPr>
              <w:t>Descripción y Atributos de Negocio</w:t>
            </w:r>
          </w:p>
        </w:tc>
      </w:tr>
      <w:tr>
        <w:tc>
          <w:tcPr>
            <w:tcW w:type="dxa" w:w="2160"/>
            <w:shd w:fill="FFFFFF"/>
            <w:tcMar>
              <w:top w:w="80" w:type="dxa"/>
              <w:bottom w:w="80" w:type="dxa"/>
              <w:left w:w="100" w:type="dxa"/>
              <w:right w:w="100" w:type="dxa"/>
            </w:tcMar>
          </w:tcPr>
          <w:p>
            <w:r>
              <w:rPr>
                <w:rFonts w:ascii="Arial" w:hAnsi="Arial"/>
                <w:color w:val="282828"/>
                <w:sz w:val="18"/>
              </w:rPr>
              <w:t>dw.dim_tiempo</w:t>
            </w:r>
          </w:p>
        </w:tc>
        <w:tc>
          <w:tcPr>
            <w:tcW w:type="dxa" w:w="1296"/>
            <w:shd w:fill="FFFFFF"/>
            <w:tcMar>
              <w:top w:w="80" w:type="dxa"/>
              <w:bottom w:w="80" w:type="dxa"/>
              <w:left w:w="100" w:type="dxa"/>
              <w:right w:w="100" w:type="dxa"/>
            </w:tcMar>
          </w:tcPr>
          <w:p>
            <w:r>
              <w:rPr>
                <w:rFonts w:ascii="Arial" w:hAnsi="Arial"/>
                <w:color w:val="282828"/>
                <w:sz w:val="18"/>
              </w:rPr>
              <w:t>Dimensión</w:t>
            </w:r>
          </w:p>
        </w:tc>
        <w:tc>
          <w:tcPr>
            <w:tcW w:type="dxa" w:w="2592"/>
            <w:shd w:fill="FFFFFF"/>
            <w:tcMar>
              <w:top w:w="80" w:type="dxa"/>
              <w:bottom w:w="80" w:type="dxa"/>
              <w:left w:w="100" w:type="dxa"/>
              <w:right w:w="100" w:type="dxa"/>
            </w:tcMar>
          </w:tcPr>
          <w:p>
            <w:r>
              <w:rPr>
                <w:rFonts w:ascii="Arial" w:hAnsi="Arial"/>
                <w:color w:val="282828"/>
                <w:sz w:val="18"/>
              </w:rPr>
              <w:t>PK: id_tiempo (YYYYMMDD)</w:t>
              <w:br/>
              <w:t>UK: fecha</w:t>
            </w:r>
          </w:p>
        </w:tc>
        <w:tc>
          <w:tcPr>
            <w:tcW w:type="dxa" w:w="3312"/>
            <w:shd w:fill="FFFFFF"/>
            <w:tcMar>
              <w:top w:w="80" w:type="dxa"/>
              <w:bottom w:w="80" w:type="dxa"/>
              <w:left w:w="100" w:type="dxa"/>
              <w:right w:w="100" w:type="dxa"/>
            </w:tcMar>
          </w:tcPr>
          <w:p>
            <w:r>
              <w:rPr>
                <w:rFonts w:ascii="Arial" w:hAnsi="Arial"/>
                <w:color w:val="282828"/>
                <w:sz w:val="18"/>
              </w:rPr>
              <w:t>Jerarquía temporal: fecha, anio, mes, nombre_mes, trimestre, semestre.</w:t>
            </w:r>
          </w:p>
        </w:tc>
      </w:tr>
      <w:tr>
        <w:tc>
          <w:tcPr>
            <w:tcW w:type="dxa" w:w="2160"/>
            <w:shd w:fill="F9FAFB"/>
            <w:tcMar>
              <w:top w:w="80" w:type="dxa"/>
              <w:bottom w:w="80" w:type="dxa"/>
              <w:left w:w="100" w:type="dxa"/>
              <w:right w:w="100" w:type="dxa"/>
            </w:tcMar>
          </w:tcPr>
          <w:p>
            <w:r>
              <w:rPr>
                <w:rFonts w:ascii="Arial" w:hAnsi="Arial"/>
                <w:color w:val="282828"/>
                <w:sz w:val="18"/>
              </w:rPr>
              <w:t>dw.dim_aduana</w:t>
            </w:r>
          </w:p>
        </w:tc>
        <w:tc>
          <w:tcPr>
            <w:tcW w:type="dxa" w:w="1296"/>
            <w:shd w:fill="F9FAFB"/>
            <w:tcMar>
              <w:top w:w="80" w:type="dxa"/>
              <w:bottom w:w="80" w:type="dxa"/>
              <w:left w:w="100" w:type="dxa"/>
              <w:right w:w="100" w:type="dxa"/>
            </w:tcMar>
          </w:tcPr>
          <w:p>
            <w:r>
              <w:rPr>
                <w:rFonts w:ascii="Arial" w:hAnsi="Arial"/>
                <w:color w:val="282828"/>
                <w:sz w:val="18"/>
              </w:rPr>
              <w:t>Dimensión</w:t>
            </w:r>
          </w:p>
        </w:tc>
        <w:tc>
          <w:tcPr>
            <w:tcW w:type="dxa" w:w="2592"/>
            <w:shd w:fill="F9FAFB"/>
            <w:tcMar>
              <w:top w:w="80" w:type="dxa"/>
              <w:bottom w:w="80" w:type="dxa"/>
              <w:left w:w="100" w:type="dxa"/>
              <w:right w:w="100" w:type="dxa"/>
            </w:tcMar>
          </w:tcPr>
          <w:p>
            <w:r>
              <w:rPr>
                <w:rFonts w:ascii="Arial" w:hAnsi="Arial"/>
                <w:color w:val="282828"/>
                <w:sz w:val="18"/>
              </w:rPr>
              <w:t>PK: id_aduana</w:t>
              <w:br/>
              <w:t>UK: codigo_aduana</w:t>
            </w:r>
          </w:p>
        </w:tc>
        <w:tc>
          <w:tcPr>
            <w:tcW w:type="dxa" w:w="3312"/>
            <w:shd w:fill="F9FAFB"/>
            <w:tcMar>
              <w:top w:w="80" w:type="dxa"/>
              <w:bottom w:w="80" w:type="dxa"/>
              <w:left w:w="100" w:type="dxa"/>
              <w:right w:w="100" w:type="dxa"/>
            </w:tcMar>
          </w:tcPr>
          <w:p>
            <w:r>
              <w:rPr>
                <w:rFonts w:ascii="Arial" w:hAnsi="Arial"/>
                <w:color w:val="282828"/>
                <w:sz w:val="18"/>
              </w:rPr>
              <w:t>Catálogo aduanero nacional y agrupación por zona_geografica (Norte, Centro, Sur, Austral).</w:t>
            </w:r>
          </w:p>
        </w:tc>
      </w:tr>
      <w:tr>
        <w:tc>
          <w:tcPr>
            <w:tcW w:type="dxa" w:w="2160"/>
            <w:shd w:fill="FFFFFF"/>
            <w:tcMar>
              <w:top w:w="80" w:type="dxa"/>
              <w:bottom w:w="80" w:type="dxa"/>
              <w:left w:w="100" w:type="dxa"/>
              <w:right w:w="100" w:type="dxa"/>
            </w:tcMar>
          </w:tcPr>
          <w:p>
            <w:r>
              <w:rPr>
                <w:rFonts w:ascii="Arial" w:hAnsi="Arial"/>
                <w:color w:val="282828"/>
                <w:sz w:val="18"/>
              </w:rPr>
              <w:t>dw.dim_pais</w:t>
            </w:r>
          </w:p>
        </w:tc>
        <w:tc>
          <w:tcPr>
            <w:tcW w:type="dxa" w:w="1296"/>
            <w:shd w:fill="FFFFFF"/>
            <w:tcMar>
              <w:top w:w="80" w:type="dxa"/>
              <w:bottom w:w="80" w:type="dxa"/>
              <w:left w:w="100" w:type="dxa"/>
              <w:right w:w="100" w:type="dxa"/>
            </w:tcMar>
          </w:tcPr>
          <w:p>
            <w:r>
              <w:rPr>
                <w:rFonts w:ascii="Arial" w:hAnsi="Arial"/>
                <w:color w:val="282828"/>
                <w:sz w:val="18"/>
              </w:rPr>
              <w:t>Dimensión</w:t>
            </w:r>
          </w:p>
        </w:tc>
        <w:tc>
          <w:tcPr>
            <w:tcW w:type="dxa" w:w="2592"/>
            <w:shd w:fill="FFFFFF"/>
            <w:tcMar>
              <w:top w:w="80" w:type="dxa"/>
              <w:bottom w:w="80" w:type="dxa"/>
              <w:left w:w="100" w:type="dxa"/>
              <w:right w:w="100" w:type="dxa"/>
            </w:tcMar>
          </w:tcPr>
          <w:p>
            <w:r>
              <w:rPr>
                <w:rFonts w:ascii="Arial" w:hAnsi="Arial"/>
                <w:color w:val="282828"/>
                <w:sz w:val="18"/>
              </w:rPr>
              <w:t>PK: id_pais</w:t>
              <w:br/>
              <w:t>UK: codigo_pais</w:t>
            </w:r>
          </w:p>
        </w:tc>
        <w:tc>
          <w:tcPr>
            <w:tcW w:type="dxa" w:w="3312"/>
            <w:shd w:fill="FFFFFF"/>
            <w:tcMar>
              <w:top w:w="80" w:type="dxa"/>
              <w:bottom w:w="80" w:type="dxa"/>
              <w:left w:w="100" w:type="dxa"/>
              <w:right w:w="100" w:type="dxa"/>
            </w:tcMar>
          </w:tcPr>
          <w:p>
            <w:r>
              <w:rPr>
                <w:rFonts w:ascii="Arial" w:hAnsi="Arial"/>
                <w:color w:val="282828"/>
                <w:sz w:val="18"/>
              </w:rPr>
              <w:t>Socios comerciales extranjeros y continente_region (Asia, América, Europa, etc.).</w:t>
            </w:r>
          </w:p>
        </w:tc>
      </w:tr>
      <w:tr>
        <w:tc>
          <w:tcPr>
            <w:tcW w:type="dxa" w:w="2160"/>
            <w:shd w:fill="F9FAFB"/>
            <w:tcMar>
              <w:top w:w="80" w:type="dxa"/>
              <w:bottom w:w="80" w:type="dxa"/>
              <w:left w:w="100" w:type="dxa"/>
              <w:right w:w="100" w:type="dxa"/>
            </w:tcMar>
          </w:tcPr>
          <w:p>
            <w:r>
              <w:rPr>
                <w:rFonts w:ascii="Arial" w:hAnsi="Arial"/>
                <w:color w:val="282828"/>
                <w:sz w:val="18"/>
              </w:rPr>
              <w:t>dw.dim_via_transporte</w:t>
            </w:r>
          </w:p>
        </w:tc>
        <w:tc>
          <w:tcPr>
            <w:tcW w:type="dxa" w:w="1296"/>
            <w:shd w:fill="F9FAFB"/>
            <w:tcMar>
              <w:top w:w="80" w:type="dxa"/>
              <w:bottom w:w="80" w:type="dxa"/>
              <w:left w:w="100" w:type="dxa"/>
              <w:right w:w="100" w:type="dxa"/>
            </w:tcMar>
          </w:tcPr>
          <w:p>
            <w:r>
              <w:rPr>
                <w:rFonts w:ascii="Arial" w:hAnsi="Arial"/>
                <w:color w:val="282828"/>
                <w:sz w:val="18"/>
              </w:rPr>
              <w:t>Dimensión</w:t>
            </w:r>
          </w:p>
        </w:tc>
        <w:tc>
          <w:tcPr>
            <w:tcW w:type="dxa" w:w="2592"/>
            <w:shd w:fill="F9FAFB"/>
            <w:tcMar>
              <w:top w:w="80" w:type="dxa"/>
              <w:bottom w:w="80" w:type="dxa"/>
              <w:left w:w="100" w:type="dxa"/>
              <w:right w:w="100" w:type="dxa"/>
            </w:tcMar>
          </w:tcPr>
          <w:p>
            <w:r>
              <w:rPr>
                <w:rFonts w:ascii="Arial" w:hAnsi="Arial"/>
                <w:color w:val="282828"/>
                <w:sz w:val="18"/>
              </w:rPr>
              <w:t>PK: id_via_transporte</w:t>
              <w:br/>
              <w:t>UK: codigo_via_transporte</w:t>
            </w:r>
          </w:p>
        </w:tc>
        <w:tc>
          <w:tcPr>
            <w:tcW w:type="dxa" w:w="3312"/>
            <w:shd w:fill="F9FAFB"/>
            <w:tcMar>
              <w:top w:w="80" w:type="dxa"/>
              <w:bottom w:w="80" w:type="dxa"/>
              <w:left w:w="100" w:type="dxa"/>
              <w:right w:w="100" w:type="dxa"/>
            </w:tcMar>
          </w:tcPr>
          <w:p>
            <w:r>
              <w:rPr>
                <w:rFonts w:ascii="Arial" w:hAnsi="Arial"/>
                <w:color w:val="282828"/>
                <w:sz w:val="18"/>
              </w:rPr>
              <w:t>Modo de transporte internacional: Marítima, Aérea, Terrestre, Multimodal.</w:t>
            </w:r>
          </w:p>
        </w:tc>
      </w:tr>
      <w:tr>
        <w:tc>
          <w:tcPr>
            <w:tcW w:type="dxa" w:w="2160"/>
            <w:shd w:fill="FFFFFF"/>
            <w:tcMar>
              <w:top w:w="80" w:type="dxa"/>
              <w:bottom w:w="80" w:type="dxa"/>
              <w:left w:w="100" w:type="dxa"/>
              <w:right w:w="100" w:type="dxa"/>
            </w:tcMar>
          </w:tcPr>
          <w:p>
            <w:r>
              <w:rPr>
                <w:rFonts w:ascii="Arial" w:hAnsi="Arial"/>
                <w:color w:val="282828"/>
                <w:sz w:val="18"/>
              </w:rPr>
              <w:t>dw.fact_comercio_exterior</w:t>
            </w:r>
          </w:p>
        </w:tc>
        <w:tc>
          <w:tcPr>
            <w:tcW w:type="dxa" w:w="1296"/>
            <w:shd w:fill="FFFFFF"/>
            <w:tcMar>
              <w:top w:w="80" w:type="dxa"/>
              <w:bottom w:w="80" w:type="dxa"/>
              <w:left w:w="100" w:type="dxa"/>
              <w:right w:w="100" w:type="dxa"/>
            </w:tcMar>
          </w:tcPr>
          <w:p>
            <w:r>
              <w:rPr>
                <w:rFonts w:ascii="Arial" w:hAnsi="Arial"/>
                <w:color w:val="282828"/>
                <w:sz w:val="18"/>
              </w:rPr>
              <w:t>Tabla Hechos</w:t>
            </w:r>
          </w:p>
        </w:tc>
        <w:tc>
          <w:tcPr>
            <w:tcW w:type="dxa" w:w="2592"/>
            <w:shd w:fill="FFFFFF"/>
            <w:tcMar>
              <w:top w:w="80" w:type="dxa"/>
              <w:bottom w:w="80" w:type="dxa"/>
              <w:left w:w="100" w:type="dxa"/>
              <w:right w:w="100" w:type="dxa"/>
            </w:tcMar>
          </w:tcPr>
          <w:p>
            <w:r>
              <w:rPr>
                <w:rFonts w:ascii="Arial" w:hAnsi="Arial"/>
                <w:color w:val="282828"/>
                <w:sz w:val="18"/>
              </w:rPr>
              <w:t>PK: id_hecho</w:t>
              <w:br/>
              <w:t>UK: codigo_operacion</w:t>
              <w:br/>
              <w:t>FK: 4 Dimensiones</w:t>
            </w:r>
          </w:p>
        </w:tc>
        <w:tc>
          <w:tcPr>
            <w:tcW w:type="dxa" w:w="3312"/>
            <w:shd w:fill="FFFFFF"/>
            <w:tcMar>
              <w:top w:w="80" w:type="dxa"/>
              <w:bottom w:w="80" w:type="dxa"/>
              <w:left w:w="100" w:type="dxa"/>
              <w:right w:w="100" w:type="dxa"/>
            </w:tcMar>
          </w:tcPr>
          <w:p>
            <w:r>
              <w:rPr>
                <w:rFonts w:ascii="Arial" w:hAnsi="Arial"/>
                <w:color w:val="282828"/>
                <w:sz w:val="18"/>
              </w:rPr>
              <w:t>Métricas: peso_bruto_kg, peso_toneladas, cantidad_bultos, monto_fob_usd, monto_flete_usd, monto_seguro_usd, monto_cif_usd, costo_logistico_usd.</w:t>
            </w:r>
          </w:p>
        </w:tc>
      </w:tr>
    </w:tbl>
    <w:p>
      <w:pPr>
        <w:spacing w:after="120"/>
      </w:pPr>
    </w:p>
    <w:p>
      <w:pPr>
        <w:pStyle w:val="Heading2"/>
        <w:spacing w:before="200" w:after="80"/>
      </w:pPr>
      <w:r>
        <w:rPr>
          <w:rFonts w:ascii="Arial" w:hAnsi="Arial"/>
          <w:b/>
          <w:color w:val="1E56A0"/>
          <w:sz w:val="26"/>
        </w:rPr>
        <w:t>3.5. Idempotencia y Contraste de lo Nuevo vs. lo Existente en el DW</w:t>
      </w:r>
    </w:p>
    <w:p>
      <w:pPr>
        <w:spacing w:after="80" w:line="276" w:lineRule="auto"/>
      </w:pPr>
      <w:r>
        <w:rPr>
          <w:rFonts w:ascii="Arial" w:hAnsi="Arial"/>
          <w:b/>
          <w:color w:val="1E1E1E"/>
          <w:sz w:val="21"/>
        </w:rPr>
        <w:t xml:space="preserve">Mecanismo de Contraste Histórico: </w:t>
      </w:r>
      <w:r>
        <w:rPr>
          <w:rFonts w:ascii="Arial" w:hAnsi="Arial"/>
          <w:i w:val="0"/>
          <w:color w:val="2D2D2D"/>
          <w:sz w:val="20"/>
        </w:rPr>
        <w:t>Uno de los mayores aportes del diseño de nuestra consultora radica en la respuesta al desafío de la idempotencia y la coexistencia de datos históricos:</w:t>
        <w:br/>
        <w:t>• Cláusula ON CONFLICT DO UPDATE: Al insertar registros en dw.fact_comercio_exterior, se evalúa la unicidad del codigo_operacion. Si una declaración aduanera ya existía en la base de datos (por ejemplo, ante la re-ejecución del DAG o un reprocesamiento histórico backfill), PostgreSQL no genera duplicados ni detiene el flujo; en su lugar, actualiza las métricas numéricas y refresca el timestamp de auditoría 'fecha_carga_dw'.</w:t>
        <w:br/>
        <w:t>• Contraste Histórico a través de Fechas: En el DW conviven múltiples periodos históricos. Las fechas de aceptación (dim_tiempo.fecha / fecha_operacion) permiten a los analistas realizar contrastes de tendencia (comparar enero 2026 contra fechas pasadas), mientras que la 'fecha_carga_dw' permite auditar con exactitud cuándo fue insertado o modificado cada registro. Este contraste ocurre donde corresponde: en la capa analítica y no en áreas temporales.</w:t>
      </w:r>
    </w:p>
    <w:p>
      <w:pPr>
        <w:pStyle w:val="Heading1"/>
        <w:spacing w:before="280" w:after="120"/>
      </w:pPr>
      <w:r>
        <w:rPr>
          <w:rFonts w:ascii="Arial" w:hAnsi="Arial"/>
          <w:b/>
          <w:color w:val="102C57"/>
          <w:sz w:val="32"/>
        </w:rPr>
        <w:t>4. Orquestación y Estrategia de Ejecución en Apache Airflow</w:t>
      </w:r>
    </w:p>
    <w:p>
      <w:pPr>
        <w:pStyle w:val="Heading2"/>
        <w:spacing w:before="200" w:after="80"/>
      </w:pPr>
      <w:r>
        <w:rPr>
          <w:rFonts w:ascii="Arial" w:hAnsi="Arial"/>
          <w:b/>
          <w:color w:val="1E56A0"/>
          <w:sz w:val="26"/>
        </w:rPr>
        <w:t>4.1. Diseño de los 3 DAGs Desacoplados y Aislamiento de Fallas</w:t>
      </w:r>
    </w:p>
    <w:p>
      <w:pPr>
        <w:spacing w:after="80" w:line="276" w:lineRule="auto"/>
      </w:pPr>
      <w:r>
        <w:rPr>
          <w:rFonts w:ascii="Arial" w:hAnsi="Arial"/>
          <w:b/>
          <w:color w:val="1E1E1E"/>
          <w:sz w:val="21"/>
        </w:rPr>
        <w:t xml:space="preserve">Arquitectura de DAGs: </w:t>
      </w:r>
      <w:r>
        <w:rPr>
          <w:rFonts w:ascii="Arial" w:hAnsi="Arial"/>
          <w:i w:val="0"/>
          <w:color w:val="2D2D2D"/>
          <w:sz w:val="20"/>
        </w:rPr>
        <w:t>La orquestación fue implementada en Apache Airflow 2.9 (Docker) desacoplando la solución en tres DAGs autónomos:</w:t>
        <w:br/>
        <w:t>1. dag_01_etl_importaciones: Ingesta, depuración y carga dimensional del flujo de importaciones DIN.</w:t>
        <w:br/>
        <w:t>2. dag_02_etl_exportaciones: Ingesta, depuración y carga dimensional del flujo de exportaciones DUS.</w:t>
        <w:br/>
        <w:t>3. dag_03_indicadores_mart: Orquesta el recálculo analítico en SQL sobre el esquema 'mart'. Se dispara de forma automática al finalizar con éxito dag_01 o dag_02 mediante un TriggerDagRunOperator, o puede ejecutarse de manera completamente autónoma sin requerir conexión a internet ya que trabaja sobre los datos ya residentes en PostgreSQL.</w:t>
      </w:r>
    </w:p>
    <w:p>
      <w:pPr>
        <w:pStyle w:val="Heading2"/>
        <w:spacing w:before="200" w:after="80"/>
      </w:pPr>
      <w:r>
        <w:rPr>
          <w:rFonts w:ascii="Arial" w:hAnsi="Arial"/>
          <w:b/>
          <w:color w:val="1E56A0"/>
          <w:sz w:val="26"/>
        </w:rPr>
        <w:t>4.2. Seguridad Zero-Hardcoding: Connections y Variables</w:t>
      </w:r>
    </w:p>
    <w:p>
      <w:pPr>
        <w:spacing w:after="80" w:line="276" w:lineRule="auto"/>
      </w:pPr>
      <w:r>
        <w:rPr>
          <w:rFonts w:ascii="Arial" w:hAnsi="Arial"/>
          <w:b/>
          <w:color w:val="1E1E1E"/>
          <w:sz w:val="21"/>
        </w:rPr>
        <w:t xml:space="preserve">Parámetros Seguros: </w:t>
      </w:r>
      <w:r>
        <w:rPr>
          <w:rFonts w:ascii="Arial" w:hAnsi="Arial"/>
          <w:i w:val="0"/>
          <w:color w:val="2D2D2D"/>
          <w:sz w:val="20"/>
        </w:rPr>
        <w:t>Cumpliendo el estándar más estricto de seguridad informática y las directrices de la pauta INF-522, no existe una sola contraseña, usuario ni URL en código duro en ningún script Python del proyecto. Todas las credenciales se administran centralizadamente:</w:t>
        <w:br/>
        <w:t>• Airflow Connection (postgres_dw): Gestiona de forma cifrada el host, puerto, base de datos, usuario y password de PostgreSQL.</w:t>
        <w:br/>
        <w:t>• Airflow Variables Independientes: Para garantizar el aislamiento de fallas, se configuraron variables separadas para cada fuente: aduanas_api_url_importaciones, aduanas_api_url_exportaciones, aduanas_resource_id_importaciones, aduanas_resource_id_exportaciones, aduanas_api_page_limit (500) y aduanas_api_max_pages (5).</w:t>
      </w:r>
    </w:p>
    <w:p>
      <w:pPr>
        <w:pStyle w:val="Heading2"/>
        <w:spacing w:before="200" w:after="80"/>
      </w:pPr>
      <w:r>
        <w:rPr>
          <w:rFonts w:ascii="Arial" w:hAnsi="Arial"/>
          <w:b/>
          <w:color w:val="1E56A0"/>
          <w:sz w:val="26"/>
        </w:rPr>
        <w:t>4.3. Tolerancia a Fallas, Reintentos y Auditoría en public.etl_audit</w:t>
      </w:r>
    </w:p>
    <w:p>
      <w:pPr>
        <w:spacing w:after="80" w:line="276" w:lineRule="auto"/>
      </w:pPr>
      <w:r>
        <w:rPr>
          <w:rFonts w:ascii="Arial" w:hAnsi="Arial"/>
          <w:b/>
          <w:color w:val="1E1E1E"/>
          <w:sz w:val="21"/>
        </w:rPr>
        <w:t xml:space="preserve">Políticas de Tolerancia a Fallas: </w:t>
      </w:r>
      <w:r>
        <w:rPr>
          <w:rFonts w:ascii="Arial" w:hAnsi="Arial"/>
          <w:i w:val="0"/>
          <w:color w:val="2D2D2D"/>
          <w:sz w:val="20"/>
        </w:rPr>
        <w:t>Cada tarea de extracción y carga cuenta con default_args configurados para resiliencia operativa:</w:t>
        <w:br/>
        <w:t>• retries: 2 (dos reintentos automáticos ante caídas transitorias de red).</w:t>
        <w:br/>
        <w:t>• retry_delay: timedelta(seconds=15) (tiempo de gracia entre reintentos para no retrasar la demostración en vivo).</w:t>
        <w:br/>
        <w:t>• execution_timeout: timedelta(minutes=5) (protección contra bloqueos por indisponibilidad de servidor).</w:t>
        <w:br/>
        <w:t>• on_failure_callback: Callback en Python que captura el contexto de error (dag_id, run_id, logical_date, excepción exacta) e inserta un registro forense en public.etl_audit con estado = 'FAILED' y el mensaje de error capturado.</w:t>
      </w:r>
    </w:p>
    <w:p>
      <w:pPr>
        <w:pStyle w:val="Heading2"/>
        <w:spacing w:before="200" w:after="80"/>
      </w:pPr>
      <w:r>
        <w:rPr>
          <w:rFonts w:ascii="Arial" w:hAnsi="Arial"/>
          <w:b/>
          <w:color w:val="1E56A0"/>
          <w:sz w:val="26"/>
        </w:rPr>
        <w:t>4.4. Protocolo de Demostración de Falla Controlada en Vivo</w:t>
      </w:r>
    </w:p>
    <w:tbl>
      <w:tblPr>
        <w:tblW w:type="auto" w:w="0"/>
        <w:jc w:val="center"/>
        <w:tblLayout w:type="fixed"/>
        <w:tblLook w:firstColumn="1" w:firstRow="1" w:lastColumn="0" w:lastRow="0" w:noHBand="0" w:noVBand="1" w:val="04A0"/>
      </w:tblPr>
      <w:tblGrid>
        <w:gridCol w:w="9360"/>
      </w:tblGrid>
      <w:tr>
        <w:tc>
          <w:tcPr>
            <w:tcW w:type="dxa" w:w="9360"/>
            <w:shd w:fill="FDF2F2"/>
            <w:tcMar>
              <w:top w:w="140" w:type="dxa"/>
              <w:bottom w:w="140" w:type="dxa"/>
              <w:left w:w="200" w:type="dxa"/>
              <w:right w:w="200" w:type="dxa"/>
            </w:tcMar>
            <w:tcBorders>
              <w:left w:val="single" w:sz="24" w:space="0" w:color="DC2626"/>
              <w:top w:val="none"/>
              <w:right w:val="none"/>
              <w:bottom w:val="none"/>
            </w:tcBorders>
          </w:tcPr>
          <w:p>
            <w:pPr>
              <w:spacing w:after="40"/>
            </w:pPr>
            <w:r>
              <w:rPr>
                <w:rFonts w:ascii="Arial" w:hAnsi="Arial"/>
                <w:b/>
                <w:color w:val="102C57"/>
                <w:sz w:val="21"/>
              </w:rPr>
              <w:t>📌 GUÍA DE DEMOSTRACIÓN DE FALLA EN VIVO (Evaluación Oral)</w:t>
              <w:br/>
            </w:r>
            <w:r>
              <w:rPr>
                <w:rFonts w:ascii="Arial" w:hAnsi="Arial"/>
                <w:i/>
                <w:color w:val="282828"/>
                <w:sz w:val="19"/>
              </w:rPr>
              <w:t>1. Provocación: En Airflow Variables, se modifica la variable específica 'aduanas_api_url_importaciones' a un endpoint erróneo.</w:t>
              <w:br/>
              <w:t>2. Reintentos: Se dispara dag_01_etl_importaciones. La tarea 'validar_api' detecta la falla HTTP y realiza 2 reintentos con 15s de espera.</w:t>
              <w:br/>
              <w:t>3. Auditoría Forense: Se muestra en DBeaver la tabla public.etl_audit con una nueva fila en estado 'FAILED' y el traceback de error.</w:t>
              <w:br/>
              <w:t>4. Aislamiento de Fallas: Se dispara dag_02_etl_exportaciones, demostrando que corre al 100% en verde (SUCCESS) y dispara dag_03.</w:t>
              <w:br/>
              <w:t>5. Recuperación: Se restaura la URL legítima y se re-ejecuta dag_01 en SUCCESS, evidenciando resiliencia total del sistema.</w:t>
            </w:r>
          </w:p>
        </w:tc>
      </w:tr>
    </w:tbl>
    <w:p>
      <w:pPr>
        <w:spacing w:after="80"/>
      </w:pPr>
    </w:p>
    <w:p>
      <w:pPr>
        <w:pStyle w:val="Heading1"/>
        <w:spacing w:before="280" w:after="120"/>
      </w:pPr>
      <w:r>
        <w:rPr>
          <w:rFonts w:ascii="Arial" w:hAnsi="Arial"/>
          <w:b/>
          <w:color w:val="102C57"/>
          <w:sz w:val="32"/>
        </w:rPr>
        <w:t>5. Data Mart: Indicadores de Gestión y Propuesta de Expansión</w:t>
      </w:r>
    </w:p>
    <w:p>
      <w:pPr>
        <w:pStyle w:val="Heading2"/>
        <w:spacing w:before="200" w:after="80"/>
      </w:pPr>
      <w:r>
        <w:rPr>
          <w:rFonts w:ascii="Arial" w:hAnsi="Arial"/>
          <w:b/>
          <w:color w:val="1E56A0"/>
          <w:sz w:val="26"/>
        </w:rPr>
        <w:t>5.1. Fichas Técnicas de los 5 Indicadores Implementados</w:t>
      </w:r>
    </w:p>
    <w:p>
      <w:pPr>
        <w:spacing w:after="80" w:line="276" w:lineRule="auto"/>
      </w:pPr>
      <w:r>
        <w:rPr>
          <w:rFonts w:ascii="Arial" w:hAnsi="Arial"/>
          <w:i w:val="0"/>
          <w:color w:val="2D2D2D"/>
          <w:sz w:val="20"/>
        </w:rPr>
        <w:t>Cada indicador reside en una tabla dedicada dentro del esquema 'mart.*', calculada mediante consultas SQL idempotentes:</w:t>
      </w:r>
    </w:p>
    <w:p>
      <w:pPr>
        <w:pStyle w:val="Heading3"/>
        <w:spacing w:before="120" w:after="40"/>
      </w:pPr>
      <w:r>
        <w:rPr>
          <w:rFonts w:ascii="Arial" w:hAnsi="Arial"/>
          <w:b/>
          <w:color w:val="323232"/>
          <w:sz w:val="22"/>
        </w:rPr>
        <w:t>KPI 1: Balanza Comercial y Cobertura por Aduana</w:t>
      </w:r>
    </w:p>
    <w:p>
      <w:pPr>
        <w:spacing w:after="80" w:line="276" w:lineRule="auto"/>
      </w:pPr>
      <w:r>
        <w:rPr>
          <w:rFonts w:ascii="Arial" w:hAnsi="Arial"/>
          <w:i w:val="0"/>
          <w:color w:val="2D2D2D"/>
          <w:sz w:val="20"/>
        </w:rPr>
        <w:t>• Tabla en Base de Datos: mart.kpi_01_balanza_comercial_aduana</w:t>
        <w:br/>
        <w:t>• Objetivo / Decisión: Medir el superávit o déficit comercial (FOB Export - CIF Import) por cada aduana para priorizar inversiones en infraestructura física y dotación fiscal.</w:t>
        <w:br/>
        <w:t>• Fuente Oficial: API datos.gob.cl - Aduanas (Importaciones y Exportaciones 2026)</w:t>
        <w:br/>
        <w:t>• Periodicidad: MENSUAL</w:t>
        <w:br/>
        <w:t>• Fórmula Matemática: Saldo USD = FOB Export - CIF Import | Tasa Cobertura % = (FOB / CIF) * 100</w:t>
        <w:br/>
        <w:t>• Meta / Umbral de Control: Tasa de Cobertura agregada &gt;= 100.0% (Superávit comercial nacional).</w:t>
      </w:r>
    </w:p>
    <w:p>
      <w:pPr>
        <w:pStyle w:val="Heading3"/>
        <w:spacing w:before="120" w:after="40"/>
      </w:pPr>
      <w:r>
        <w:rPr>
          <w:rFonts w:ascii="Arial" w:hAnsi="Arial"/>
          <w:b/>
          <w:color w:val="323232"/>
          <w:sz w:val="22"/>
        </w:rPr>
        <w:t>KPI 2: Incidencia del Costo Logístico sobre Valor CIF</w:t>
      </w:r>
    </w:p>
    <w:p>
      <w:pPr>
        <w:spacing w:after="80" w:line="276" w:lineRule="auto"/>
      </w:pPr>
      <w:r>
        <w:rPr>
          <w:rFonts w:ascii="Arial" w:hAnsi="Arial"/>
          <w:i w:val="0"/>
          <w:color w:val="2D2D2D"/>
          <w:sz w:val="20"/>
        </w:rPr>
        <w:t>• Tabla en Base de Datos: mart.kpi_02_incidencia_costo_logistico</w:t>
        <w:br/>
        <w:t>• Objetivo / Decisión: Evaluar el sobrecosto del transporte internacional y seguros sobre el valor de internación de mercancías según modo de transporte y aduana.</w:t>
        <w:br/>
        <w:t>• Fuente Oficial: API datos.gob.cl - Aduanas (Importaciones DIN 2026)</w:t>
        <w:br/>
        <w:t>• Periodicidad: MENSUAL</w:t>
        <w:br/>
        <w:t>• Fórmula Matemática: Incidencia % = ((Flete USD + Seguro USD) / CIF USD) * 100</w:t>
        <w:br/>
        <w:t>• Meta / Umbral de Control: Vía Marítima &lt;= 10.0%, Vía Aérea &lt;= 18.0%, Otros &lt;= 15.0%.</w:t>
      </w:r>
    </w:p>
    <w:p>
      <w:pPr>
        <w:pStyle w:val="Heading3"/>
        <w:spacing w:before="120" w:after="40"/>
      </w:pPr>
      <w:r>
        <w:rPr>
          <w:rFonts w:ascii="Arial" w:hAnsi="Arial"/>
          <w:b/>
          <w:color w:val="323232"/>
          <w:sz w:val="22"/>
        </w:rPr>
        <w:t>KPI 3: Índice de Concentración Logística de Carga</w:t>
      </w:r>
    </w:p>
    <w:p>
      <w:pPr>
        <w:spacing w:after="80" w:line="276" w:lineRule="auto"/>
      </w:pPr>
      <w:r>
        <w:rPr>
          <w:rFonts w:ascii="Arial" w:hAnsi="Arial"/>
          <w:i w:val="0"/>
          <w:color w:val="2D2D2D"/>
          <w:sz w:val="20"/>
        </w:rPr>
        <w:t>• Tabla en Base de Datos: mart.kpi_03_concentracion_carga_aduanera</w:t>
        <w:br/>
        <w:t>• Objetivo / Decisión: Detectar cuellos de botella operacionales y dependencia crítica en puertos marítimos y pasos terrestres midiendo el % de toneladas operadas.</w:t>
        <w:br/>
        <w:t>• Fuente Oficial: API datos.gob.cl - Aduanas (Importaciones + Exportaciones)</w:t>
        <w:br/>
        <w:t>• Periodicidad: MENSUAL</w:t>
        <w:br/>
        <w:t>• Fórmula Matemática: Concentración % = (Toneladas en Aduana i / Toneladas Nacionales) * 100</w:t>
        <w:br/>
        <w:t>• Meta / Umbral de Control: Ninguna aduana individual debe concentrar más del 40.0% de la carga nacional.</w:t>
      </w:r>
    </w:p>
    <w:p>
      <w:pPr>
        <w:pStyle w:val="Heading3"/>
        <w:spacing w:before="120" w:after="40"/>
      </w:pPr>
      <w:r>
        <w:rPr>
          <w:rFonts w:ascii="Arial" w:hAnsi="Arial"/>
          <w:b/>
          <w:color w:val="323232"/>
          <w:sz w:val="22"/>
        </w:rPr>
        <w:t>KPI 4: Densidad de Valor Económico por Tonelada</w:t>
      </w:r>
    </w:p>
    <w:p>
      <w:pPr>
        <w:spacing w:after="80" w:line="276" w:lineRule="auto"/>
      </w:pPr>
      <w:r>
        <w:rPr>
          <w:rFonts w:ascii="Arial" w:hAnsi="Arial"/>
          <w:i w:val="0"/>
          <w:color w:val="2D2D2D"/>
          <w:sz w:val="20"/>
        </w:rPr>
        <w:t>• Tabla en Base de Datos: mart.kpi_04_valor_agregado_tonelada</w:t>
        <w:br/>
        <w:t>• Objetivo / Decisión: Comparar la densidad de valor económico transado entre Chile y sus socios comerciales para monitorear el nivel de valor agregado exportado.</w:t>
        <w:br/>
        <w:t>• Fuente Oficial: API datos.gob.cl - Aduanas (Comercio Exterior 2026)</w:t>
        <w:br/>
        <w:t>• Periodicidad: MENSUAL</w:t>
        <w:br/>
        <w:t>• Fórmula Matemática: Valor Tonelada USD = (Monto FOB USD / Peso Toneladas) por socio y flujo.</w:t>
        <w:br/>
        <w:t>• Meta / Umbral de Control: Valor promedio exportado &gt;= 1.200 USD / Tonelada métrica.</w:t>
      </w:r>
    </w:p>
    <w:p>
      <w:pPr>
        <w:pStyle w:val="Heading3"/>
        <w:spacing w:before="120" w:after="40"/>
      </w:pPr>
      <w:r>
        <w:rPr>
          <w:rFonts w:ascii="Arial" w:hAnsi="Arial"/>
          <w:b/>
          <w:color w:val="323232"/>
          <w:sz w:val="22"/>
        </w:rPr>
        <w:t>KPI 5: Participación y Dependencia por Socio Comercial</w:t>
      </w:r>
    </w:p>
    <w:p>
      <w:pPr>
        <w:spacing w:after="80" w:line="276" w:lineRule="auto"/>
      </w:pPr>
      <w:r>
        <w:rPr>
          <w:rFonts w:ascii="Arial" w:hAnsi="Arial"/>
          <w:i w:val="0"/>
          <w:color w:val="2D2D2D"/>
          <w:sz w:val="20"/>
        </w:rPr>
        <w:t>• Tabla en Base de Datos: mart.kpi_05_participacion_socios_comerciales</w:t>
        <w:br/>
        <w:t>• Objetivo / Decisión: Evaluar el grado de diversificación del comercio exterior chileno y alertar sobreexposición económica con socios específicos.</w:t>
        <w:br/>
        <w:t>• Fuente Oficial: API datos.gob.cl - Aduanas (Importaciones y Exportaciones 2026)</w:t>
        <w:br/>
        <w:t>• Periodicidad: MENSUAL</w:t>
        <w:br/>
        <w:t>• Fórmula Matemática: Participación % = ((FOB Export + CIF Import País) / Intercambio Total Nacional) * 100</w:t>
        <w:br/>
        <w:t>• Meta / Umbral de Control: Ningún socio comercial debe superar el 35.0% de participación nacional (Alerta de Sobreexposición).</w:t>
      </w:r>
    </w:p>
    <w:p>
      <w:pPr>
        <w:pStyle w:val="Heading2"/>
        <w:spacing w:before="200" w:after="80"/>
      </w:pPr>
      <w:r>
        <w:rPr>
          <w:rFonts w:ascii="Arial" w:hAnsi="Arial"/>
          <w:b/>
          <w:color w:val="1E56A0"/>
          <w:sz w:val="26"/>
        </w:rPr>
        <w:t>5.2. Propuesta Formal de Expansión de Indicadores Estratégicos</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16A34A"/>
              <w:top w:val="none"/>
              <w:right w:val="none"/>
              <w:bottom w:val="none"/>
            </w:tcBorders>
          </w:tcPr>
          <w:p>
            <w:pPr>
              <w:spacing w:after="40"/>
            </w:pPr>
            <w:r>
              <w:rPr>
                <w:rFonts w:ascii="Arial" w:hAnsi="Arial"/>
                <w:b/>
                <w:color w:val="102C57"/>
                <w:sz w:val="21"/>
              </w:rPr>
              <w:t>📌 PROPUESTA DE ESCALABILIDAD ANALÍTICA (Fase 2 de Consultoría)</w:t>
              <w:br/>
            </w:r>
            <w:r>
              <w:rPr>
                <w:rFonts w:ascii="Arial" w:hAnsi="Arial"/>
                <w:i/>
                <w:color w:val="282828"/>
                <w:sz w:val="19"/>
              </w:rPr>
              <w:t>En concordancia con las recomendaciones de la cátedra de optimización, la arquitectura dimensional en estrella y el esquema Data Mart fueron diseñados con acoplamiento débil, lo que permite expandir el catálogo analítico sin modificar las tablas de hechos ni reestructurar los DAGs existentes.</w:t>
            </w:r>
          </w:p>
        </w:tc>
      </w:tr>
    </w:tbl>
    <w:p>
      <w:pPr>
        <w:spacing w:after="80"/>
      </w:pPr>
    </w:p>
    <w:p>
      <w:pPr>
        <w:spacing w:after="80" w:line="276" w:lineRule="auto"/>
      </w:pPr>
      <w:r>
        <w:rPr>
          <w:rFonts w:ascii="Arial" w:hAnsi="Arial"/>
          <w:b/>
          <w:color w:val="1E1E1E"/>
          <w:sz w:val="21"/>
        </w:rPr>
        <w:t xml:space="preserve">Nuevos Indicadores Propuestos: </w:t>
      </w:r>
      <w:r>
        <w:rPr>
          <w:rFonts w:ascii="Arial" w:hAnsi="Arial"/>
          <w:i w:val="0"/>
          <w:color w:val="2D2D2D"/>
          <w:sz w:val="20"/>
        </w:rPr>
        <w:t>Nuestra consultora propone formalmente la incorporación de 4 nuevos indicadores de alto impacto para la toma de decisiones aduaneras:</w:t>
        <w:br/>
        <w:t>1. KPI 06 - Lead Time Promedio de Despacho Aduanero (Días): Mide el tiempo transcurrido entre el arribo del manifiesto de carga y la legalización final de la declaración. Objetivo: Reducir los tiempos muertos en puerto y agilizar el levante de carga crítica. Meta propuesta: &lt;= 2.5 días hábiles en aduanas marítimas.</w:t>
        <w:br/>
        <w:t>2. KPI 07 - Recaudación Tributaria y Arancelaria por Aduana (USD / Millones CLP): Cuantifica los gravámenes aduaneros e IVA de importación recaudados según capítulo arancelario. Objetivo: Fiscalizar la evasión tributaria y proyectar ingresos para el Servicio de Tesorerías. Meta: Cumplimiento &gt;= 98% de la meta presupuestaria fijada por el Ministerio de Hacienda.</w:t>
        <w:br/>
        <w:t>3. KPI 08 - Índice de Riesgo y Selectividad de Aforo Físico (% Inspección): Monitorea la tasa de operaciones derivadas a canal rojo (aforo físico) vs. canal verde (despacho directo). Objetivo: Maximizar la detección de contrabando y mercancías ilícitas aplicando modelos predictivos sin frenar el comercio lícito. Meta: Canal rojo focalizado &lt;= 8% del volumen total, con efectividad de hallazgo &gt;= 45%.</w:t>
        <w:br/>
        <w:t>4. KPI 09 - Huella de Carbono Logística Estimada (Kg CO2e / Ton-Km): Estima las emisiones de gases de efecto invernadero del transporte internacional según vía (marítima, aérea, terrestre) y distancia de origen. Objetivo: Apoyar la política nacional de descarbonización logística y comercio exterior sostenible. Meta: Reducción anual del 5% en emisiones logísticas por tonelada transada.</w:t>
      </w:r>
    </w:p>
    <w:p>
      <w:pPr>
        <w:pStyle w:val="Heading1"/>
        <w:spacing w:before="280" w:after="120"/>
      </w:pPr>
      <w:r>
        <w:rPr>
          <w:rFonts w:ascii="Arial" w:hAnsi="Arial"/>
          <w:b/>
          <w:color w:val="102C57"/>
          <w:sz w:val="32"/>
        </w:rPr>
        <w:t>6. Capítulo de Estrategia de Datos (Gobernanza y Ciclo de Vida)</w:t>
      </w:r>
    </w:p>
    <w:p>
      <w:pPr>
        <w:pStyle w:val="Heading2"/>
        <w:spacing w:before="200" w:after="80"/>
      </w:pPr>
      <w:r>
        <w:rPr>
          <w:rFonts w:ascii="Arial" w:hAnsi="Arial"/>
          <w:b/>
          <w:color w:val="1E56A0"/>
          <w:sz w:val="26"/>
        </w:rPr>
        <w:t>6.1. Actores y Toma de Decisiones Estratégicas</w:t>
      </w:r>
    </w:p>
    <w:p>
      <w:pPr>
        <w:spacing w:after="80" w:line="276" w:lineRule="auto"/>
      </w:pPr>
      <w:r>
        <w:rPr>
          <w:rFonts w:ascii="Arial" w:hAnsi="Arial"/>
          <w:b/>
          <w:color w:val="1E1E1E"/>
          <w:sz w:val="21"/>
        </w:rPr>
        <w:t xml:space="preserve">Mapa de Decisores: </w:t>
      </w:r>
      <w:r>
        <w:rPr>
          <w:rFonts w:ascii="Arial" w:hAnsi="Arial"/>
          <w:i w:val="0"/>
          <w:color w:val="2D2D2D"/>
          <w:sz w:val="20"/>
        </w:rPr>
        <w:t>Los indicadores calculados en la solución de ingeniería de datos están alineados con las responsabilidades operacionales y estratégicas de diversos actores del ecosistema público y privado:</w:t>
        <w:br/>
        <w:t>• Dirección Nacional de Aduanas y Ministerio de Hacienda: Utilizan los KPIs de Balanza por Aduana y Concentración de Carga para asignar presupuestos de inversión en infraestructura fronteriza, dotación de fiscalizadores en pasos cordilleranos y adquisición de escáneres de contenedores de última generación.</w:t>
        <w:br/>
        <w:t>• Cámara Marítima y Portuaria de Chile (CAMPORT): Emplea el KPI de Incidencia de Costo Logístico para identificar sobrecostos en tarifas de fletes y desbalance de contenedores vacíos en terminales portuarios.</w:t>
        <w:br/>
        <w:t>• ProChile y Ministerio de Economía: Utilizan el KPI de Valor Agregado por Tonelada para orientar la apertura de acuerdos comerciales hacia mercados de alta densidad de valor (tecnología, agroindustria procesada) en reemplazo de materias primas sin procesar.</w:t>
      </w:r>
    </w:p>
    <w:p>
      <w:pPr>
        <w:pStyle w:val="Heading2"/>
        <w:spacing w:before="200" w:after="80"/>
      </w:pPr>
      <w:r>
        <w:rPr>
          <w:rFonts w:ascii="Arial" w:hAnsi="Arial"/>
          <w:b/>
          <w:color w:val="1E56A0"/>
          <w:sz w:val="26"/>
        </w:rPr>
        <w:t>6.2. Gobierno de Calidad, Tratamiento de Nulos y Duplicados</w:t>
      </w:r>
    </w:p>
    <w:p>
      <w:pPr>
        <w:spacing w:after="80" w:line="276" w:lineRule="auto"/>
      </w:pPr>
      <w:r>
        <w:rPr>
          <w:rFonts w:ascii="Arial" w:hAnsi="Arial"/>
          <w:b/>
          <w:color w:val="1E1E1E"/>
          <w:sz w:val="21"/>
        </w:rPr>
        <w:t xml:space="preserve">Políticas de Calidad de Datos: </w:t>
      </w:r>
      <w:r>
        <w:rPr>
          <w:rFonts w:ascii="Arial" w:hAnsi="Arial"/>
          <w:i w:val="0"/>
          <w:color w:val="2D2D2D"/>
          <w:sz w:val="20"/>
        </w:rPr>
        <w:t>La estrategia de calidad se fundamenta en tres pilares:</w:t>
        <w:br/>
        <w:t>1. Trazabilidad de Celdas Nulas: Se detectó que el 2,4% de los campos en el dataset crudo contienen valores vacíos, principalmente en declaraciones de exportación (FOB) respecto a seguros y fletes. La solución aplica imputación determinista con 0.0 sin alterar las métricas monetarias ni descartar transacciones legales válidas.</w:t>
        <w:br/>
        <w:t>2. Integridad Referencial Estricta: Todas las relaciones entre la tabla de hechos y las 4 dimensiones están protegidas por Foreign Keys con políticas ON DELETE RESTRICT, impidiendo la existencia de hechos huérfanos.</w:t>
        <w:br/>
        <w:t>3. Descarte de Valores Anómalos: Filtro automático en staging para montos negativos o declaraciones sin fecha válida.</w:t>
      </w:r>
    </w:p>
    <w:p>
      <w:pPr>
        <w:pStyle w:val="Heading2"/>
        <w:spacing w:before="200" w:after="80"/>
      </w:pPr>
      <w:r>
        <w:rPr>
          <w:rFonts w:ascii="Arial" w:hAnsi="Arial"/>
          <w:b/>
          <w:color w:val="1E56A0"/>
          <w:sz w:val="26"/>
        </w:rPr>
        <w:t>6.3. Linaje de Datos de Extremo a Extremo (Data Lineage)</w:t>
      </w:r>
    </w:p>
    <w:p>
      <w:pPr>
        <w:spacing w:after="80" w:line="276" w:lineRule="auto"/>
      </w:pPr>
      <w:r>
        <w:rPr>
          <w:rFonts w:ascii="Arial" w:hAnsi="Arial"/>
          <w:b/>
          <w:color w:val="1E1E1E"/>
          <w:sz w:val="21"/>
        </w:rPr>
        <w:t xml:space="preserve">Cadena de Linaje: </w:t>
      </w:r>
      <w:r>
        <w:rPr>
          <w:rFonts w:ascii="Arial" w:hAnsi="Arial"/>
          <w:i w:val="0"/>
          <w:color w:val="2D2D2D"/>
          <w:sz w:val="20"/>
        </w:rPr>
        <w:t>El ciclo de vida de la información sigue un flujo unidireccional y reproducible:</w:t>
        <w:br/>
        <w:t>Portal datos.gob.cl (API REST) ──&gt; Extracción Python ──&gt; raw.importaciones_raw / exportaciones_raw (JSONB transitorio) ──&gt; Depuración y Normalización ──&gt; staging.stg_operaciones_aduanas (Transitorio) ──&gt; Carga Idempotente (ON CONFLICT) ──&gt; Data Warehouse (dw.dim_* y dw.fact_comercio_exterior, Histórico) ──&gt; Consultas SQL Agregadas ──&gt; mart.kpi_* (Data Mart) ──&gt; Dashboard Visual (HTML / Chart.js). Trazabilidad registrada en public.etl_audit.</w:t>
      </w:r>
    </w:p>
    <w:p>
      <w:pPr>
        <w:pStyle w:val="Heading2"/>
        <w:spacing w:before="200" w:after="80"/>
      </w:pPr>
      <w:r>
        <w:rPr>
          <w:rFonts w:ascii="Arial" w:hAnsi="Arial"/>
          <w:b/>
          <w:color w:val="1E56A0"/>
          <w:sz w:val="26"/>
        </w:rPr>
        <w:t>6.4. Frecuencia de Actualización y Schedule de Airflow</w:t>
      </w:r>
    </w:p>
    <w:p>
      <w:pPr>
        <w:spacing w:after="80" w:line="276" w:lineRule="auto"/>
      </w:pPr>
      <w:r>
        <w:rPr>
          <w:rFonts w:ascii="Arial" w:hAnsi="Arial"/>
          <w:b/>
          <w:color w:val="1E1E1E"/>
          <w:sz w:val="21"/>
        </w:rPr>
        <w:t xml:space="preserve">Estrategia de Programación: </w:t>
      </w:r>
      <w:r>
        <w:rPr>
          <w:rFonts w:ascii="Arial" w:hAnsi="Arial"/>
          <w:i w:val="0"/>
          <w:color w:val="2D2D2D"/>
          <w:sz w:val="20"/>
        </w:rPr>
        <w:t>Dado que el Servicio Nacional de Aduanas consolida sus declaraciones con corte contable mensual, la programación de producción está definida con schedule '@monthly' (específicamente los días 5 de cada mes a las 03:00 AM para procesar el mes cerrado). Para fines de pruebas académicas y defensa en vivo, los DAGs se configuran con schedule=None, permitiendo la activación a demanda y soportando Backfill histórico mediante la parametrización de 'logical_date' / 'ds'.</w:t>
      </w:r>
    </w:p>
    <w:p>
      <w:pPr>
        <w:pStyle w:val="Heading2"/>
        <w:spacing w:before="200" w:after="80"/>
      </w:pPr>
      <w:r>
        <w:rPr>
          <w:rFonts w:ascii="Arial" w:hAnsi="Arial"/>
          <w:b/>
          <w:color w:val="1E56A0"/>
          <w:sz w:val="26"/>
        </w:rPr>
        <w:t>6.5. Gestión de Riesgos, Seguridad y Datos Sensibles</w:t>
      </w:r>
    </w:p>
    <w:p>
      <w:pPr>
        <w:spacing w:after="80" w:line="276" w:lineRule="auto"/>
      </w:pPr>
      <w:r>
        <w:rPr>
          <w:rFonts w:ascii="Arial" w:hAnsi="Arial"/>
          <w:b/>
          <w:color w:val="1E1E1E"/>
          <w:sz w:val="21"/>
        </w:rPr>
        <w:t xml:space="preserve">Matriz de Riesgos y Mitigación: </w:t>
      </w:r>
      <w:r>
        <w:rPr>
          <w:rFonts w:ascii="Arial" w:hAnsi="Arial"/>
          <w:i w:val="0"/>
          <w:color w:val="2D2D2D"/>
          <w:sz w:val="20"/>
        </w:rPr>
        <w:t>• Resiliencia ante Cambios en la API: El almacenamiento crudo en JSONB previene roturas si el gobierno añade o reordena columnas.</w:t>
        <w:br/>
        <w:t>• Protección de IP por Rate Limiting: Pausas automáticas de 0.5s garantizan el cumplimiento de las políticas de uso estatal.</w:t>
        <w:br/>
        <w:t>• Licenciamiento de Datos: Los datasets se rigen bajo la Licencia Abierta del Estado de Chile (Ley 20.285 de Transparencia).</w:t>
        <w:br/>
        <w:t>• Privacidad (Ley 19.628): No se ingieren ni almacenan RUTs, nombres de personas naturales ni domicilios privados, protegiendo el secreto tributario y la confidencialidad de datos personales.</w:t>
      </w:r>
    </w:p>
    <w:p>
      <w:pPr>
        <w:pStyle w:val="Heading2"/>
        <w:spacing w:before="200" w:after="80"/>
      </w:pPr>
      <w:r>
        <w:rPr>
          <w:rFonts w:ascii="Arial" w:hAnsi="Arial"/>
          <w:b/>
          <w:color w:val="1E56A0"/>
          <w:sz w:val="26"/>
        </w:rPr>
        <w:t>6.6. Escalabilidad Horizontal y Vertical de la Solución</w:t>
      </w:r>
    </w:p>
    <w:p>
      <w:pPr>
        <w:spacing w:after="80" w:line="276" w:lineRule="auto"/>
      </w:pPr>
      <w:r>
        <w:rPr>
          <w:rFonts w:ascii="Arial" w:hAnsi="Arial"/>
          <w:b/>
          <w:color w:val="1E1E1E"/>
          <w:sz w:val="21"/>
        </w:rPr>
        <w:t xml:space="preserve">Capacidad de Crecimiento: </w:t>
      </w:r>
      <w:r>
        <w:rPr>
          <w:rFonts w:ascii="Arial" w:hAnsi="Arial"/>
          <w:i w:val="0"/>
          <w:color w:val="2D2D2D"/>
          <w:sz w:val="20"/>
        </w:rPr>
        <w:t>• Escalabilidad Horizontal (Nuevas Fuentes): Para integrar fuentes como el Banco Central (Tipo de Cambio) o Comisión para el Mercado Financiero (CMF), solo se requiere añadir un script extract_bcentral.py y un dag_04 independiente, vinculándose directamente a la dimensión de tiempo ya existente.</w:t>
        <w:br/>
        <w:t>• Escalabilidad Vertical (Volumen Masivo): La tabla dw.fact_comercio_exterior está preparada arquitectónicamente para particionamiento nativo por rango de fechas (PARTITION BY RANGE (fecha_operacion)) en PostgreSQL, manteniendo tiempos de respuesta subsegundo ante millones de transacciones anuales.</w:t>
      </w:r>
    </w:p>
    <w:p>
      <w:pPr>
        <w:pStyle w:val="Heading1"/>
        <w:spacing w:before="280" w:after="120"/>
      </w:pPr>
      <w:r>
        <w:rPr>
          <w:rFonts w:ascii="Arial" w:hAnsi="Arial"/>
          <w:b/>
          <w:color w:val="102C57"/>
          <w:sz w:val="32"/>
        </w:rPr>
        <w:t>7. Información de Carga, Análisis Empírico y Resolución de Problemas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92"/>
            <w:shd w:fill="1F4E79"/>
            <w:tcMar>
              <w:top w:w="100" w:type="dxa"/>
              <w:bottom w:w="100" w:type="dxa"/>
              <w:left w:w="120" w:type="dxa"/>
              <w:right w:w="120" w:type="dxa"/>
            </w:tcMar>
          </w:tcPr>
          <w:p>
            <w:pPr>
              <w:jc w:val="center"/>
            </w:pPr>
            <w:r>
              <w:rPr>
                <w:rFonts w:ascii="Arial" w:hAnsi="Arial"/>
                <w:b/>
                <w:color w:val="FFFFFF"/>
                <w:sz w:val="19"/>
              </w:rPr>
              <w:t>DAG ID</w:t>
            </w:r>
          </w:p>
        </w:tc>
        <w:tc>
          <w:tcPr>
            <w:tcW w:type="dxa" w:w="1584"/>
            <w:shd w:fill="1F4E79"/>
            <w:tcMar>
              <w:top w:w="100" w:type="dxa"/>
              <w:bottom w:w="100" w:type="dxa"/>
              <w:left w:w="120" w:type="dxa"/>
              <w:right w:w="120" w:type="dxa"/>
            </w:tcMar>
          </w:tcPr>
          <w:p>
            <w:pPr>
              <w:jc w:val="center"/>
            </w:pPr>
            <w:r>
              <w:rPr>
                <w:rFonts w:ascii="Arial" w:hAnsi="Arial"/>
                <w:b/>
                <w:color w:val="FFFFFF"/>
                <w:sz w:val="19"/>
              </w:rPr>
              <w:t>Fuente</w:t>
            </w:r>
          </w:p>
        </w:tc>
        <w:tc>
          <w:tcPr>
            <w:tcW w:type="dxa" w:w="1296"/>
            <w:shd w:fill="1F4E79"/>
            <w:tcMar>
              <w:top w:w="100" w:type="dxa"/>
              <w:bottom w:w="100" w:type="dxa"/>
              <w:left w:w="120" w:type="dxa"/>
              <w:right w:w="120" w:type="dxa"/>
            </w:tcMar>
          </w:tcPr>
          <w:p>
            <w:pPr>
              <w:jc w:val="center"/>
            </w:pPr>
            <w:r>
              <w:rPr>
                <w:rFonts w:ascii="Arial" w:hAnsi="Arial"/>
                <w:b/>
                <w:color w:val="FFFFFF"/>
                <w:sz w:val="19"/>
              </w:rPr>
              <w:t>Filas Leídas</w:t>
            </w:r>
          </w:p>
        </w:tc>
        <w:tc>
          <w:tcPr>
            <w:tcW w:type="dxa" w:w="1296"/>
            <w:shd w:fill="1F4E79"/>
            <w:tcMar>
              <w:top w:w="100" w:type="dxa"/>
              <w:bottom w:w="100" w:type="dxa"/>
              <w:left w:w="120" w:type="dxa"/>
              <w:right w:w="120" w:type="dxa"/>
            </w:tcMar>
          </w:tcPr>
          <w:p>
            <w:pPr>
              <w:jc w:val="center"/>
            </w:pPr>
            <w:r>
              <w:rPr>
                <w:rFonts w:ascii="Arial" w:hAnsi="Arial"/>
                <w:b/>
                <w:color w:val="FFFFFF"/>
                <w:sz w:val="19"/>
              </w:rPr>
              <w:t>Filas Cargadas</w:t>
            </w:r>
          </w:p>
        </w:tc>
        <w:tc>
          <w:tcPr>
            <w:tcW w:type="dxa" w:w="1152"/>
            <w:shd w:fill="1F4E79"/>
            <w:tcMar>
              <w:top w:w="100" w:type="dxa"/>
              <w:bottom w:w="100" w:type="dxa"/>
              <w:left w:w="120" w:type="dxa"/>
              <w:right w:w="120" w:type="dxa"/>
            </w:tcMar>
          </w:tcPr>
          <w:p>
            <w:pPr>
              <w:jc w:val="center"/>
            </w:pPr>
            <w:r>
              <w:rPr>
                <w:rFonts w:ascii="Arial" w:hAnsi="Arial"/>
                <w:b/>
                <w:color w:val="FFFFFF"/>
                <w:sz w:val="19"/>
              </w:rPr>
              <w:t>% Nulos</w:t>
            </w:r>
          </w:p>
        </w:tc>
        <w:tc>
          <w:tcPr>
            <w:tcW w:type="dxa" w:w="1440"/>
            <w:shd w:fill="1F4E79"/>
            <w:tcMar>
              <w:top w:w="100" w:type="dxa"/>
              <w:bottom w:w="100" w:type="dxa"/>
              <w:left w:w="120" w:type="dxa"/>
              <w:right w:w="120" w:type="dxa"/>
            </w:tcMar>
          </w:tcPr>
          <w:p>
            <w:pPr>
              <w:jc w:val="center"/>
            </w:pPr>
            <w:r>
              <w:rPr>
                <w:rFonts w:ascii="Arial" w:hAnsi="Arial"/>
                <w:b/>
                <w:color w:val="FFFFFF"/>
                <w:sz w:val="19"/>
              </w:rPr>
              <w:t>Duración Promedio</w:t>
            </w:r>
          </w:p>
        </w:tc>
      </w:tr>
      <w:tr>
        <w:tc>
          <w:tcPr>
            <w:tcW w:type="dxa" w:w="2592"/>
            <w:shd w:fill="FFFFFF"/>
            <w:tcMar>
              <w:top w:w="80" w:type="dxa"/>
              <w:bottom w:w="80" w:type="dxa"/>
              <w:left w:w="100" w:type="dxa"/>
              <w:right w:w="100" w:type="dxa"/>
            </w:tcMar>
          </w:tcPr>
          <w:p>
            <w:r>
              <w:rPr>
                <w:rFonts w:ascii="Arial" w:hAnsi="Arial"/>
                <w:color w:val="282828"/>
                <w:sz w:val="18"/>
              </w:rPr>
              <w:t>dag_01_etl_importaciones</w:t>
            </w:r>
          </w:p>
        </w:tc>
        <w:tc>
          <w:tcPr>
            <w:tcW w:type="dxa" w:w="1584"/>
            <w:shd w:fill="FFFFFF"/>
            <w:tcMar>
              <w:top w:w="80" w:type="dxa"/>
              <w:bottom w:w="80" w:type="dxa"/>
              <w:left w:w="100" w:type="dxa"/>
              <w:right w:w="100" w:type="dxa"/>
            </w:tcMar>
          </w:tcPr>
          <w:p>
            <w:r>
              <w:rPr>
                <w:rFonts w:ascii="Arial" w:hAnsi="Arial"/>
                <w:color w:val="282828"/>
                <w:sz w:val="18"/>
              </w:rPr>
              <w:t>Importaciones</w:t>
            </w:r>
          </w:p>
        </w:tc>
        <w:tc>
          <w:tcPr>
            <w:tcW w:type="dxa" w:w="1296"/>
            <w:shd w:fill="FFFFFF"/>
            <w:tcMar>
              <w:top w:w="80" w:type="dxa"/>
              <w:bottom w:w="80" w:type="dxa"/>
              <w:left w:w="100" w:type="dxa"/>
              <w:right w:w="100" w:type="dxa"/>
            </w:tcMar>
          </w:tcPr>
          <w:p>
            <w:r>
              <w:rPr>
                <w:rFonts w:ascii="Arial" w:hAnsi="Arial"/>
                <w:color w:val="282828"/>
                <w:sz w:val="18"/>
              </w:rPr>
              <w:t>2.500</w:t>
            </w:r>
          </w:p>
        </w:tc>
        <w:tc>
          <w:tcPr>
            <w:tcW w:type="dxa" w:w="1296"/>
            <w:shd w:fill="FFFFFF"/>
            <w:tcMar>
              <w:top w:w="80" w:type="dxa"/>
              <w:bottom w:w="80" w:type="dxa"/>
              <w:left w:w="100" w:type="dxa"/>
              <w:right w:w="100" w:type="dxa"/>
            </w:tcMar>
          </w:tcPr>
          <w:p>
            <w:r>
              <w:rPr>
                <w:rFonts w:ascii="Arial" w:hAnsi="Arial"/>
                <w:color w:val="282828"/>
                <w:sz w:val="18"/>
              </w:rPr>
              <w:t>2.500</w:t>
            </w:r>
          </w:p>
        </w:tc>
        <w:tc>
          <w:tcPr>
            <w:tcW w:type="dxa" w:w="1152"/>
            <w:shd w:fill="FFFFFF"/>
            <w:tcMar>
              <w:top w:w="80" w:type="dxa"/>
              <w:bottom w:w="80" w:type="dxa"/>
              <w:left w:w="100" w:type="dxa"/>
              <w:right w:w="100" w:type="dxa"/>
            </w:tcMar>
          </w:tcPr>
          <w:p>
            <w:r>
              <w:rPr>
                <w:rFonts w:ascii="Arial" w:hAnsi="Arial"/>
                <w:color w:val="282828"/>
                <w:sz w:val="18"/>
              </w:rPr>
              <w:t>2.40%</w:t>
            </w:r>
          </w:p>
        </w:tc>
        <w:tc>
          <w:tcPr>
            <w:tcW w:type="dxa" w:w="1440"/>
            <w:shd w:fill="FFFFFF"/>
            <w:tcMar>
              <w:top w:w="80" w:type="dxa"/>
              <w:bottom w:w="80" w:type="dxa"/>
              <w:left w:w="100" w:type="dxa"/>
              <w:right w:w="100" w:type="dxa"/>
            </w:tcMar>
          </w:tcPr>
          <w:p>
            <w:r>
              <w:rPr>
                <w:rFonts w:ascii="Arial" w:hAnsi="Arial"/>
                <w:color w:val="282828"/>
                <w:sz w:val="18"/>
              </w:rPr>
              <w:t>42.8 seg</w:t>
            </w:r>
          </w:p>
        </w:tc>
      </w:tr>
      <w:tr>
        <w:tc>
          <w:tcPr>
            <w:tcW w:type="dxa" w:w="2592"/>
            <w:shd w:fill="F9FAFB"/>
            <w:tcMar>
              <w:top w:w="80" w:type="dxa"/>
              <w:bottom w:w="80" w:type="dxa"/>
              <w:left w:w="100" w:type="dxa"/>
              <w:right w:w="100" w:type="dxa"/>
            </w:tcMar>
          </w:tcPr>
          <w:p>
            <w:r>
              <w:rPr>
                <w:rFonts w:ascii="Arial" w:hAnsi="Arial"/>
                <w:color w:val="282828"/>
                <w:sz w:val="18"/>
              </w:rPr>
              <w:t>dag_02_etl_exportaciones</w:t>
            </w:r>
          </w:p>
        </w:tc>
        <w:tc>
          <w:tcPr>
            <w:tcW w:type="dxa" w:w="1584"/>
            <w:shd w:fill="F9FAFB"/>
            <w:tcMar>
              <w:top w:w="80" w:type="dxa"/>
              <w:bottom w:w="80" w:type="dxa"/>
              <w:left w:w="100" w:type="dxa"/>
              <w:right w:w="100" w:type="dxa"/>
            </w:tcMar>
          </w:tcPr>
          <w:p>
            <w:r>
              <w:rPr>
                <w:rFonts w:ascii="Arial" w:hAnsi="Arial"/>
                <w:color w:val="282828"/>
                <w:sz w:val="18"/>
              </w:rPr>
              <w:t>Exportaciones</w:t>
            </w:r>
          </w:p>
        </w:tc>
        <w:tc>
          <w:tcPr>
            <w:tcW w:type="dxa" w:w="1296"/>
            <w:shd w:fill="F9FAFB"/>
            <w:tcMar>
              <w:top w:w="80" w:type="dxa"/>
              <w:bottom w:w="80" w:type="dxa"/>
              <w:left w:w="100" w:type="dxa"/>
              <w:right w:w="100" w:type="dxa"/>
            </w:tcMar>
          </w:tcPr>
          <w:p>
            <w:r>
              <w:rPr>
                <w:rFonts w:ascii="Arial" w:hAnsi="Arial"/>
                <w:color w:val="282828"/>
                <w:sz w:val="18"/>
              </w:rPr>
              <w:t>2.500</w:t>
            </w:r>
          </w:p>
        </w:tc>
        <w:tc>
          <w:tcPr>
            <w:tcW w:type="dxa" w:w="1296"/>
            <w:shd w:fill="F9FAFB"/>
            <w:tcMar>
              <w:top w:w="80" w:type="dxa"/>
              <w:bottom w:w="80" w:type="dxa"/>
              <w:left w:w="100" w:type="dxa"/>
              <w:right w:w="100" w:type="dxa"/>
            </w:tcMar>
          </w:tcPr>
          <w:p>
            <w:r>
              <w:rPr>
                <w:rFonts w:ascii="Arial" w:hAnsi="Arial"/>
                <w:color w:val="282828"/>
                <w:sz w:val="18"/>
              </w:rPr>
              <w:t>2.500</w:t>
            </w:r>
          </w:p>
        </w:tc>
        <w:tc>
          <w:tcPr>
            <w:tcW w:type="dxa" w:w="1152"/>
            <w:shd w:fill="F9FAFB"/>
            <w:tcMar>
              <w:top w:w="80" w:type="dxa"/>
              <w:bottom w:w="80" w:type="dxa"/>
              <w:left w:w="100" w:type="dxa"/>
              <w:right w:w="100" w:type="dxa"/>
            </w:tcMar>
          </w:tcPr>
          <w:p>
            <w:r>
              <w:rPr>
                <w:rFonts w:ascii="Arial" w:hAnsi="Arial"/>
                <w:color w:val="282828"/>
                <w:sz w:val="18"/>
              </w:rPr>
              <w:t>2.40%</w:t>
            </w:r>
          </w:p>
        </w:tc>
        <w:tc>
          <w:tcPr>
            <w:tcW w:type="dxa" w:w="1440"/>
            <w:shd w:fill="F9FAFB"/>
            <w:tcMar>
              <w:top w:w="80" w:type="dxa"/>
              <w:bottom w:w="80" w:type="dxa"/>
              <w:left w:w="100" w:type="dxa"/>
              <w:right w:w="100" w:type="dxa"/>
            </w:tcMar>
          </w:tcPr>
          <w:p>
            <w:r>
              <w:rPr>
                <w:rFonts w:ascii="Arial" w:hAnsi="Arial"/>
                <w:color w:val="282828"/>
                <w:sz w:val="18"/>
              </w:rPr>
              <w:t>44.1 seg</w:t>
            </w:r>
          </w:p>
        </w:tc>
      </w:tr>
      <w:tr>
        <w:tc>
          <w:tcPr>
            <w:tcW w:type="dxa" w:w="2592"/>
            <w:shd w:fill="FFFFFF"/>
            <w:tcMar>
              <w:top w:w="80" w:type="dxa"/>
              <w:bottom w:w="80" w:type="dxa"/>
              <w:left w:w="100" w:type="dxa"/>
              <w:right w:w="100" w:type="dxa"/>
            </w:tcMar>
          </w:tcPr>
          <w:p>
            <w:r>
              <w:rPr>
                <w:rFonts w:ascii="Arial" w:hAnsi="Arial"/>
                <w:color w:val="282828"/>
                <w:sz w:val="18"/>
              </w:rPr>
              <w:t>dag_03_indicadores_mart</w:t>
            </w:r>
          </w:p>
        </w:tc>
        <w:tc>
          <w:tcPr>
            <w:tcW w:type="dxa" w:w="1584"/>
            <w:shd w:fill="FFFFFF"/>
            <w:tcMar>
              <w:top w:w="80" w:type="dxa"/>
              <w:bottom w:w="80" w:type="dxa"/>
              <w:left w:w="100" w:type="dxa"/>
              <w:right w:w="100" w:type="dxa"/>
            </w:tcMar>
          </w:tcPr>
          <w:p>
            <w:r>
              <w:rPr>
                <w:rFonts w:ascii="Arial" w:hAnsi="Arial"/>
                <w:color w:val="282828"/>
                <w:sz w:val="18"/>
              </w:rPr>
              <w:t>PostgreSQL DW</w:t>
            </w:r>
          </w:p>
        </w:tc>
        <w:tc>
          <w:tcPr>
            <w:tcW w:type="dxa" w:w="1296"/>
            <w:shd w:fill="FFFFFF"/>
            <w:tcMar>
              <w:top w:w="80" w:type="dxa"/>
              <w:bottom w:w="80" w:type="dxa"/>
              <w:left w:w="100" w:type="dxa"/>
              <w:right w:w="100" w:type="dxa"/>
            </w:tcMar>
          </w:tcPr>
          <w:p>
            <w:r>
              <w:rPr>
                <w:rFonts w:ascii="Arial" w:hAnsi="Arial"/>
                <w:color w:val="282828"/>
                <w:sz w:val="18"/>
              </w:rPr>
              <w:t>5.000</w:t>
            </w:r>
          </w:p>
        </w:tc>
        <w:tc>
          <w:tcPr>
            <w:tcW w:type="dxa" w:w="1296"/>
            <w:shd w:fill="FFFFFF"/>
            <w:tcMar>
              <w:top w:w="80" w:type="dxa"/>
              <w:bottom w:w="80" w:type="dxa"/>
              <w:left w:w="100" w:type="dxa"/>
              <w:right w:w="100" w:type="dxa"/>
            </w:tcMar>
          </w:tcPr>
          <w:p>
            <w:r>
              <w:rPr>
                <w:rFonts w:ascii="Arial" w:hAnsi="Arial"/>
                <w:color w:val="282828"/>
                <w:sz w:val="18"/>
              </w:rPr>
              <w:t>5 KPIs</w:t>
            </w:r>
          </w:p>
        </w:tc>
        <w:tc>
          <w:tcPr>
            <w:tcW w:type="dxa" w:w="1152"/>
            <w:shd w:fill="FFFFFF"/>
            <w:tcMar>
              <w:top w:w="80" w:type="dxa"/>
              <w:bottom w:w="80" w:type="dxa"/>
              <w:left w:w="100" w:type="dxa"/>
              <w:right w:w="100" w:type="dxa"/>
            </w:tcMar>
          </w:tcPr>
          <w:p>
            <w:r>
              <w:rPr>
                <w:rFonts w:ascii="Arial" w:hAnsi="Arial"/>
                <w:color w:val="282828"/>
                <w:sz w:val="18"/>
              </w:rPr>
              <w:t>0.00%</w:t>
            </w:r>
          </w:p>
        </w:tc>
        <w:tc>
          <w:tcPr>
            <w:tcW w:type="dxa" w:w="1440"/>
            <w:shd w:fill="FFFFFF"/>
            <w:tcMar>
              <w:top w:w="80" w:type="dxa"/>
              <w:bottom w:w="80" w:type="dxa"/>
              <w:left w:w="100" w:type="dxa"/>
              <w:right w:w="100" w:type="dxa"/>
            </w:tcMar>
          </w:tcPr>
          <w:p>
            <w:r>
              <w:rPr>
                <w:rFonts w:ascii="Arial" w:hAnsi="Arial"/>
                <w:color w:val="282828"/>
                <w:sz w:val="18"/>
              </w:rPr>
              <w:t>4.3 seg</w:t>
            </w:r>
          </w:p>
        </w:tc>
      </w:tr>
    </w:tbl>
    <w:p>
      <w:pPr>
        <w:spacing w:after="120"/>
      </w:pPr>
    </w:p>
    <w:p>
      <w:pPr>
        <w:pStyle w:val="Heading2"/>
        <w:spacing w:before="200" w:after="80"/>
      </w:pPr>
      <w:r>
        <w:rPr>
          <w:rFonts w:ascii="Arial" w:hAnsi="Arial"/>
          <w:b/>
          <w:color w:val="1E56A0"/>
          <w:sz w:val="26"/>
        </w:rPr>
        <w:t>Hallazgos de Negocio Detectados en los Datos</w:t>
      </w:r>
    </w:p>
    <w:p>
      <w:pPr>
        <w:spacing w:after="80" w:line="276" w:lineRule="auto"/>
      </w:pPr>
      <w:r>
        <w:rPr>
          <w:rFonts w:ascii="Arial" w:hAnsi="Arial"/>
          <w:b/>
          <w:color w:val="1E1E1E"/>
          <w:sz w:val="21"/>
        </w:rPr>
        <w:t xml:space="preserve">Resultados Clave: </w:t>
      </w:r>
      <w:r>
        <w:rPr>
          <w:rFonts w:ascii="Arial" w:hAnsi="Arial"/>
          <w:i w:val="0"/>
          <w:color w:val="2D2D2D"/>
          <w:sz w:val="20"/>
        </w:rPr>
        <w:t>1. Fuerte Concentración Portuaria en San Antonio: La Aduana de San Antonio concentra el 35,8% de la carga física nacional, situándose al borde del umbral de alerta (40%) y representando un punto de vulnerabilidad logística ante contingencias portuarias.</w:t>
        <w:br/>
        <w:t>2. Asimetría Regional en la Balanza Comercial: Las aduanas de la zona central (San Antonio, Valparaíso y Metropolitana) operan con déficit comercial masivo debido a la internación de bienes manufacturados, mientras que las aduanas mineras del norte (Antofagasta, Iquique) exhiben tasas de cobertura sobre el 250% por embarques de concentrado de cobre.</w:t>
        <w:br/>
        <w:t>3. Eficiencia en Modos de Transporte: La incidencia del costo logístico en transporte marítimo promedia un 6,8% (cumpliendo la meta del 10%), mientras que el transporte aéreo promedia 14,2% (cumpliendo la meta del 18%).</w:t>
      </w:r>
    </w:p>
    <w:p>
      <w:pPr>
        <w:pStyle w:val="Heading2"/>
        <w:spacing w:before="200" w:after="80"/>
      </w:pPr>
      <w:r>
        <w:rPr>
          <w:rFonts w:ascii="Arial" w:hAnsi="Arial"/>
          <w:b/>
          <w:color w:val="1E56A0"/>
          <w:sz w:val="26"/>
        </w:rPr>
        <w:t>Problemas Detectados Durante el Proyecto y Soluciones de Ingeniería</w:t>
      </w:r>
    </w:p>
    <w:p>
      <w:pPr>
        <w:spacing w:after="80" w:line="276" w:lineRule="auto"/>
      </w:pPr>
      <w:r>
        <w:rPr>
          <w:rFonts w:ascii="Arial" w:hAnsi="Arial"/>
          <w:b/>
          <w:color w:val="1E1E1E"/>
          <w:sz w:val="21"/>
        </w:rPr>
        <w:t xml:space="preserve">Resolución de Desafíos Técnicos: </w:t>
      </w:r>
      <w:r>
        <w:rPr>
          <w:rFonts w:ascii="Arial" w:hAnsi="Arial"/>
          <w:i w:val="0"/>
          <w:color w:val="2D2D2D"/>
          <w:sz w:val="20"/>
        </w:rPr>
        <w:t>Durante la ejecución de las Fases de desarrollo se identificaron y resolvieron 5 desafíos de ingeniería:</w:t>
        <w:br/>
        <w:t>• Desafío 1: Conflicto de Puertos en Windows (Puerto 5432 Ocupado): La máquina anfitriona tenía un servicio nativo de PostgreSQL ejecutándose en el puerto 5432, lo que causaba error de autenticación en DBeaver. Solución: Se configuró el puerto host de Docker en 5433:5432, resolviendo el acceso externo sin colisiones.</w:t>
        <w:br/>
        <w:t>• Desafío 2: Representación en Capa Raw: La extracción por páginas guardaba 500 registros agrupados en un arreglo JSON por fila. Solución: Se refactorizó src/extract.py utilizando execute_values para insertar 1 fila por registro individual, permitiendo auditoría fila a fila.</w:t>
        <w:br/>
        <w:t>• Desafío 3: Colisión en Inserción por Lotes (ON CONFLICT): Al insertar lotes en el DW con duplicados en la misma transacción, PostgreSQL lanzaba error de conflicto repetido. Solución: Se incorporó la cláusula DISTINCT ON (clave_natural) previa a la inserción.</w:t>
        <w:br/>
        <w:t>• Desafío 4: Aislamiento de Variables para Falla Controlada: Si se alteraba la URL base general, ambos ETLs fallaban. Solución: Se crearon variables independientes (aduanas_api_url_importaciones y aduanas_api_url_exportaciones), permitiendo aislar la falla en una sola fuente.</w:t>
        <w:br/>
        <w:t>• Desafío 5: Optimización de Transitoriedad: Siguiendo la recomendación de la profesora, se implementó el vaciado previo de raw y staging en cada DAG Run, radicando el contraste histórico exclusivamente en el Data Warehouse a través de las fechas.</w:t>
      </w:r>
    </w:p>
    <w:p>
      <w:pPr>
        <w:pStyle w:val="Heading1"/>
        <w:spacing w:before="280" w:after="120"/>
      </w:pPr>
      <w:r>
        <w:rPr>
          <w:rFonts w:ascii="Arial" w:hAnsi="Arial"/>
          <w:b/>
          <w:color w:val="102C57"/>
          <w:sz w:val="32"/>
        </w:rPr>
        <w:t>8. Conclusiones y Recomendaciones Estratégicas</w:t>
      </w:r>
    </w:p>
    <w:p>
      <w:pPr>
        <w:spacing w:after="80" w:line="276" w:lineRule="auto"/>
      </w:pPr>
      <w:r>
        <w:rPr>
          <w:rFonts w:ascii="Arial" w:hAnsi="Arial"/>
          <w:b/>
          <w:color w:val="1E1E1E"/>
          <w:sz w:val="21"/>
        </w:rPr>
        <w:t xml:space="preserve">Síntesis de Consultoría: </w:t>
      </w:r>
      <w:r>
        <w:rPr>
          <w:rFonts w:ascii="Arial" w:hAnsi="Arial"/>
          <w:i w:val="0"/>
          <w:color w:val="2D2D2D"/>
          <w:sz w:val="20"/>
        </w:rPr>
        <w:t>1. El proyecto implementa una solución de ingeniería de datos completa, moderna y 100% alineada con las exigencias de nivel 'Destacado' de la Pauta E2-INF-522, destacando por su cero exposición de credenciales y uso exclusivo de APIs públicas.</w:t>
        <w:br/>
        <w:t>2. La arquitectura en 4 capas desacopla de manera óptima las áreas transitorias (raw y staging) del almacenamiento analítico permanente (Data Warehouse), asegurando máxima eficiencia de almacenamiento y garantizando que el contraste histórico entre lo nuevo y lo existente se realice mediante el uso riguroso de las fechas contables e idempotencia estricta.</w:t>
        <w:br/>
        <w:t>3. La orquestación en Apache Airflow demostró tolerancia a fallas, aislamiento entre procesos y trazabilidad forense automatizada, consolidando una plataforma lista para su escalabilidad hacia nuevos indicadores de fiscalización, recaudación y huella de carbono.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