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0B74" w14:textId="77777777" w:rsidR="00642962" w:rsidRPr="00576858" w:rsidRDefault="00000000" w:rsidP="00576858">
      <w:pPr>
        <w:spacing w:after="40"/>
        <w:jc w:val="both"/>
        <w:rPr>
          <w:lang w:val="es-CL"/>
        </w:rPr>
      </w:pPr>
      <w:r w:rsidRPr="00576858">
        <w:rPr>
          <w:rFonts w:cs="Calibri"/>
          <w:b/>
          <w:color w:val="009FDB"/>
          <w:sz w:val="20"/>
          <w:lang w:val="es-CL"/>
        </w:rPr>
        <w:t>GUÍA DE TRABAJO EN EQUIPO</w:t>
      </w:r>
    </w:p>
    <w:p w14:paraId="00833A62" w14:textId="77777777" w:rsidR="00642962" w:rsidRPr="00576858" w:rsidRDefault="00000000" w:rsidP="00576858">
      <w:pPr>
        <w:pStyle w:val="Ttulo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Reorientar y diseñar el incremento funcional 1</w:t>
      </w:r>
    </w:p>
    <w:p w14:paraId="456381E4" w14:textId="77777777" w:rsidR="00642962" w:rsidRPr="00576858" w:rsidRDefault="00000000" w:rsidP="00576858">
      <w:pPr>
        <w:pStyle w:val="Subttulo"/>
        <w:keepNext/>
        <w:spacing w:after="48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Retroalimentación, objetivo, arquitectura y plan de construcción</w:t>
      </w:r>
    </w:p>
    <w:tbl>
      <w:tblPr>
        <w:tblW w:w="0" w:type="auto"/>
        <w:jc w:val="center"/>
        <w:tblBorders>
          <w:top w:val="single" w:sz="6" w:space="0" w:color="8CCEEA"/>
          <w:left w:val="single" w:sz="6" w:space="0" w:color="8CCEEA"/>
          <w:bottom w:val="single" w:sz="6" w:space="0" w:color="8CCEEA"/>
          <w:right w:val="single" w:sz="6" w:space="0" w:color="8CCEEA"/>
          <w:insideH w:val="single" w:sz="6" w:space="0" w:color="8CCEEA"/>
          <w:insideV w:val="single" w:sz="6" w:space="0" w:color="8CCEEA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383E4DF9" w14:textId="77777777" w:rsidTr="001A445E">
        <w:trPr>
          <w:cantSplit/>
          <w:trHeight w:val="336"/>
          <w:tblHeader/>
          <w:jc w:val="center"/>
        </w:trPr>
        <w:tc>
          <w:tcPr>
            <w:tcW w:w="2340" w:type="dxa"/>
            <w:vMerge w:val="restar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57ADBD4" w14:textId="77777777" w:rsidR="00642962" w:rsidRDefault="00000000" w:rsidP="001A445E">
            <w:pPr>
              <w:spacing w:after="0" w:line="252" w:lineRule="auto"/>
            </w:pPr>
            <w:r>
              <w:rPr>
                <w:rFonts w:cs="Calibri"/>
                <w:b/>
                <w:color w:val="009FDB"/>
                <w:sz w:val="17"/>
              </w:rPr>
              <w:t>SEMANA</w:t>
            </w:r>
          </w:p>
          <w:p w14:paraId="25500459" w14:textId="77777777" w:rsidR="00642962" w:rsidRDefault="00000000" w:rsidP="001A445E">
            <w:pPr>
              <w:spacing w:before="20" w:after="0"/>
            </w:pPr>
            <w:r>
              <w:rPr>
                <w:rFonts w:cs="Calibri"/>
                <w:b/>
                <w:color w:val="1D4478"/>
                <w:sz w:val="21"/>
              </w:rPr>
              <w:t>6</w:t>
            </w:r>
          </w:p>
        </w:tc>
        <w:tc>
          <w:tcPr>
            <w:tcW w:w="2340" w:type="dxa"/>
            <w:vMerge w:val="restar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9C383E1" w14:textId="77777777" w:rsidR="00642962" w:rsidRPr="00576858" w:rsidRDefault="00000000" w:rsidP="001A445E">
            <w:pPr>
              <w:spacing w:after="0" w:line="252" w:lineRule="auto"/>
              <w:rPr>
                <w:lang w:val="es-CL"/>
              </w:rPr>
            </w:pPr>
            <w:r w:rsidRPr="00576858">
              <w:rPr>
                <w:rFonts w:cs="Calibri"/>
                <w:b/>
                <w:color w:val="009FDB"/>
                <w:sz w:val="17"/>
                <w:lang w:val="es-CL"/>
              </w:rPr>
              <w:t>RESULTADO</w:t>
            </w:r>
          </w:p>
          <w:p w14:paraId="2CA71566" w14:textId="77777777" w:rsidR="00642962" w:rsidRPr="00576858" w:rsidRDefault="00000000" w:rsidP="001A445E">
            <w:pPr>
              <w:spacing w:before="20" w:after="0"/>
              <w:rPr>
                <w:lang w:val="es-CL"/>
              </w:rPr>
            </w:pPr>
            <w:r w:rsidRPr="00576858">
              <w:rPr>
                <w:rFonts w:cs="Calibri"/>
                <w:b/>
                <w:color w:val="1D4478"/>
                <w:sz w:val="21"/>
                <w:lang w:val="es-CL"/>
              </w:rPr>
              <w:t>Arquitectura y plan del Incremento 1</w:t>
            </w:r>
          </w:p>
        </w:tc>
        <w:tc>
          <w:tcPr>
            <w:tcW w:w="2340" w:type="dxa"/>
            <w:vMerge w:val="restar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0ECA88C" w14:textId="77777777" w:rsidR="00642962" w:rsidRPr="00576858" w:rsidRDefault="00000000" w:rsidP="001A445E">
            <w:pPr>
              <w:spacing w:after="0" w:line="252" w:lineRule="auto"/>
              <w:rPr>
                <w:lang w:val="es-CL"/>
              </w:rPr>
            </w:pPr>
            <w:r w:rsidRPr="00576858">
              <w:rPr>
                <w:rFonts w:cs="Calibri"/>
                <w:b/>
                <w:color w:val="009FDB"/>
                <w:sz w:val="17"/>
                <w:lang w:val="es-CL"/>
              </w:rPr>
              <w:t>ENTRADA</w:t>
            </w:r>
          </w:p>
          <w:p w14:paraId="320AC912" w14:textId="77777777" w:rsidR="00642962" w:rsidRPr="00576858" w:rsidRDefault="00000000" w:rsidP="001A445E">
            <w:pPr>
              <w:spacing w:before="20" w:after="0"/>
              <w:rPr>
                <w:lang w:val="es-CL"/>
              </w:rPr>
            </w:pPr>
            <w:r w:rsidRPr="00576858">
              <w:rPr>
                <w:rFonts w:cs="Calibri"/>
                <w:b/>
                <w:color w:val="1D4478"/>
                <w:sz w:val="21"/>
                <w:lang w:val="es-CL"/>
              </w:rPr>
              <w:t>Primera demostración y defensa</w:t>
            </w:r>
          </w:p>
        </w:tc>
        <w:tc>
          <w:tcPr>
            <w:tcW w:w="2340" w:type="dxa"/>
            <w:vMerge w:val="restar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2D07295" w14:textId="77777777" w:rsidR="00642962" w:rsidRDefault="00000000" w:rsidP="001A445E">
            <w:pPr>
              <w:spacing w:after="0" w:line="252" w:lineRule="auto"/>
            </w:pPr>
            <w:r>
              <w:rPr>
                <w:rFonts w:cs="Calibri"/>
                <w:b/>
                <w:color w:val="009FDB"/>
                <w:sz w:val="17"/>
              </w:rPr>
              <w:t>DEFENSA</w:t>
            </w:r>
          </w:p>
          <w:p w14:paraId="71C89D0F" w14:textId="77777777" w:rsidR="00642962" w:rsidRDefault="00000000" w:rsidP="001A445E">
            <w:pPr>
              <w:spacing w:before="20" w:after="0"/>
            </w:pPr>
            <w:r>
              <w:rPr>
                <w:rFonts w:cs="Calibri"/>
                <w:b/>
                <w:color w:val="1D4478"/>
                <w:sz w:val="21"/>
              </w:rPr>
              <w:t>Semana 10</w:t>
            </w:r>
          </w:p>
        </w:tc>
      </w:tr>
      <w:tr w:rsidR="00642962" w14:paraId="168018B5" w14:textId="77777777" w:rsidTr="001A445E">
        <w:trPr>
          <w:cantSplit/>
          <w:trHeight w:val="456"/>
          <w:jc w:val="center"/>
        </w:trPr>
        <w:tc>
          <w:tcPr>
            <w:tcW w:w="1440" w:type="dxa"/>
            <w:vMerge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6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942174F" w14:textId="77777777" w:rsidR="00642962" w:rsidRDefault="00642962" w:rsidP="001A445E"/>
        </w:tc>
        <w:tc>
          <w:tcPr>
            <w:tcW w:w="3312" w:type="dxa"/>
            <w:vMerge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6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8500FA" w14:textId="77777777" w:rsidR="00642962" w:rsidRDefault="00642962" w:rsidP="001A445E"/>
        </w:tc>
        <w:tc>
          <w:tcPr>
            <w:tcW w:w="3168" w:type="dxa"/>
            <w:vMerge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6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83310B" w14:textId="77777777" w:rsidR="00642962" w:rsidRDefault="00642962" w:rsidP="001A445E"/>
        </w:tc>
        <w:tc>
          <w:tcPr>
            <w:tcW w:w="1728" w:type="dxa"/>
            <w:vMerge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6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FD2BA5" w14:textId="77777777" w:rsidR="00642962" w:rsidRDefault="00642962" w:rsidP="001A445E"/>
        </w:tc>
      </w:tr>
    </w:tbl>
    <w:p w14:paraId="4B40A155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2" w:space="0" w:color="12365F"/>
          <w:left w:val="single" w:sz="2" w:space="0" w:color="12365F"/>
          <w:bottom w:val="single" w:sz="2" w:space="0" w:color="12365F"/>
          <w:right w:val="single" w:sz="2" w:space="0" w:color="12365F"/>
          <w:insideH w:val="single" w:sz="2" w:space="0" w:color="12365F"/>
          <w:insideV w:val="single" w:sz="2" w:space="0" w:color="12365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2D7572F2" w14:textId="77777777">
        <w:tc>
          <w:tcPr>
            <w:tcW w:w="9360" w:type="dxa"/>
            <w:shd w:val="clear" w:color="auto" w:fill="1236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7A21F5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009FDB"/>
                <w:lang w:val="es-CL"/>
              </w:rPr>
              <w:t xml:space="preserve">Pregunta rectora: </w:t>
            </w:r>
            <w:r w:rsidRPr="00576858">
              <w:rPr>
                <w:rFonts w:cs="Calibri"/>
                <w:b/>
                <w:color w:val="FFFFFF"/>
                <w:lang w:val="es-CL"/>
              </w:rPr>
              <w:t>¿Qué debe cambiar en el producto y en la forma de construirlo después de la primera defensa?</w:t>
            </w:r>
          </w:p>
        </w:tc>
      </w:tr>
    </w:tbl>
    <w:p w14:paraId="0DC77792" w14:textId="77777777" w:rsidR="00642962" w:rsidRPr="00576858" w:rsidRDefault="00000000" w:rsidP="00576858">
      <w:pPr>
        <w:jc w:val="both"/>
        <w:rPr>
          <w:lang w:val="es-CL"/>
        </w:rPr>
      </w:pPr>
      <w:r w:rsidRPr="00576858">
        <w:rPr>
          <w:rFonts w:cs="Calibri"/>
          <w:lang w:val="es-CL"/>
        </w:rPr>
        <w:br w:type="page"/>
      </w:r>
    </w:p>
    <w:p w14:paraId="3842E4B8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lastRenderedPageBreak/>
        <w:t>1. Propósito y resultados esperados</w:t>
      </w:r>
    </w:p>
    <w:p w14:paraId="794D4806" w14:textId="77777777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La Semana 6 transforma la retroalimentación de la primera defensa en un objetivo de incremento, una arquitectura suficiente para construirlo y un plan verificable para las semanas 7 a 9.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42962" w14:paraId="56ABEAE3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D0FE9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Elemento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C3129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Definición de trabajo</w:t>
            </w:r>
          </w:p>
        </w:tc>
      </w:tr>
      <w:tr w:rsidR="00642962" w:rsidRPr="00576858" w14:paraId="7780E4AF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5EF8B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Aprender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790351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20"/>
                <w:lang w:val="es-CL"/>
              </w:rPr>
              <w:t>Convertir observaciones de la defensa en decisiones y acciones trazables.</w:t>
            </w:r>
          </w:p>
        </w:tc>
      </w:tr>
      <w:tr w:rsidR="00642962" w:rsidRPr="00576858" w14:paraId="3CBB4878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D1F880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sz w:val="20"/>
              </w:rPr>
              <w:t>Enfocar</w:t>
            </w:r>
            <w:proofErr w:type="spellEnd"/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3718B2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20"/>
                <w:lang w:val="es-CL"/>
              </w:rPr>
              <w:t>Definir el resultado, la hipótesis de valor, el flujo prioritario y los límites.</w:t>
            </w:r>
          </w:p>
        </w:tc>
      </w:tr>
      <w:tr w:rsidR="00642962" w:rsidRPr="00576858" w14:paraId="15A2E73E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D7FB55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sz w:val="20"/>
              </w:rPr>
              <w:t>Diseñar</w:t>
            </w:r>
            <w:proofErr w:type="spellEnd"/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D1E09E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20"/>
                <w:lang w:val="es-CL"/>
              </w:rPr>
              <w:t>Asignar responsabilidades a componentes, contratos y datos según drivers reales.</w:t>
            </w:r>
          </w:p>
        </w:tc>
      </w:tr>
      <w:tr w:rsidR="00642962" w:rsidRPr="00576858" w14:paraId="7A4A67CA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8DE0D5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sz w:val="20"/>
              </w:rPr>
              <w:t>Planificar</w:t>
            </w:r>
            <w:proofErr w:type="spellEnd"/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F724C5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20"/>
                <w:lang w:val="es-CL"/>
              </w:rPr>
              <w:t xml:space="preserve">Ordenar </w:t>
            </w:r>
            <w:proofErr w:type="spellStart"/>
            <w:r w:rsidRPr="00576858">
              <w:rPr>
                <w:rFonts w:cs="Calibri"/>
                <w:sz w:val="20"/>
                <w:lang w:val="es-CL"/>
              </w:rPr>
              <w:t>PBIs</w:t>
            </w:r>
            <w:proofErr w:type="spellEnd"/>
            <w:r w:rsidRPr="00576858">
              <w:rPr>
                <w:rFonts w:cs="Calibri"/>
                <w:sz w:val="20"/>
                <w:lang w:val="es-CL"/>
              </w:rPr>
              <w:t xml:space="preserve">, riesgos, </w:t>
            </w:r>
            <w:proofErr w:type="spellStart"/>
            <w:r w:rsidRPr="00576858">
              <w:rPr>
                <w:rFonts w:cs="Calibri"/>
                <w:sz w:val="20"/>
                <w:lang w:val="es-CL"/>
              </w:rPr>
              <w:t>spikes</w:t>
            </w:r>
            <w:proofErr w:type="spellEnd"/>
            <w:r w:rsidRPr="00576858">
              <w:rPr>
                <w:rFonts w:cs="Calibri"/>
                <w:sz w:val="20"/>
                <w:lang w:val="es-CL"/>
              </w:rPr>
              <w:t>, revisiones y evidencia para las semanas 7 a 9.</w:t>
            </w:r>
          </w:p>
        </w:tc>
      </w:tr>
    </w:tbl>
    <w:p w14:paraId="137CA280" w14:textId="77777777" w:rsidR="00642962" w:rsidRPr="00576858" w:rsidRDefault="00642962" w:rsidP="00576858">
      <w:pPr>
        <w:spacing w:after="40"/>
        <w:jc w:val="both"/>
        <w:rPr>
          <w:lang w:val="es-CL"/>
        </w:rPr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63510D12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72D48E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EV-03 → PBI-02 → DA-04 → ADR-02 → AC-CON-01: la incertidumbre sobre la espera conduce a una reserva verificable y a una decisión de concurrencia.</w:t>
            </w:r>
          </w:p>
        </w:tc>
      </w:tr>
    </w:tbl>
    <w:p w14:paraId="376F624D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2. Retroalimentación de la primera defensa</w:t>
      </w:r>
    </w:p>
    <w:p w14:paraId="471AF9FD" w14:textId="6DC7DA3A" w:rsidR="00642962" w:rsidRPr="00653896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Registr</w:t>
      </w:r>
      <w:r w:rsidR="00653896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hechos observables. Después identifi</w:t>
      </w:r>
      <w:r w:rsidR="00653896">
        <w:rPr>
          <w:rFonts w:cs="Calibri"/>
          <w:lang w:val="es-CL"/>
        </w:rPr>
        <w:t>car</w:t>
      </w:r>
      <w:r w:rsidRPr="00576858">
        <w:rPr>
          <w:rFonts w:cs="Calibri"/>
          <w:lang w:val="es-CL"/>
        </w:rPr>
        <w:t xml:space="preserve"> su impacto y el artefacto que debe cambiar. </w:t>
      </w:r>
      <w:r w:rsidRPr="00653896">
        <w:rPr>
          <w:rFonts w:cs="Calibri"/>
          <w:lang w:val="es-CL"/>
        </w:rPr>
        <w:t>Evit</w:t>
      </w:r>
      <w:r w:rsidR="00653896">
        <w:rPr>
          <w:rFonts w:cs="Calibri"/>
          <w:lang w:val="es-CL"/>
        </w:rPr>
        <w:t>ar</w:t>
      </w:r>
      <w:r w:rsidRPr="00653896">
        <w:rPr>
          <w:rFonts w:cs="Calibri"/>
          <w:lang w:val="es-CL"/>
        </w:rPr>
        <w:t xml:space="preserve"> soluciones generales como “mejorar la aplicación”.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962" w14:paraId="2A352A17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F54CD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914CC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Categoría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3AB67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Observación verificable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770D6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Impacto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4B2E1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Decisión o acción</w:t>
            </w:r>
          </w:p>
        </w:tc>
      </w:tr>
      <w:tr w:rsidR="00642962" w14:paraId="27C2011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9C6B2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C6A25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4F874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673A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90CAD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3C2B7F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B042D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01257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08487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D1A4A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A73C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5DD3BD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192B5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A09EE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FD6FF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BC50D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75E4F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2742CCD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4E2AE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CFF04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4194E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FA5C3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AFFB2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16E77B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B99E3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66CD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BAEA1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B3811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6B6E2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7A480FC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F33FE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E7895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8D913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085F5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3F6D1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3992F13B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2A2BCDDC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3D4278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“El sistema se ve confuso” todavía no es suficiente. “No se distingue si la carga está vigente” permite actualizar aceptación y diseño.</w:t>
            </w:r>
          </w:p>
        </w:tc>
      </w:tr>
    </w:tbl>
    <w:p w14:paraId="6D8549B6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3. Retrospectiva del equipo</w:t>
      </w:r>
    </w:p>
    <w:p w14:paraId="2D69AE53" w14:textId="484420D1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Anali</w:t>
      </w:r>
      <w:r w:rsidR="00653896">
        <w:rPr>
          <w:rFonts w:cs="Calibri"/>
          <w:lang w:val="es-CL"/>
        </w:rPr>
        <w:t>zar</w:t>
      </w:r>
      <w:r w:rsidRPr="00576858">
        <w:rPr>
          <w:rFonts w:cs="Calibri"/>
          <w:lang w:val="es-CL"/>
        </w:rPr>
        <w:t xml:space="preserve"> prácticas, no personas. Cada cambio debe tener responsable, plazo y una evidencia que permita comprobarlo.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2AC24321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516C8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Tipo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BCA69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Práctica o problema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4F05B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Acción verificable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9BB6D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Responsable y fecha</w:t>
            </w:r>
          </w:p>
        </w:tc>
      </w:tr>
      <w:tr w:rsidR="00642962" w14:paraId="719B2657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96077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7"/>
              </w:rPr>
              <w:t>Mantener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A9D6E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A5E78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B02C2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1A3C409A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1AC4B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7"/>
              </w:rPr>
              <w:t>Corregir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F8F2D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89574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E646F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7390EF84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871E8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7"/>
              </w:rPr>
              <w:t>Detener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A9E41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9F82F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713F2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7A23B73D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41A32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7"/>
              </w:rPr>
              <w:lastRenderedPageBreak/>
              <w:t>Comenzar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1DB18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2FE95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16DCD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47399EC3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11ECE6A4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8C8592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“Mejorar comunicación” no basta. “Todo PR debe recibir revisión de otra persona antes de integrar” puede verificarse.</w:t>
            </w:r>
          </w:p>
        </w:tc>
      </w:tr>
    </w:tbl>
    <w:p w14:paraId="4858E8AF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4. Objetivo del Incremento Funcional 1</w:t>
      </w:r>
    </w:p>
    <w:p w14:paraId="15E369E1" w14:textId="12004A09" w:rsidR="00642962" w:rsidRDefault="00000000" w:rsidP="00576858">
      <w:pPr>
        <w:keepNext/>
        <w:spacing w:line="269" w:lineRule="auto"/>
        <w:jc w:val="both"/>
      </w:pPr>
      <w:r w:rsidRPr="00576858">
        <w:rPr>
          <w:rFonts w:cs="Calibri"/>
          <w:lang w:val="es-CL"/>
        </w:rPr>
        <w:t xml:space="preserve">El objetivo debe describir quién completa qué resultado, dentro de qué límite y con qué evidencia. </w:t>
      </w:r>
      <w:r>
        <w:rPr>
          <w:rFonts w:cs="Calibri"/>
        </w:rPr>
        <w:t xml:space="preserve">No </w:t>
      </w:r>
      <w:proofErr w:type="spellStart"/>
      <w:r>
        <w:rPr>
          <w:rFonts w:cs="Calibri"/>
        </w:rPr>
        <w:t>enumer</w:t>
      </w:r>
      <w:r w:rsidR="00653896">
        <w:rPr>
          <w:rFonts w:cs="Calibri"/>
        </w:rPr>
        <w:t>ar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componentes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técnicos</w:t>
      </w:r>
      <w:proofErr w:type="spellEnd"/>
      <w:r>
        <w:rPr>
          <w:rFonts w:cs="Calibri"/>
        </w:rPr>
        <w:t>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42962" w14:paraId="2FEF4BCE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618A3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Elemento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006A0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Definición</w:t>
            </w:r>
          </w:p>
        </w:tc>
      </w:tr>
      <w:tr w:rsidR="00642962" w14:paraId="4A03F368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3BF47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Usuario y contexto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1DDF1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7C2C0F2F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9DC14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Resultado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0BF11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70BB3F15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4F818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Límite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7ECF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32A53B3C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700A0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Evidencia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3DA30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</w:tbl>
    <w:p w14:paraId="07DE3CE6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005B9413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D2FDB2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Objetivo integrado: permitir que un estudiante elija una franja disponible y reciba confirmación verificable usando datos simulados.</w:t>
            </w:r>
          </w:p>
        </w:tc>
      </w:tr>
    </w:tbl>
    <w:p w14:paraId="544C3A80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5. Hipótesis de valor y señal de éxito</w:t>
      </w:r>
    </w:p>
    <w:p w14:paraId="0B6D10AE" w14:textId="4FE84049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Formul</w:t>
      </w:r>
      <w:r w:rsidR="00653896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una relación que pueda ser refutada. La señal debe permitir mantener, modificar o descartar una decisión.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0BF10B78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258C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ID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86017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Hipótesis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F2B82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Señal observable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8F710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Decisión según resultado</w:t>
            </w:r>
          </w:p>
        </w:tc>
      </w:tr>
      <w:tr w:rsidR="00642962" w14:paraId="15052F02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51A4D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2E2A1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12A27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EF290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7D783D48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E92E2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9D550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2ED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E81B9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08D3FEE7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72EC1F23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E68E41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Que las pruebas pasen verifica comportamiento. Observar si las personas eligen una franja valida la hipótesis de producto.</w:t>
            </w:r>
          </w:p>
        </w:tc>
      </w:tr>
    </w:tbl>
    <w:p w14:paraId="67738583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6. Alcance y flujo prioritario</w:t>
      </w:r>
    </w:p>
    <w:p w14:paraId="55D5DFE9" w14:textId="058E366B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Prote</w:t>
      </w:r>
      <w:r w:rsidR="00653896">
        <w:rPr>
          <w:rFonts w:cs="Calibri"/>
          <w:lang w:val="es-CL"/>
        </w:rPr>
        <w:t>ger</w:t>
      </w:r>
      <w:r w:rsidRPr="00576858">
        <w:rPr>
          <w:rFonts w:cs="Calibri"/>
          <w:lang w:val="es-CL"/>
        </w:rPr>
        <w:t xml:space="preserve"> el objetivo mediante límites explícitos. Después describ</w:t>
      </w:r>
      <w:r w:rsidR="00653896">
        <w:rPr>
          <w:rFonts w:cs="Calibri"/>
          <w:lang w:val="es-CL"/>
        </w:rPr>
        <w:t>ir</w:t>
      </w:r>
      <w:r w:rsidRPr="00576858">
        <w:rPr>
          <w:rFonts w:cs="Calibri"/>
          <w:lang w:val="es-CL"/>
        </w:rPr>
        <w:t xml:space="preserve"> el flujo y sus desvíos prioritarios.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962" w14:paraId="093B3272" w14:textId="77777777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FBC803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b/>
                <w:color w:val="1D4478"/>
                <w:sz w:val="19"/>
              </w:rPr>
              <w:t>Categoría</w:t>
            </w:r>
            <w:proofErr w:type="spellEnd"/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34D0D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Capacidades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3B9E7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Justificación</w:t>
            </w:r>
          </w:p>
        </w:tc>
      </w:tr>
      <w:tr w:rsidR="00642962" w14:paraId="70948909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AF28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Incluye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06872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>Escriba aquí...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7B846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>Escriba aquí...</w:t>
            </w:r>
          </w:p>
        </w:tc>
      </w:tr>
      <w:tr w:rsidR="00642962" w14:paraId="570ECF96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5A221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Posterga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D9D37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>Escriba aquí...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93898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>Escriba aquí...</w:t>
            </w:r>
          </w:p>
        </w:tc>
      </w:tr>
      <w:tr w:rsidR="00642962" w14:paraId="6D4410BD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3E906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Excluye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3669E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>Escriba aquí...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899C7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>Escriba aquí...</w:t>
            </w:r>
          </w:p>
        </w:tc>
      </w:tr>
    </w:tbl>
    <w:p w14:paraId="67431380" w14:textId="77777777" w:rsidR="00642962" w:rsidRDefault="00642962" w:rsidP="00576858">
      <w:pPr>
        <w:spacing w:after="40"/>
        <w:jc w:val="both"/>
      </w:pP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26B48264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50049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lastRenderedPageBreak/>
              <w:t>ID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CE098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Tipo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512C2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Recorrido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16D9F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Resultado observable</w:t>
            </w:r>
          </w:p>
        </w:tc>
      </w:tr>
      <w:tr w:rsidR="00642962" w14:paraId="5AB7451C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FB0FD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9C93D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DF563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FBA36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7EE5C499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E3211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7976A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CAA65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5C02D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7335DF36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B4214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6CCE9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3E937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ABBB1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0F154E97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C103B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B963D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391F6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759D0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3F74C0CF" w14:textId="77777777" w:rsidR="00642962" w:rsidRDefault="00642962" w:rsidP="00576858">
      <w:pPr>
        <w:spacing w:after="40"/>
        <w:jc w:val="both"/>
      </w:pPr>
    </w:p>
    <w:p w14:paraId="7D15A9C0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t>7. Refinamiento del Product Backlog</w:t>
      </w:r>
    </w:p>
    <w:p w14:paraId="431E21D0" w14:textId="0B797C06" w:rsidR="00642962" w:rsidRPr="00653896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Actuali</w:t>
      </w:r>
      <w:r w:rsidR="00653896">
        <w:rPr>
          <w:rFonts w:cs="Calibri"/>
          <w:lang w:val="es-CL"/>
        </w:rPr>
        <w:t>zar</w:t>
      </w:r>
      <w:r w:rsidRPr="00576858">
        <w:rPr>
          <w:rFonts w:cs="Calibri"/>
          <w:lang w:val="es-CL"/>
        </w:rPr>
        <w:t xml:space="preserve"> el backlog según valor, aprendizaje, riesgo y dependencia. </w:t>
      </w:r>
      <w:r w:rsidRPr="00653896">
        <w:rPr>
          <w:rFonts w:cs="Calibri"/>
          <w:lang w:val="es-CL"/>
        </w:rPr>
        <w:t>Un cambio justificado demuestra aprendizaje.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962" w14:paraId="1DF22A2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03F42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Orden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BAD3A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56E38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Resultado del ítem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63391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Justificación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91DDA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Tamaño</w:t>
            </w:r>
          </w:p>
        </w:tc>
      </w:tr>
      <w:tr w:rsidR="00642962" w14:paraId="69DB275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4756F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FD17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73A1C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11A66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28D0B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1D09577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81E77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98868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6EF1B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3CDF1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48343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4AD04F5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6E20F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F3734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9B4D6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F6437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87D3A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57E8BFE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809EF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6016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45FDE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AF2F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B6E7D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79C29DF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15EAF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E4B3F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D9E71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82888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BCD84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3645178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3416E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60737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3A6F4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CACDF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4CE6F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13A362D1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2E70E1F3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12B32E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 xml:space="preserve">Las tareas “crear tabla” y “crear </w:t>
            </w:r>
            <w:proofErr w:type="spellStart"/>
            <w:r w:rsidRPr="00576858">
              <w:rPr>
                <w:rFonts w:cs="Calibri"/>
                <w:sz w:val="21"/>
                <w:lang w:val="es-CL"/>
              </w:rPr>
              <w:t>endpoint</w:t>
            </w:r>
            <w:proofErr w:type="spellEnd"/>
            <w:r w:rsidRPr="00576858">
              <w:rPr>
                <w:rFonts w:cs="Calibri"/>
                <w:sz w:val="21"/>
                <w:lang w:val="es-CL"/>
              </w:rPr>
              <w:t>” quedan dentro de PBI-02; no reemplazan el resultado vertical.</w:t>
            </w:r>
          </w:p>
        </w:tc>
      </w:tr>
    </w:tbl>
    <w:p w14:paraId="3B98F308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8. Criterios de aceptación actualizados</w:t>
      </w:r>
    </w:p>
    <w:p w14:paraId="75B045E1" w14:textId="527FBAB1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Inclu</w:t>
      </w:r>
      <w:r w:rsidR="00653896">
        <w:rPr>
          <w:rFonts w:cs="Calibri"/>
          <w:lang w:val="es-CL"/>
        </w:rPr>
        <w:t>ir</w:t>
      </w:r>
      <w:r w:rsidRPr="00576858">
        <w:rPr>
          <w:rFonts w:cs="Calibri"/>
          <w:lang w:val="es-CL"/>
        </w:rPr>
        <w:t xml:space="preserve"> recorridos normales, alternativos y de error. Un tercero debe poder decidir si cada criterio pasa o falla.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962" w14:paraId="38F64090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75CFF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B8CB2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Tipo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5600B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Dado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654D4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Cuando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51B76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Entonces</w:t>
            </w:r>
          </w:p>
        </w:tc>
      </w:tr>
      <w:tr w:rsidR="00642962" w14:paraId="29D898C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17B33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44570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CC351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1C682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D462A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2F4F33C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68C4B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4F2E1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A9112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03363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42E4C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F0C97F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824DC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EFC2F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180DA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D0538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211AC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6AF34F3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2D97A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1F7D6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1A474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2C986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DF70B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7FA0DDC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3359D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0B151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34770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C754C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0C658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1DB7CAF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6A5D9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961CF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E2DE4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76A88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2D2A2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2EF2AF5D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05466561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3E54C2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En AC-CON-01 se comprueba tanto la respuesta como la cantidad de reservas y el cupo final.</w:t>
            </w:r>
          </w:p>
        </w:tc>
      </w:tr>
    </w:tbl>
    <w:p w14:paraId="78ABF7FA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lastRenderedPageBreak/>
        <w:t>9. Drivers arquitectónicos</w:t>
      </w:r>
    </w:p>
    <w:p w14:paraId="7855256E" w14:textId="45F79415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Seleccion</w:t>
      </w:r>
      <w:r w:rsidR="00D874A2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los flujos, atributos, restricciones y riesgos que realmente condicionan la arquitectura del incremento.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502355BD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89F7A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ID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EEA3E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Tipo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128D7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Driver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CAD39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Consecuencia arquitectónica</w:t>
            </w:r>
          </w:p>
        </w:tc>
      </w:tr>
      <w:tr w:rsidR="00642962" w14:paraId="4F7CE15A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9D1B5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2F814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7E2C3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73547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42385D0D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DE1E6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410DB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7029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EB12A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38490782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568C4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50170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90008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6FCE4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2EB6CC14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B1CE6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48CC4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D12E0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DFE73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239CC81F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BFE89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4AD41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B6DA5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E2CB4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616A8756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B60DA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358E1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98CF7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5BCA3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4ED6CDC6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3BC1960E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A11579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 xml:space="preserve">DA-04 justifica ADR-02 y AC-CON-01; si no dejara huella, no sería un </w:t>
            </w:r>
            <w:proofErr w:type="gramStart"/>
            <w:r w:rsidRPr="00576858">
              <w:rPr>
                <w:rFonts w:cs="Calibri"/>
                <w:sz w:val="21"/>
                <w:lang w:val="es-CL"/>
              </w:rPr>
              <w:t>driver</w:t>
            </w:r>
            <w:proofErr w:type="gramEnd"/>
            <w:r w:rsidRPr="00576858">
              <w:rPr>
                <w:rFonts w:cs="Calibri"/>
                <w:sz w:val="21"/>
                <w:lang w:val="es-CL"/>
              </w:rPr>
              <w:t xml:space="preserve"> real.</w:t>
            </w:r>
          </w:p>
        </w:tc>
      </w:tr>
    </w:tbl>
    <w:p w14:paraId="0CA65B6D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10. Contexto del sistema</w:t>
      </w:r>
    </w:p>
    <w:p w14:paraId="650E0AE2" w14:textId="5232CABA" w:rsidR="00642962" w:rsidRPr="00415982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Identifi</w:t>
      </w:r>
      <w:r w:rsidR="00415982">
        <w:rPr>
          <w:rFonts w:cs="Calibri"/>
          <w:lang w:val="es-CL"/>
        </w:rPr>
        <w:t>car</w:t>
      </w:r>
      <w:r w:rsidRPr="00576858">
        <w:rPr>
          <w:rFonts w:cs="Calibri"/>
          <w:lang w:val="es-CL"/>
        </w:rPr>
        <w:t xml:space="preserve"> personas, sistemas externos, interacción y condición de alcance. </w:t>
      </w:r>
      <w:r w:rsidRPr="00415982">
        <w:rPr>
          <w:rFonts w:cs="Calibri"/>
          <w:lang w:val="es-CL"/>
        </w:rPr>
        <w:t>Insert</w:t>
      </w:r>
      <w:r w:rsidR="00415982">
        <w:rPr>
          <w:rFonts w:cs="Calibri"/>
          <w:lang w:val="es-CL"/>
        </w:rPr>
        <w:t>ar</w:t>
      </w:r>
      <w:r w:rsidRPr="00415982">
        <w:rPr>
          <w:rFonts w:cs="Calibri"/>
          <w:lang w:val="es-CL"/>
        </w:rPr>
        <w:t xml:space="preserve"> además un diagrama de contexto legible.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2EB23310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C4795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 xml:space="preserve">Actor o </w:t>
            </w:r>
            <w:proofErr w:type="spellStart"/>
            <w:r>
              <w:rPr>
                <w:rFonts w:cs="Calibri"/>
                <w:b/>
                <w:color w:val="1D4478"/>
                <w:sz w:val="17"/>
              </w:rPr>
              <w:t>sistema</w:t>
            </w:r>
            <w:proofErr w:type="spellEnd"/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6FAE0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Tipo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74684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Interacción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D18A4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Alcance</w:t>
            </w:r>
          </w:p>
        </w:tc>
      </w:tr>
      <w:tr w:rsidR="00642962" w14:paraId="1D42E26C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5DB6E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3F217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F4F3F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3FCA5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410F808A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F5092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6CCE5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33FF9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E25CD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40296E95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C2F3F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1646A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A1ABD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4B41D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4BC62269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841AA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0042C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0F982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4CD64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133019D2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22F93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BEF84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48E64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B7547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375B56CB" w14:textId="77777777" w:rsidR="00642962" w:rsidRDefault="00642962" w:rsidP="00576858">
      <w:pPr>
        <w:spacing w:after="40"/>
        <w:jc w:val="both"/>
      </w:pP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14:paraId="7664B69E" w14:textId="77777777">
        <w:trPr>
          <w:cantSplit/>
          <w:tblHeader/>
          <w:jc w:val="center"/>
        </w:trPr>
        <w:tc>
          <w:tcPr>
            <w:tcW w:w="93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1D8AD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Diagrama de contexto</w:t>
            </w:r>
          </w:p>
        </w:tc>
      </w:tr>
      <w:tr w:rsidR="00642962" w:rsidRPr="00576858" w14:paraId="001A615A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BEBB0B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i/>
                <w:sz w:val="20"/>
                <w:lang w:val="es-CL"/>
              </w:rPr>
              <w:t>Inserte aquí el diagrama de contexto.</w:t>
            </w:r>
          </w:p>
        </w:tc>
      </w:tr>
    </w:tbl>
    <w:p w14:paraId="0F1570B2" w14:textId="77777777" w:rsidR="00642962" w:rsidRPr="00576858" w:rsidRDefault="00642962" w:rsidP="00576858">
      <w:pPr>
        <w:spacing w:after="40"/>
        <w:jc w:val="both"/>
        <w:rPr>
          <w:lang w:val="es-CL"/>
        </w:rPr>
      </w:pPr>
    </w:p>
    <w:p w14:paraId="44911C94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11. Contenedores y responsabilidades</w:t>
      </w:r>
    </w:p>
    <w:p w14:paraId="0E023FA7" w14:textId="2B1E25D0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Describ</w:t>
      </w:r>
      <w:r w:rsidR="00AF325C">
        <w:rPr>
          <w:rFonts w:cs="Calibri"/>
          <w:lang w:val="es-CL"/>
        </w:rPr>
        <w:t>ir</w:t>
      </w:r>
      <w:r w:rsidRPr="00576858">
        <w:rPr>
          <w:rFonts w:cs="Calibri"/>
          <w:lang w:val="es-CL"/>
        </w:rPr>
        <w:t xml:space="preserve"> cada aplicación o servicio ejecutable mediante su responsabilidad dominante, tecnología y relaciones.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5984488D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50A637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b/>
                <w:color w:val="1D4478"/>
                <w:sz w:val="17"/>
              </w:rPr>
              <w:t>Contenedor</w:t>
            </w:r>
            <w:proofErr w:type="spellEnd"/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05367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Tipo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074CB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Responsabilidad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161DD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Se relaciona con</w:t>
            </w:r>
          </w:p>
        </w:tc>
      </w:tr>
      <w:tr w:rsidR="00642962" w14:paraId="6A03AD44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E03BF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68438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F4382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A6E3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491E2166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1AEFC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6CA81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79403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A0565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33EC6C05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F42A5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07F3E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24277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0B4F4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3797287B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F8DBE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17F4F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1DAAB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2AA8B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2DF5B32B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F8D2C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BAB27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5D9CC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55644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45E74054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15CF4FFC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9BA9D6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La interfaz representa el resultado; la API decide disponibilidad definitiva; PostgreSQL protege integridad.</w:t>
            </w:r>
          </w:p>
        </w:tc>
      </w:tr>
    </w:tbl>
    <w:p w14:paraId="4D3C36D6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12. Componentes y límites internos</w:t>
      </w:r>
    </w:p>
    <w:p w14:paraId="1A1083BD" w14:textId="44202F14" w:rsidR="00642962" w:rsidRPr="00174E4F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Detall</w:t>
      </w:r>
      <w:r w:rsidR="00174E4F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solo componentes relevantes para el flujo o los riesgos principales. </w:t>
      </w:r>
      <w:r w:rsidRPr="00174E4F">
        <w:rPr>
          <w:rFonts w:cs="Calibri"/>
          <w:lang w:val="es-CL"/>
        </w:rPr>
        <w:t>Declar</w:t>
      </w:r>
      <w:r w:rsidR="00174E4F">
        <w:rPr>
          <w:rFonts w:cs="Calibri"/>
          <w:lang w:val="es-CL"/>
        </w:rPr>
        <w:t>ar</w:t>
      </w:r>
      <w:r w:rsidRPr="00174E4F">
        <w:rPr>
          <w:rFonts w:cs="Calibri"/>
          <w:lang w:val="es-CL"/>
        </w:rPr>
        <w:t xml:space="preserve"> qué hace y qué no hace cada uno.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6CD81CFC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9AB4E4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b/>
                <w:color w:val="1D4478"/>
                <w:sz w:val="17"/>
              </w:rPr>
              <w:t>Componente</w:t>
            </w:r>
            <w:proofErr w:type="spellEnd"/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1A506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Contenedor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8AE3B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Responsabilidad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4DF5B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Límite explícito</w:t>
            </w:r>
          </w:p>
        </w:tc>
      </w:tr>
      <w:tr w:rsidR="00642962" w14:paraId="088E88B9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CCFA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1821D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D7614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BC3D7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1F7C6FC0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1FE52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A772C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EBBD3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C707A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7599CEB6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D7DE7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7D1F5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273BD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2FAA0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18ACE4BA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9C20F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A97F8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8DD85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B1AFA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264B723D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CF707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1B4FB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CEE7D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A014D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47ACFD5F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6A5F9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E2A82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59E11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1E2CE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5280F77C" w14:textId="77777777" w:rsidR="00642962" w:rsidRDefault="00642962" w:rsidP="00576858">
      <w:pPr>
        <w:spacing w:after="40"/>
        <w:jc w:val="both"/>
      </w:pPr>
    </w:p>
    <w:p w14:paraId="38A31EF2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t>13. Contratos e interfaces</w:t>
      </w:r>
    </w:p>
    <w:p w14:paraId="64E70E04" w14:textId="5F425AB4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Registr</w:t>
      </w:r>
      <w:r w:rsidR="00174E4F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entradas, salidas y errores observables. Cada respuesta relevante debe enlazarse con aceptación y pruebas.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962" w14:paraId="56CF0B5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11A312" w14:textId="77777777" w:rsidR="00642962" w:rsidRDefault="00000000" w:rsidP="00576858">
            <w:pPr>
              <w:spacing w:after="0" w:line="240" w:lineRule="auto"/>
              <w:jc w:val="both"/>
            </w:pPr>
            <w:proofErr w:type="spellStart"/>
            <w:r>
              <w:rPr>
                <w:rFonts w:cs="Calibri"/>
                <w:b/>
                <w:color w:val="1D4478"/>
                <w:sz w:val="16"/>
              </w:rPr>
              <w:t>Contrato</w:t>
            </w:r>
            <w:proofErr w:type="spellEnd"/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9A76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Entrada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89022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Salida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2447D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Errores controlados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E3F8D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Enlaces</w:t>
            </w:r>
          </w:p>
        </w:tc>
      </w:tr>
      <w:tr w:rsidR="00642962" w14:paraId="7E95917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F2759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955CF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1D7F4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A7813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14A89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7FF1F9B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FB24F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C5757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3915D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09079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7433B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3B6F011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056DF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59900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F62AF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DB184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40224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7B0BBCE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8A85C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3B381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E40D3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DCEE8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B74CD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0C5BD4B9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276719A0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FC842A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El contrato omite identidad y pago porque ambos quedaron excluidos del incremento.</w:t>
            </w:r>
          </w:p>
        </w:tc>
      </w:tr>
    </w:tbl>
    <w:p w14:paraId="394EC4D9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14. Modelo conceptual de datos</w:t>
      </w:r>
    </w:p>
    <w:p w14:paraId="1DE29BBD" w14:textId="54F97AAD" w:rsidR="00642962" w:rsidRDefault="00000000" w:rsidP="00576858">
      <w:pPr>
        <w:keepNext/>
        <w:spacing w:line="269" w:lineRule="auto"/>
        <w:jc w:val="both"/>
      </w:pPr>
      <w:r w:rsidRPr="00576858">
        <w:rPr>
          <w:rFonts w:cs="Calibri"/>
          <w:lang w:val="es-CL"/>
        </w:rPr>
        <w:t>Model</w:t>
      </w:r>
      <w:r w:rsidR="008540DE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entidades, relaciones y restricciones necesarias para el comportamiento comprometido. </w:t>
      </w:r>
      <w:proofErr w:type="spellStart"/>
      <w:r>
        <w:rPr>
          <w:rFonts w:cs="Calibri"/>
        </w:rPr>
        <w:t>Evit</w:t>
      </w:r>
      <w:r w:rsidR="008540DE">
        <w:rPr>
          <w:rFonts w:cs="Calibri"/>
        </w:rPr>
        <w:t>ar</w:t>
      </w:r>
      <w:proofErr w:type="spellEnd"/>
      <w:r>
        <w:rPr>
          <w:rFonts w:cs="Calibri"/>
        </w:rPr>
        <w:t xml:space="preserve"> campos sin </w:t>
      </w:r>
      <w:proofErr w:type="spellStart"/>
      <w:r>
        <w:rPr>
          <w:rFonts w:cs="Calibri"/>
        </w:rPr>
        <w:t>justificación</w:t>
      </w:r>
      <w:proofErr w:type="spellEnd"/>
      <w:r>
        <w:rPr>
          <w:rFonts w:cs="Calibri"/>
        </w:rPr>
        <w:t>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2" w14:paraId="01148DDE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7D728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Entidad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9EBEB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Atributos necesarios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06617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Relaciones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70CD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7"/>
              </w:rPr>
              <w:t>Restricciones</w:t>
            </w:r>
          </w:p>
        </w:tc>
      </w:tr>
      <w:tr w:rsidR="00642962" w14:paraId="23E34A72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93377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C4BF4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EBF33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E0E9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199C86DD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ABADB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34F99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57C5B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4999C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65DA3FE2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EE888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F87E6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15392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3FBA4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30CCF1FE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D1B83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95CEA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25DC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83151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  <w:tr w:rsidR="00642962" w14:paraId="0CD0FE4F" w14:textId="77777777">
        <w:trPr>
          <w:cantSplit/>
          <w:jc w:val="center"/>
        </w:trPr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6C608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C12C2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C6FA8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  <w:tc>
          <w:tcPr>
            <w:tcW w:w="234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86EA2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7"/>
              </w:rPr>
              <w:t>Escriba aquí...</w:t>
            </w:r>
          </w:p>
        </w:tc>
      </w:tr>
    </w:tbl>
    <w:p w14:paraId="48B8DC04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261BB038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DD6294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La prueba concurrente verifica que solo exista una reserva vigente y que la capacidad final sea cero, no negativa.</w:t>
            </w:r>
          </w:p>
        </w:tc>
      </w:tr>
    </w:tbl>
    <w:p w14:paraId="0F440FEA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15. Escenarios de atributos de calidad</w:t>
      </w:r>
    </w:p>
    <w:p w14:paraId="412346FE" w14:textId="68B0B06C" w:rsidR="00642962" w:rsidRDefault="00000000" w:rsidP="00576858">
      <w:pPr>
        <w:keepNext/>
        <w:spacing w:line="269" w:lineRule="auto"/>
        <w:jc w:val="both"/>
      </w:pPr>
      <w:r w:rsidRPr="00576858">
        <w:rPr>
          <w:rFonts w:cs="Calibri"/>
          <w:lang w:val="es-CL"/>
        </w:rPr>
        <w:t xml:space="preserve">Cada escenario debe declarar condición, respuesta y medida reproducible. </w:t>
      </w:r>
      <w:r w:rsidR="001305C7">
        <w:rPr>
          <w:rFonts w:cs="Calibri"/>
          <w:lang w:val="es-CL"/>
        </w:rPr>
        <w:t xml:space="preserve">Solo </w:t>
      </w:r>
      <w:proofErr w:type="spellStart"/>
      <w:r w:rsidR="00E736F6">
        <w:rPr>
          <w:rFonts w:cs="Calibri"/>
        </w:rPr>
        <w:t>s</w:t>
      </w:r>
      <w:r>
        <w:rPr>
          <w:rFonts w:cs="Calibri"/>
        </w:rPr>
        <w:t>eleccion</w:t>
      </w:r>
      <w:r w:rsidR="00E736F6">
        <w:rPr>
          <w:rFonts w:cs="Calibri"/>
        </w:rPr>
        <w:t>ar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atributos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pertinentes</w:t>
      </w:r>
      <w:proofErr w:type="spellEnd"/>
      <w:r>
        <w:rPr>
          <w:rFonts w:cs="Calibri"/>
        </w:rPr>
        <w:t xml:space="preserve"> al </w:t>
      </w:r>
      <w:proofErr w:type="spellStart"/>
      <w:r>
        <w:rPr>
          <w:rFonts w:cs="Calibri"/>
        </w:rPr>
        <w:t>incremento</w:t>
      </w:r>
      <w:proofErr w:type="spellEnd"/>
      <w:r>
        <w:rPr>
          <w:rFonts w:cs="Calibri"/>
        </w:rPr>
        <w:t>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42962" w14:paraId="5AD46116" w14:textId="77777777">
        <w:trPr>
          <w:cantSplit/>
          <w:tblHeader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766F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ID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E5489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Atributo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1F0AF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Condición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F5AFE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Respuesta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6B086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Medida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2DB06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Método</w:t>
            </w:r>
          </w:p>
        </w:tc>
      </w:tr>
      <w:tr w:rsidR="00642962" w14:paraId="65717AAA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9D7FC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3AE52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7510E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16800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3A6E0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9BC21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43FC64E9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7BC03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8922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F75E3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E5379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91B7A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40474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2A47E6F3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B815D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2B833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56D80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AB9EE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FCBE0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128A1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95C674F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73CF4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E35F7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D2F49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FDDE7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4CF32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19945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2FE0A1BD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F400D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D1FCD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DDCD2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140D1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47D10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29C11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57A98D2D" w14:textId="77777777" w:rsidR="00642962" w:rsidRDefault="00642962" w:rsidP="00576858">
      <w:pPr>
        <w:spacing w:after="40"/>
        <w:jc w:val="both"/>
      </w:pPr>
    </w:p>
    <w:p w14:paraId="1E99D60F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t>16. Registro de decisión arquitectónica</w:t>
      </w:r>
    </w:p>
    <w:p w14:paraId="0EB5C7B5" w14:textId="38E1737F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Registr</w:t>
      </w:r>
      <w:r w:rsidR="00E736F6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una decisión con consecuencias relevantes.</w:t>
      </w:r>
      <w:r w:rsidR="001305C7">
        <w:rPr>
          <w:rFonts w:cs="Calibri"/>
          <w:lang w:val="es-CL"/>
        </w:rPr>
        <w:t xml:space="preserve"> I</w:t>
      </w:r>
      <w:r w:rsidRPr="00576858">
        <w:rPr>
          <w:rFonts w:cs="Calibri"/>
          <w:lang w:val="es-CL"/>
        </w:rPr>
        <w:t>nclu</w:t>
      </w:r>
      <w:r w:rsidR="00E736F6">
        <w:rPr>
          <w:rFonts w:cs="Calibri"/>
          <w:lang w:val="es-CL"/>
        </w:rPr>
        <w:t>ir</w:t>
      </w:r>
      <w:r w:rsidRPr="00576858">
        <w:rPr>
          <w:rFonts w:cs="Calibri"/>
          <w:lang w:val="es-CL"/>
        </w:rPr>
        <w:t xml:space="preserve"> alternativas y la condición que justificaría revisarla.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42962" w14:paraId="6BE915F1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BB1E7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Campo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8C2EB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Contenido</w:t>
            </w:r>
          </w:p>
        </w:tc>
      </w:tr>
      <w:tr w:rsidR="00642962" w14:paraId="2E635E8D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FBBB3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ID y estado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4AA9D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5EE90113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2F03D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Contexto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B326E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735B634D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DB31D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Alternativas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13A2D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75A0DA34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D869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Decisión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2063C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290E0757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DFE1F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Consecuencias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ECD0A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658EA64E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3C589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Revisar cuando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1E82D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</w:tbl>
    <w:p w14:paraId="2C8EF89F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77419BDC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E4B006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ADR-02 no afirma que la alternativa sea universalmente mejor; explica por qué resulta adecuada bajo los drivers actuales.</w:t>
            </w:r>
          </w:p>
        </w:tc>
      </w:tr>
    </w:tbl>
    <w:p w14:paraId="2B054447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17. Spike técnico</w:t>
      </w:r>
    </w:p>
    <w:p w14:paraId="04192D4A" w14:textId="1329DFAD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Us</w:t>
      </w:r>
      <w:r w:rsidR="001305C7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un </w:t>
      </w:r>
      <w:proofErr w:type="spellStart"/>
      <w:r w:rsidRPr="00576858">
        <w:rPr>
          <w:rFonts w:cs="Calibri"/>
          <w:lang w:val="es-CL"/>
        </w:rPr>
        <w:t>spike</w:t>
      </w:r>
      <w:proofErr w:type="spellEnd"/>
      <w:r w:rsidRPr="00576858">
        <w:rPr>
          <w:rFonts w:cs="Calibri"/>
          <w:lang w:val="es-CL"/>
        </w:rPr>
        <w:t xml:space="preserve"> cuando la incertidumbre impida decidir o estimar. Limit</w:t>
      </w:r>
      <w:r w:rsidR="00F57AA0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tiempo, alternativas, evidencia y decisión esperada.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42962" w14:paraId="5AAD9801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EB2D0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Campo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2B216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Contenido</w:t>
            </w:r>
          </w:p>
        </w:tc>
      </w:tr>
      <w:tr w:rsidR="00642962" w14:paraId="0912F81C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AD368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ID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12B76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718D6D33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C5102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Pregunta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099B0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10821D73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A341E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lastRenderedPageBreak/>
              <w:t>Límite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24F97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07EAE942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B07D7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Evidencia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CB5E3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442F50A2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034B1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Decisión esperada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63869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  <w:tr w:rsidR="00642962" w14:paraId="437D1327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35216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20"/>
              </w:rPr>
              <w:t>Responsable y fecha</w:t>
            </w:r>
          </w:p>
        </w:tc>
        <w:tc>
          <w:tcPr>
            <w:tcW w:w="468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4F625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20"/>
              </w:rPr>
              <w:t>Escriba aquí...</w:t>
            </w:r>
          </w:p>
        </w:tc>
      </w:tr>
    </w:tbl>
    <w:p w14:paraId="30548DB2" w14:textId="77777777" w:rsidR="00642962" w:rsidRDefault="00642962" w:rsidP="00576858">
      <w:pPr>
        <w:spacing w:after="40"/>
        <w:jc w:val="both"/>
      </w:pPr>
    </w:p>
    <w:p w14:paraId="36CCA6ED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t>18. Riesgos prioritarios</w:t>
      </w:r>
    </w:p>
    <w:p w14:paraId="642CB3F4" w14:textId="23CC1174" w:rsidR="00642962" w:rsidRDefault="00000000" w:rsidP="00576858">
      <w:pPr>
        <w:keepNext/>
        <w:spacing w:line="269" w:lineRule="auto"/>
        <w:jc w:val="both"/>
      </w:pPr>
      <w:r w:rsidRPr="00576858">
        <w:rPr>
          <w:rFonts w:cs="Calibri"/>
          <w:lang w:val="es-CL"/>
        </w:rPr>
        <w:t>Asoci</w:t>
      </w:r>
      <w:r w:rsidR="00F57AA0">
        <w:rPr>
          <w:rFonts w:cs="Calibri"/>
          <w:lang w:val="es-CL"/>
        </w:rPr>
        <w:t>ar</w:t>
      </w:r>
      <w:r w:rsidRPr="00576858">
        <w:rPr>
          <w:rFonts w:cs="Calibri"/>
          <w:lang w:val="es-CL"/>
        </w:rPr>
        <w:t xml:space="preserve"> cada riesgo con una señal, respuesta, responsable y fecha de revisión. </w:t>
      </w:r>
      <w:proofErr w:type="spellStart"/>
      <w:r>
        <w:rPr>
          <w:rFonts w:cs="Calibri"/>
        </w:rPr>
        <w:t>Inclu</w:t>
      </w:r>
      <w:r w:rsidR="00F57AA0">
        <w:rPr>
          <w:rFonts w:cs="Calibri"/>
        </w:rPr>
        <w:t>ir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riesgos</w:t>
      </w:r>
      <w:proofErr w:type="spellEnd"/>
      <w:r>
        <w:rPr>
          <w:rFonts w:cs="Calibri"/>
        </w:rPr>
        <w:t xml:space="preserve"> de </w:t>
      </w:r>
      <w:proofErr w:type="spellStart"/>
      <w:r>
        <w:rPr>
          <w:rFonts w:cs="Calibri"/>
        </w:rPr>
        <w:t>producto</w:t>
      </w:r>
      <w:proofErr w:type="spellEnd"/>
      <w:r>
        <w:rPr>
          <w:rFonts w:cs="Calibri"/>
        </w:rPr>
        <w:t>, técnicos, seguridad y proyecto.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42962" w14:paraId="22369EDE" w14:textId="77777777">
        <w:trPr>
          <w:cantSplit/>
          <w:tblHeader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007A0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ID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55FE9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Tipo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159CF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Riesgo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34421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Nivel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D9592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Respuesta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3F233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Responsable</w:t>
            </w:r>
          </w:p>
        </w:tc>
      </w:tr>
      <w:tr w:rsidR="00642962" w14:paraId="76176396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7972B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333FB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20D3E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6F39F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10614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71780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191F2F7F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545BA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4D717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057FB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01B23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1F22A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803FD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32B118B2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6DDAC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6DD9C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47B16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6EAD9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6519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7528F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17028548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0D286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D3B2B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7AD76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A6D04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920F2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5C750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5B7881D7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BFD8A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E81D3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B4D16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D2CFF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7FEA6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503E7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256C9219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19FA9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AE2E8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3C683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7823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CA54B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20ABD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512D97C2" w14:textId="77777777" w:rsidR="00642962" w:rsidRDefault="00642962" w:rsidP="00576858">
      <w:pPr>
        <w:spacing w:after="40"/>
        <w:jc w:val="both"/>
      </w:pPr>
    </w:p>
    <w:p w14:paraId="5D23BCAD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19. Plan de construcción de las semanas 7 a 9</w:t>
      </w:r>
    </w:p>
    <w:p w14:paraId="3F0A1276" w14:textId="227180E0" w:rsidR="00642962" w:rsidRPr="00576858" w:rsidRDefault="00000000" w:rsidP="00576858">
      <w:pPr>
        <w:keepNext/>
        <w:spacing w:line="269" w:lineRule="auto"/>
        <w:jc w:val="both"/>
        <w:rPr>
          <w:lang w:val="es-CL"/>
        </w:rPr>
      </w:pPr>
      <w:r w:rsidRPr="00576858">
        <w:rPr>
          <w:rFonts w:cs="Calibri"/>
          <w:lang w:val="es-CL"/>
        </w:rPr>
        <w:t>Planifi</w:t>
      </w:r>
      <w:r w:rsidR="00F57AA0">
        <w:rPr>
          <w:rFonts w:cs="Calibri"/>
          <w:lang w:val="es-CL"/>
        </w:rPr>
        <w:t>car</w:t>
      </w:r>
      <w:r w:rsidRPr="00576858">
        <w:rPr>
          <w:rFonts w:cs="Calibri"/>
          <w:lang w:val="es-CL"/>
        </w:rPr>
        <w:t xml:space="preserve"> resultados integrados y evidencia. Cada fila debe indicar responsable de coordinación y persona revisora.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42962" w14:paraId="40F4EE19" w14:textId="77777777">
        <w:trPr>
          <w:cantSplit/>
          <w:tblHeader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731C0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Semana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5EB6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Ítems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24286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Resultado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2FE5B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Evidencia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8D857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Coordina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44E43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Revisa</w:t>
            </w:r>
          </w:p>
        </w:tc>
      </w:tr>
      <w:tr w:rsidR="00642962" w14:paraId="24F335E1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5F0B5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6"/>
              </w:rPr>
              <w:t>7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424B9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5BA56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E5DC7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480FA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8D89F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4573D84E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66CE7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6"/>
              </w:rPr>
              <w:t>8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0B308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52671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49BD5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F18DD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DC60A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029C560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3DFDA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6"/>
              </w:rPr>
              <w:t>9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39D1C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31A9C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4AA25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41B64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5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FB564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5D85B6C9" w14:textId="77777777" w:rsidR="00642962" w:rsidRDefault="00642962" w:rsidP="00576858">
      <w:pPr>
        <w:spacing w:after="40"/>
        <w:jc w:val="both"/>
      </w:pPr>
    </w:p>
    <w:tbl>
      <w:tblPr>
        <w:tblW w:w="0" w:type="auto"/>
        <w:tblBorders>
          <w:top w:val="single" w:sz="3" w:space="0" w:color="F0D998"/>
          <w:left w:val="single" w:sz="3" w:space="0" w:color="F0D998"/>
          <w:bottom w:val="single" w:sz="3" w:space="0" w:color="F0D998"/>
          <w:right w:val="single" w:sz="3" w:space="0" w:color="F0D998"/>
          <w:insideH w:val="single" w:sz="3" w:space="0" w:color="F0D998"/>
          <w:insideV w:val="single" w:sz="3" w:space="0" w:color="F0D99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42962" w:rsidRPr="00576858" w14:paraId="4B21A866" w14:textId="77777777">
        <w:tc>
          <w:tcPr>
            <w:tcW w:w="9360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C21EBA" w14:textId="77777777" w:rsidR="00642962" w:rsidRPr="00576858" w:rsidRDefault="00000000" w:rsidP="00576858">
            <w:pPr>
              <w:spacing w:after="0" w:line="252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Ejemplo </w:t>
            </w:r>
            <w:proofErr w:type="spellStart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>TurnoÁgil</w:t>
            </w:r>
            <w:proofErr w:type="spellEnd"/>
            <w:r w:rsidRPr="00576858">
              <w:rPr>
                <w:rFonts w:cs="Calibri"/>
                <w:b/>
                <w:color w:val="9A6700"/>
                <w:sz w:val="21"/>
                <w:lang w:val="es-CL"/>
              </w:rPr>
              <w:t xml:space="preserve">: </w:t>
            </w:r>
            <w:r w:rsidRPr="00576858">
              <w:rPr>
                <w:rFonts w:cs="Calibri"/>
                <w:sz w:val="21"/>
                <w:lang w:val="es-CL"/>
              </w:rPr>
              <w:t>El plan no separa “frontend Semana 7” y “backend Semana 8”; integra un recorrido pequeño durante la Semana 7.</w:t>
            </w:r>
          </w:p>
        </w:tc>
      </w:tr>
    </w:tbl>
    <w:p w14:paraId="6546415F" w14:textId="77777777" w:rsidR="00642962" w:rsidRPr="00576858" w:rsidRDefault="00000000" w:rsidP="00576858">
      <w:pPr>
        <w:pStyle w:val="Ttulo1"/>
        <w:spacing w:before="240" w:after="100"/>
        <w:jc w:val="both"/>
        <w:rPr>
          <w:lang w:val="es-CL"/>
        </w:rPr>
      </w:pPr>
      <w:r w:rsidRPr="00576858">
        <w:rPr>
          <w:rFonts w:ascii="Calibri" w:hAnsi="Calibri" w:cs="Calibri"/>
          <w:lang w:val="es-CL"/>
        </w:rPr>
        <w:t>20. Revisión cruzada</w:t>
      </w:r>
    </w:p>
    <w:p w14:paraId="5346BE11" w14:textId="1812B69F" w:rsidR="00642962" w:rsidRDefault="00000000" w:rsidP="00576858">
      <w:pPr>
        <w:keepNext/>
        <w:spacing w:line="269" w:lineRule="auto"/>
        <w:jc w:val="both"/>
      </w:pPr>
      <w:r w:rsidRPr="00576858">
        <w:rPr>
          <w:rFonts w:cs="Calibri"/>
          <w:lang w:val="es-CL"/>
        </w:rPr>
        <w:t xml:space="preserve">Otro equipo debe intentar recorrer la trazabilidad y encontrar una decisión, borde o riesgo ausente. </w:t>
      </w:r>
      <w:r>
        <w:rPr>
          <w:rFonts w:cs="Calibri"/>
        </w:rPr>
        <w:t>Registr</w:t>
      </w:r>
      <w:r w:rsidR="00765D57">
        <w:rPr>
          <w:rFonts w:cs="Calibri"/>
        </w:rPr>
        <w:t>ar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observaciones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accionables</w:t>
      </w:r>
      <w:proofErr w:type="spellEnd"/>
      <w:r>
        <w:rPr>
          <w:rFonts w:cs="Calibri"/>
        </w:rPr>
        <w:t>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962" w14:paraId="65CD021F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662D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3BF6E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Prueba aplicada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7BD95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Observación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4E3EF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Artefacto afectado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D176F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Acción</w:t>
            </w:r>
          </w:p>
        </w:tc>
      </w:tr>
      <w:tr w:rsidR="00642962" w14:paraId="1E8D3B3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D741C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03DD1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468F9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0000A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24F9B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5CBB3AE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25CDB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513D9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B5BE5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534D8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D1B93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4142C3D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CFE4D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lastRenderedPageBreak/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8C0BE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B0EB3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3D72F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6FD4C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466D443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5FD80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EEBAD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81A19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210A8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9CB8D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68DDC4F8" w14:textId="77777777" w:rsidR="00642962" w:rsidRDefault="00642962" w:rsidP="00576858">
      <w:pPr>
        <w:spacing w:after="40"/>
        <w:jc w:val="both"/>
      </w:pPr>
    </w:p>
    <w:p w14:paraId="1EDA4EA3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t>21. Bitácora individual</w:t>
      </w:r>
    </w:p>
    <w:p w14:paraId="38079650" w14:textId="77777777" w:rsidR="00642962" w:rsidRDefault="00000000" w:rsidP="00576858">
      <w:pPr>
        <w:keepNext/>
        <w:spacing w:line="269" w:lineRule="auto"/>
        <w:jc w:val="both"/>
      </w:pPr>
      <w:r w:rsidRPr="00576858">
        <w:rPr>
          <w:rFonts w:cs="Calibri"/>
          <w:lang w:val="es-CL"/>
        </w:rPr>
        <w:t xml:space="preserve">Cada integrante registra una contribución significativa, su efecto, la evidencia y lo aprendido. </w:t>
      </w:r>
      <w:r>
        <w:rPr>
          <w:rFonts w:cs="Calibri"/>
        </w:rPr>
        <w:t xml:space="preserve">No se </w:t>
      </w:r>
      <w:proofErr w:type="spellStart"/>
      <w:r>
        <w:rPr>
          <w:rFonts w:cs="Calibri"/>
        </w:rPr>
        <w:t>mide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cantidad</w:t>
      </w:r>
      <w:proofErr w:type="spellEnd"/>
      <w:r>
        <w:rPr>
          <w:rFonts w:cs="Calibri"/>
        </w:rPr>
        <w:t xml:space="preserve"> bruta de commits.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962" w14:paraId="4F2730B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1E3F66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Integrante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72F8B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Contribución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C0AA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Efecto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F071E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Evidencia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4F1D6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6"/>
              </w:rPr>
              <w:t>Aprendizaje</w:t>
            </w:r>
          </w:p>
        </w:tc>
      </w:tr>
      <w:tr w:rsidR="00642962" w14:paraId="0313E3A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84967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8D906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EA71B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19B50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4299D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5B7E119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2749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105BD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9F34E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BE0CF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04214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137C833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7685E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FCE9C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A07957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BCB8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9CF55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  <w:tr w:rsidR="00642962" w14:paraId="04A5AEE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C1A2F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952E4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1E1AA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F0B0D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  <w:tc>
          <w:tcPr>
            <w:tcW w:w="187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BBEDF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6"/>
              </w:rPr>
              <w:t>Escriba aquí...</w:t>
            </w:r>
          </w:p>
        </w:tc>
      </w:tr>
    </w:tbl>
    <w:p w14:paraId="63335291" w14:textId="77777777" w:rsidR="00642962" w:rsidRDefault="00642962" w:rsidP="00576858">
      <w:pPr>
        <w:spacing w:after="40"/>
        <w:jc w:val="both"/>
      </w:pPr>
    </w:p>
    <w:p w14:paraId="42F37A8A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t>Anexo A. Comprobación final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962" w14:paraId="55863878" w14:textId="77777777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B0CF43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Estado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0BE99F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Comprobación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8EEF5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0E600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b/>
                <w:color w:val="1D4478"/>
                <w:sz w:val="19"/>
              </w:rPr>
              <w:t>Ubicación o evidencia</w:t>
            </w:r>
          </w:p>
        </w:tc>
      </w:tr>
      <w:tr w:rsidR="00642962" w14:paraId="50744DD4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312438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473CE8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La retroalimentación de la Semana 5 produjo decisiones y acciones trazables.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F84B7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6E0B5C3D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DA94F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906EBE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El objetivo describe un resultado del usuario y una evidencia observable.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F5214E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678520E4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DE852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A5E4EF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El alcance declara inclusiones, postergaciones y exclusiones justificadas.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4C632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42270598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4BB479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578A81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Existe un flujo prioritario con casos normal, alternativo y de error.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95D2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6BDF6741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0E780D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207C3D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El backlog está refinado y ordenado por valor, aprendizaje, riesgo y dependencia.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4B113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7FCE97C8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891C60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128124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Los drivers justifican contexto, contenedores, componentes, contratos y datos.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F11C12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23E05145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A1CB2B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FBFFAB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Los atributos de calidad poseen escenarios y métodos de verificación.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8C352A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2894B766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9A82B4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952DE7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 xml:space="preserve">Las decisiones o incertidumbres críticas tienen ADR o </w:t>
            </w:r>
            <w:proofErr w:type="spellStart"/>
            <w:r w:rsidRPr="00576858">
              <w:rPr>
                <w:rFonts w:cs="Calibri"/>
                <w:sz w:val="18"/>
                <w:lang w:val="es-CL"/>
              </w:rPr>
              <w:t>spike</w:t>
            </w:r>
            <w:proofErr w:type="spellEnd"/>
            <w:r w:rsidRPr="00576858">
              <w:rPr>
                <w:rFonts w:cs="Calibri"/>
                <w:sz w:val="18"/>
                <w:lang w:val="es-CL"/>
              </w:rPr>
              <w:t>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0EA9C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2D85C942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4C980C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71F5F3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Los riesgos tienen respuesta, responsable y fecha de revisión.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F55335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  <w:tr w:rsidR="00642962" w14:paraId="21AC27A8" w14:textId="77777777">
        <w:trPr>
          <w:cantSplit/>
          <w:jc w:val="center"/>
        </w:trPr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86BAE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sz w:val="18"/>
              </w:rPr>
              <w:t>☐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BBEB4E" w14:textId="77777777" w:rsidR="00642962" w:rsidRPr="00576858" w:rsidRDefault="00000000" w:rsidP="00576858">
            <w:pPr>
              <w:spacing w:after="0" w:line="240" w:lineRule="auto"/>
              <w:jc w:val="both"/>
              <w:rPr>
                <w:lang w:val="es-CL"/>
              </w:rPr>
            </w:pPr>
            <w:r w:rsidRPr="00576858">
              <w:rPr>
                <w:rFonts w:cs="Calibri"/>
                <w:sz w:val="18"/>
                <w:lang w:val="es-CL"/>
              </w:rPr>
              <w:t>El plan de semanas 7 a 9 entrega resultados integrados y evidencia individual.</w:t>
            </w:r>
          </w:p>
        </w:tc>
        <w:tc>
          <w:tcPr>
            <w:tcW w:w="31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3F8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3EF791" w14:textId="77777777" w:rsidR="00642962" w:rsidRDefault="00000000" w:rsidP="00576858">
            <w:pPr>
              <w:spacing w:after="0" w:line="240" w:lineRule="auto"/>
              <w:jc w:val="both"/>
            </w:pPr>
            <w:r>
              <w:rPr>
                <w:rFonts w:cs="Calibri"/>
                <w:i/>
                <w:color w:val="60758A"/>
                <w:sz w:val="18"/>
              </w:rPr>
              <w:t xml:space="preserve">Escriba </w:t>
            </w:r>
            <w:proofErr w:type="spellStart"/>
            <w:r>
              <w:rPr>
                <w:rFonts w:cs="Calibri"/>
                <w:i/>
                <w:color w:val="60758A"/>
                <w:sz w:val="18"/>
              </w:rPr>
              <w:t>aquí</w:t>
            </w:r>
            <w:proofErr w:type="spellEnd"/>
            <w:r>
              <w:rPr>
                <w:rFonts w:cs="Calibri"/>
                <w:i/>
                <w:color w:val="60758A"/>
                <w:sz w:val="18"/>
              </w:rPr>
              <w:t>...</w:t>
            </w:r>
          </w:p>
        </w:tc>
      </w:tr>
    </w:tbl>
    <w:p w14:paraId="647A116D" w14:textId="77777777" w:rsidR="00642962" w:rsidRDefault="00642962" w:rsidP="00576858">
      <w:pPr>
        <w:spacing w:after="40"/>
        <w:jc w:val="both"/>
      </w:pPr>
    </w:p>
    <w:p w14:paraId="39FB78AF" w14:textId="77777777" w:rsidR="00642962" w:rsidRDefault="00000000" w:rsidP="00576858">
      <w:pPr>
        <w:pStyle w:val="Ttulo1"/>
        <w:spacing w:before="240" w:after="100"/>
        <w:jc w:val="both"/>
      </w:pPr>
      <w:r>
        <w:rPr>
          <w:rFonts w:ascii="Calibri" w:hAnsi="Calibri" w:cs="Calibri"/>
        </w:rPr>
        <w:lastRenderedPageBreak/>
        <w:t>Anexo B. Fuentes de referencia</w:t>
      </w:r>
    </w:p>
    <w:p w14:paraId="7F51B59A" w14:textId="77777777" w:rsidR="00642962" w:rsidRPr="00576858" w:rsidRDefault="00000000" w:rsidP="00576858">
      <w:pPr>
        <w:pStyle w:val="Listaconvietas"/>
        <w:ind w:hanging="259"/>
        <w:jc w:val="both"/>
        <w:rPr>
          <w:lang w:val="es-CL"/>
        </w:rPr>
      </w:pPr>
      <w:r w:rsidRPr="00576858">
        <w:rPr>
          <w:rFonts w:cs="Calibri"/>
          <w:lang w:val="es-CL"/>
        </w:rPr>
        <w:t>ISO/IEC/IEEE 29148. Ingeniería de requisitos y características de requisitos verificables.</w:t>
      </w:r>
    </w:p>
    <w:p w14:paraId="7CB0C197" w14:textId="77777777" w:rsidR="00642962" w:rsidRPr="00576858" w:rsidRDefault="00000000" w:rsidP="00576858">
      <w:pPr>
        <w:pStyle w:val="Listaconvietas"/>
        <w:ind w:hanging="259"/>
        <w:jc w:val="both"/>
        <w:rPr>
          <w:lang w:val="es-CL"/>
        </w:rPr>
      </w:pPr>
      <w:r>
        <w:rPr>
          <w:rFonts w:cs="Calibri"/>
        </w:rPr>
        <w:t xml:space="preserve">NIST Secure Software Development Framework. </w:t>
      </w:r>
      <w:r w:rsidRPr="00576858">
        <w:rPr>
          <w:rFonts w:cs="Calibri"/>
          <w:lang w:val="es-CL"/>
        </w:rPr>
        <w:t>Prácticas de desarrollo seguro integradas al ciclo de vida.</w:t>
      </w:r>
    </w:p>
    <w:p w14:paraId="23FFA662" w14:textId="77777777" w:rsidR="00642962" w:rsidRPr="00576858" w:rsidRDefault="00000000" w:rsidP="00576858">
      <w:pPr>
        <w:pStyle w:val="Listaconvietas"/>
        <w:ind w:hanging="259"/>
        <w:jc w:val="both"/>
        <w:rPr>
          <w:lang w:val="es-CL"/>
        </w:rPr>
      </w:pPr>
      <w:r w:rsidRPr="00576858">
        <w:rPr>
          <w:rFonts w:cs="Calibri"/>
          <w:lang w:val="es-CL"/>
        </w:rPr>
        <w:t>C4 Model. Contexto, contenedores y componentes para comunicar arquitectura.</w:t>
      </w:r>
    </w:p>
    <w:p w14:paraId="219EC011" w14:textId="77777777" w:rsidR="00642962" w:rsidRPr="00576858" w:rsidRDefault="00000000" w:rsidP="00576858">
      <w:pPr>
        <w:pStyle w:val="Listaconvietas"/>
        <w:ind w:hanging="259"/>
        <w:jc w:val="both"/>
        <w:rPr>
          <w:lang w:val="es-CL"/>
        </w:rPr>
      </w:pPr>
      <w:proofErr w:type="spellStart"/>
      <w:r w:rsidRPr="00576858">
        <w:rPr>
          <w:rFonts w:cs="Calibri"/>
          <w:lang w:val="es-CL"/>
        </w:rPr>
        <w:t>Architecture</w:t>
      </w:r>
      <w:proofErr w:type="spellEnd"/>
      <w:r w:rsidRPr="00576858">
        <w:rPr>
          <w:rFonts w:cs="Calibri"/>
          <w:lang w:val="es-CL"/>
        </w:rPr>
        <w:t xml:space="preserve"> </w:t>
      </w:r>
      <w:proofErr w:type="spellStart"/>
      <w:r w:rsidRPr="00576858">
        <w:rPr>
          <w:rFonts w:cs="Calibri"/>
          <w:lang w:val="es-CL"/>
        </w:rPr>
        <w:t>Decision</w:t>
      </w:r>
      <w:proofErr w:type="spellEnd"/>
      <w:r w:rsidRPr="00576858">
        <w:rPr>
          <w:rFonts w:cs="Calibri"/>
          <w:lang w:val="es-CL"/>
        </w:rPr>
        <w:t xml:space="preserve"> Records. Registro breve de contexto, decisión y consecuencias.</w:t>
      </w:r>
    </w:p>
    <w:p w14:paraId="623B0412" w14:textId="77777777" w:rsidR="00642962" w:rsidRPr="00576858" w:rsidRDefault="00000000" w:rsidP="00576858">
      <w:pPr>
        <w:pStyle w:val="Listaconvietas"/>
        <w:ind w:hanging="259"/>
        <w:jc w:val="both"/>
        <w:rPr>
          <w:lang w:val="es-CL"/>
        </w:rPr>
      </w:pPr>
      <w:r w:rsidRPr="00576858">
        <w:rPr>
          <w:rFonts w:cs="Calibri"/>
          <w:lang w:val="es-CL"/>
        </w:rPr>
        <w:t>Scrum Guide 2020. Incremento, Product Backlog y adaptación basada en inspección.</w:t>
      </w:r>
    </w:p>
    <w:sectPr w:rsidR="00642962" w:rsidRPr="00576858" w:rsidSect="00034616">
      <w:headerReference w:type="default" r:id="rId8"/>
      <w:footerReference w:type="default" r:id="rId9"/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D470" w14:textId="77777777" w:rsidR="00D06DCE" w:rsidRDefault="00D06DCE">
      <w:pPr>
        <w:spacing w:after="0" w:line="240" w:lineRule="auto"/>
      </w:pPr>
      <w:r>
        <w:separator/>
      </w:r>
    </w:p>
  </w:endnote>
  <w:endnote w:type="continuationSeparator" w:id="0">
    <w:p w14:paraId="5F83811B" w14:textId="77777777" w:rsidR="00D06DCE" w:rsidRDefault="00D0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2303" w14:textId="3900D359" w:rsidR="00642962" w:rsidRDefault="00000000">
    <w:pPr>
      <w:pStyle w:val="Piedepgina"/>
      <w:jc w:val="right"/>
    </w:pPr>
    <w:r>
      <w:rPr>
        <w:color w:val="5A7186"/>
        <w:sz w:val="18"/>
      </w:rPr>
      <w:t xml:space="preserve">Página </w:t>
    </w:r>
    <w:r>
      <w:rPr>
        <w:color w:val="5A7186"/>
        <w:sz w:val="18"/>
      </w:rPr>
      <w:fldChar w:fldCharType="begin"/>
    </w:r>
    <w:r>
      <w:rPr>
        <w:color w:val="5A7186"/>
        <w:sz w:val="18"/>
      </w:rPr>
      <w:instrText xml:space="preserve"> PAGE </w:instrText>
    </w:r>
    <w:r w:rsidR="00576858">
      <w:rPr>
        <w:color w:val="5A7186"/>
        <w:sz w:val="18"/>
      </w:rPr>
      <w:fldChar w:fldCharType="separate"/>
    </w:r>
    <w:r w:rsidR="00576858">
      <w:rPr>
        <w:noProof/>
        <w:color w:val="5A7186"/>
        <w:sz w:val="18"/>
      </w:rPr>
      <w:t>1</w:t>
    </w:r>
    <w:r>
      <w:rPr>
        <w:color w:val="5A71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467D" w14:textId="77777777" w:rsidR="00D06DCE" w:rsidRDefault="00D06DCE">
      <w:pPr>
        <w:spacing w:after="0" w:line="240" w:lineRule="auto"/>
      </w:pPr>
      <w:r>
        <w:separator/>
      </w:r>
    </w:p>
  </w:footnote>
  <w:footnote w:type="continuationSeparator" w:id="0">
    <w:p w14:paraId="67CBA319" w14:textId="77777777" w:rsidR="00D06DCE" w:rsidRDefault="00D06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6C05" w14:textId="77777777" w:rsidR="00642962" w:rsidRDefault="00642962">
    <w:pPr>
      <w:pStyle w:val="Encabezado"/>
    </w:pPr>
  </w:p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200"/>
      <w:gridCol w:w="3160"/>
    </w:tblGrid>
    <w:tr w:rsidR="00642962" w14:paraId="5178AE3B" w14:textId="77777777">
      <w:tc>
        <w:tcPr>
          <w:tcW w:w="62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C05A173" w14:textId="77777777" w:rsidR="00642962" w:rsidRPr="00576858" w:rsidRDefault="00000000">
          <w:pPr>
            <w:spacing w:after="0" w:line="276" w:lineRule="auto"/>
            <w:rPr>
              <w:lang w:val="es-CL"/>
            </w:rPr>
          </w:pPr>
          <w:r w:rsidRPr="00576858">
            <w:rPr>
              <w:b/>
              <w:color w:val="1D4478"/>
              <w:sz w:val="19"/>
              <w:lang w:val="es-CL"/>
            </w:rPr>
            <w:t>Taller de Desarrollo de Software</w:t>
          </w:r>
        </w:p>
      </w:tc>
      <w:tc>
        <w:tcPr>
          <w:tcW w:w="31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4A42E34F" w14:textId="77777777" w:rsidR="00642962" w:rsidRDefault="00000000">
          <w:pPr>
            <w:spacing w:after="0" w:line="276" w:lineRule="auto"/>
            <w:jc w:val="right"/>
          </w:pPr>
          <w:r>
            <w:rPr>
              <w:b/>
              <w:color w:val="009FDB"/>
              <w:sz w:val="19"/>
            </w:rPr>
            <w:t xml:space="preserve">Semana 6 | Guía de </w:t>
          </w:r>
          <w:proofErr w:type="spellStart"/>
          <w:r>
            <w:rPr>
              <w:b/>
              <w:color w:val="009FDB"/>
              <w:sz w:val="19"/>
            </w:rPr>
            <w:t>trabajo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677674">
    <w:abstractNumId w:val="8"/>
  </w:num>
  <w:num w:numId="2" w16cid:durableId="767891954">
    <w:abstractNumId w:val="6"/>
  </w:num>
  <w:num w:numId="3" w16cid:durableId="123355311">
    <w:abstractNumId w:val="5"/>
  </w:num>
  <w:num w:numId="4" w16cid:durableId="794328103">
    <w:abstractNumId w:val="4"/>
  </w:num>
  <w:num w:numId="5" w16cid:durableId="1672027070">
    <w:abstractNumId w:val="7"/>
  </w:num>
  <w:num w:numId="6" w16cid:durableId="1381973996">
    <w:abstractNumId w:val="3"/>
  </w:num>
  <w:num w:numId="7" w16cid:durableId="1962224344">
    <w:abstractNumId w:val="2"/>
  </w:num>
  <w:num w:numId="8" w16cid:durableId="701396842">
    <w:abstractNumId w:val="1"/>
  </w:num>
  <w:num w:numId="9" w16cid:durableId="166986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5C7"/>
    <w:rsid w:val="0015074B"/>
    <w:rsid w:val="00174E4F"/>
    <w:rsid w:val="001A445E"/>
    <w:rsid w:val="0029639D"/>
    <w:rsid w:val="00326F90"/>
    <w:rsid w:val="00415982"/>
    <w:rsid w:val="00576858"/>
    <w:rsid w:val="00642962"/>
    <w:rsid w:val="00653896"/>
    <w:rsid w:val="00765D57"/>
    <w:rsid w:val="008540DE"/>
    <w:rsid w:val="00AA1D8D"/>
    <w:rsid w:val="00AF325C"/>
    <w:rsid w:val="00B47730"/>
    <w:rsid w:val="00B55E63"/>
    <w:rsid w:val="00BA4B30"/>
    <w:rsid w:val="00CB0664"/>
    <w:rsid w:val="00D06DCE"/>
    <w:rsid w:val="00D874A2"/>
    <w:rsid w:val="00E736F6"/>
    <w:rsid w:val="00F57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6A96CA6-CEAB-4C1A-8A73-39DEECC9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D4478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A7186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2312</Words>
  <Characters>12720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6 INF524 Guía de Trabajo en Equipo Arquitectura e Incremento 1</dc:title>
  <dc:subject>Retroalimentación, objetivo, arquitectura y plan de construcción</dc:subject>
  <dc:creator>Taller de Desarrollo de Software UCM</dc:creator>
  <cp:keywords>INF524, Semana 6, arquitectura, incremento funcional</cp:keywords>
  <dc:description>generated by python-docx</dc:description>
  <cp:lastModifiedBy>Jerman Espíndola Sandoval</cp:lastModifiedBy>
  <cp:revision>14</cp:revision>
  <dcterms:created xsi:type="dcterms:W3CDTF">2013-12-23T23:15:00Z</dcterms:created>
  <dcterms:modified xsi:type="dcterms:W3CDTF">2026-09-28T08:28:00Z</dcterms:modified>
  <cp:category/>
</cp:coreProperties>
</file>