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r>
        <w:rPr>
          <w:b/>
          <w:bCs/>
          <w:color w:val="1F3A5F"/>
          <w:sz w:val="64"/>
          <w:szCs w:val="64"/>
        </w:rPr>
        <w:t xml:space="preserve">AlgoPlanR</w:t>
      </w:r>
    </w:p>
    <w:p>
      <w:pPr>
        <w:pBdr>
          <w:bottom w:val="single" w:color="1F3A5F" w:sz="12" w:space="8"/>
        </w:pBdr>
        <w:spacing w:after="240"/>
      </w:pPr>
      <w:r>
        <w:rPr>
          <w:color w:val="374151"/>
          <w:sz w:val="34"/>
          <w:szCs w:val="34"/>
        </w:rPr>
        <w:t xml:space="preserve">Routes API des nouvelles fonctionnalités</w:t>
      </w:r>
    </w:p>
    <w:p>
      <w:pPr>
        <w:spacing w:after="1600"/>
      </w:pPr>
      <w:r>
        <w:rPr>
          <w:i/>
          <w:iCs/>
          <w:color w:val="4B5563"/>
          <w:sz w:val="24"/>
          <w:szCs w:val="24"/>
        </w:rPr>
        <w:t xml:space="preserve">Planification prévisionnelle sur cinq ans, vivier et nominations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7036"/>
      </w:tblGrid>
      <w:tr>
        <w:trPr>
          <w:tblHeader/>
        </w:trPr>
        <w:tc>
          <w:tcPr>
            <w:tcW w:type="dxa" w:w="260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703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Source</w:t>
            </w:r>
          </w:p>
        </w:tc>
        <w:tc>
          <w:tcPr>
            <w:tcW w:type="dxa" w:w="703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Mémo de synthèse — Évolution de l’application de gestion des affectations et du redéploiement des enseignants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Complète</w:t>
            </w:r>
          </w:p>
        </w:tc>
        <w:tc>
          <w:tcPr>
            <w:tcW w:type="dxa" w:w="703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technique : backend Django et frontend DDD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03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octobre 2026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Auteur</w:t>
            </w:r>
          </w:p>
        </w:tc>
        <w:tc>
          <w:tcPr>
            <w:tcW w:type="dxa" w:w="703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Leonel Awouma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Statut</w:t>
            </w:r>
          </w:p>
        </w:tc>
        <w:tc>
          <w:tcPr>
            <w:tcW w:type="dxa" w:w="703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Proposition — à valider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bCs/>
          <w:color w:val="1F3A5F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6B7280"/>
          <w:sz w:val="18"/>
          <w:szCs w:val="18"/>
        </w:rPr>
        <w:t xml:space="preserve">Si le sommaire apparaît vide : clic droit dessus, puis « Mettre à jour les champs ».</w:t>
      </w:r>
    </w:p>
    <w:p>
      <w:r>
        <w:br w:type="page"/>
      </w:r>
    </w:p>
    <w:p>
      <w:pPr>
        <w:spacing w:after="120"/>
      </w:pPr>
      <w:r>
        <w:rPr>
          <w:b/>
          <w:bCs/>
        </w:rPr>
        <w:t xml:space="preserve">Objet.</w:t>
      </w:r>
      <w:r>
        <w:t xml:space="preserve"> Ce document liste les routes d’API à ajouter ou à modifier pour intégrer les évolutions demandées dans le </w:t>
      </w:r>
      <w:r>
        <w:rPr>
          <w:i/>
          <w:iCs/>
        </w:rPr>
        <w:t xml:space="preserve">Mémo de synthèse</w:t>
      </w:r>
      <w:r>
        <w:t xml:space="preserve"> : tableau de planification sur cinq ans, nomination depuis le vivier, journal d’audit. Il complète le </w:t>
      </w:r>
      <w:r>
        <w:rPr>
          <w:i/>
          <w:iCs/>
        </w:rPr>
        <w:t xml:space="preserve">Plan technique : backend Django et frontend DDD</w:t>
      </w:r>
      <w:r>
        <w:t xml:space="preserve">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docs/Plan-backend-Django-DDD.docx</w:t>
      </w:r>
      <w:r>
        <w:t xml:space="preserve">) et en reprend les conventions.</w:t>
      </w:r>
    </w:p>
    <w:p>
      <w:pPr>
        <w:spacing w:after="120"/>
      </w:pPr>
      <w:r>
        <w:rPr>
          <w:b/>
          <w:bCs/>
        </w:rPr>
        <w:t xml:space="preserve">Date.</w:t>
      </w:r>
      <w:r>
        <w:t xml:space="preserve"> 10 octobre 2026. </w:t>
      </w:r>
      <w:r>
        <w:rPr>
          <w:b/>
          <w:bCs/>
        </w:rPr>
        <w:t xml:space="preserve">Statut.</w:t>
      </w:r>
      <w:r>
        <w:t xml:space="preserve"> Proposition — plusieurs règles de calcul dépendent des points que le mémo demande de valider (section 9).</w:t>
      </w:r>
    </w:p>
    <w:p>
      <w:pPr>
        <w:pStyle w:val="Heading1"/>
      </w:pPr>
      <w:r>
        <w:t xml:space="preserve">1. Ce que demande le mémo, et ce qui existe déjà</w:t>
      </w:r>
    </w:p>
    <w:p>
      <w:pPr>
        <w:spacing w:after="120"/>
      </w:pPr>
      <w:r>
        <w:t xml:space="preserve">Une partie du socle existe dans la version 1.0.0. Les nouvelles routes s’appuient dessus plutôt que de repartir de zéro.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662"/>
        <w:gridCol w:w="3277"/>
      </w:tblGrid>
      <w:tr>
        <w:trPr>
          <w:tblHeader/>
        </w:trPr>
        <w:tc>
          <w:tcPr>
            <w:tcW w:type="dxa" w:w="269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Exigence du mémo</w:t>
            </w:r>
          </w:p>
        </w:tc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Déjà dans l’application</w:t>
            </w:r>
          </w:p>
        </w:tc>
        <w:tc>
          <w:tcPr>
            <w:tcW w:type="dxa" w:w="327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À créer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Tableau de planification sur 5 ans (§2.1)</w:t>
            </w:r>
          </w:p>
        </w:tc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Projection N+1 à N+3 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projeterPluriannuel</w:t>
            </w:r>
            <w:r>
              <w:rPr>
                <w:sz w:val="19"/>
                <w:szCs w:val="19"/>
              </w:rPr>
              <w:t xml:space="preserve">, page « Projections ») : retraites par âge, attrition au niveau du territoire, besoin, recrutement à prévoir.</w:t>
            </w:r>
          </w:p>
        </w:tc>
        <w:tc>
          <w:tcPr>
            <w:tcW w:type="dxa" w:w="327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Horizon de 5 ans, 8 indicateurs par année, ventilation par niveau territorial et sous-système, versions successives.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Nomination depuis le vivier (§2.2)</w:t>
            </w:r>
          </w:p>
        </w:tc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Vivier de redéploiement (excédentaires,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construireVivier</w:t>
            </w:r>
            <w:r>
              <w:rPr>
                <w:sz w:val="19"/>
                <w:szCs w:val="19"/>
              </w:rPr>
              <w:t xml:space="preserve">) et vivier national des recrues sans poste 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deployerRecrues</w:t>
            </w:r>
            <w:r>
              <w:rPr>
                <w:sz w:val="19"/>
                <w:szCs w:val="19"/>
              </w:rPr>
              <w:t xml:space="preserve">). Aucun suivi de statut.</w:t>
            </w:r>
          </w:p>
        </w:tc>
        <w:tc>
          <w:tcPr>
            <w:tcW w:type="dxa" w:w="327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Module Nominations : rapprochement vivier ↔ postes, statuts proposée / validée / mise en œuvre, contrôle des doubles comptages.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Maintien du déploiement (§2.3)</w:t>
            </w:r>
          </w:p>
        </w:tc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Diagnostic, besoins, redéploiement, déploiement des recrues, postes restés vacants.</w:t>
            </w:r>
          </w:p>
        </w:tc>
        <w:tc>
          <w:tcPr>
            <w:tcW w:type="dxa" w:w="327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Branchement des postes vacants sur le besoin résiduel de chaque année.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Hypothèses explicites et paramétrables (§3)</w:t>
            </w:r>
          </w:p>
        </w:tc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besoin.ageRetraite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recrutement.tauxAttritionHorsRetraite</w:t>
            </w:r>
            <w:r>
              <w:rPr>
                <w:sz w:val="19"/>
                <w:szCs w:val="19"/>
              </w:rPr>
              <w:t xml:space="preserve"> dans les paramètres du moteur.</w:t>
            </w:r>
          </w:p>
        </w:tc>
        <w:tc>
          <w:tcPr>
            <w:tcW w:type="dxa" w:w="327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Groupe « Hypothèses » documenté (source, justification, historique), méthode d’attrition au choix.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Recalcul à chaque actualisation ou décision (§3)</w:t>
            </w:r>
          </w:p>
        </w:tc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Les scénarios sont recalculés après un fait du Prince, un arbitrage ou un import de recrues.</w:t>
            </w:r>
          </w:p>
        </w:tc>
        <w:tc>
          <w:tcPr>
            <w:tcW w:type="dxa" w:w="327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Recalcul de la planification, actualisation des données d’un même exercice, versions.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Indicateurs de suivi et journaux d’audit (§3, étape 6)</w:t>
            </w:r>
          </w:p>
        </w:tc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 « journal » actuel ne trace que les tours de l’appariement.</w:t>
            </w:r>
          </w:p>
        </w:tc>
        <w:tc>
          <w:tcPr>
            <w:tcW w:type="dxa" w:w="327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Journal d’audit de toutes les décisions ; indicateurs de suivi.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La chaîne de traitement et ses routes</w:t>
      </w:r>
    </w:p>
    <w:p>
      <w:pPr>
        <w:spacing w:after="120"/>
      </w:pPr>
      <w:r>
        <w:t xml:space="preserve">Le mémo organise l’évolution en six étapes. Chacune correspond à un groupe de routes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4048"/>
        <w:gridCol w:w="1735"/>
      </w:tblGrid>
      <w:tr>
        <w:trPr>
          <w:tblHeader/>
        </w:trPr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Étape du mémo</w:t>
            </w:r>
          </w:p>
        </w:tc>
        <w:tc>
          <w:tcPr>
            <w:tcW w:type="dxa" w:w="404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Routes</w:t>
            </w:r>
          </w:p>
        </w:tc>
        <w:tc>
          <w:tcPr>
            <w:tcW w:type="dxa" w:w="173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Consolidation et validation des données de référence</w:t>
            </w:r>
          </w:p>
        </w:tc>
        <w:tc>
          <w:tcPr>
            <w:tcW w:type="dxa" w:w="404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jeux/{jeu}/validation/, actualisations/</w:t>
            </w:r>
          </w:p>
        </w:tc>
        <w:tc>
          <w:tcPr>
            <w:tcW w:type="dxa" w:w="173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Projection des départs (retraite, attrition)</w:t>
            </w:r>
          </w:p>
        </w:tc>
        <w:tc>
          <w:tcPr>
            <w:tcW w:type="dxa" w:w="404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hypotheses/, planification/departs/</w:t>
            </w:r>
          </w:p>
        </w:tc>
        <w:tc>
          <w:tcPr>
            <w:tcW w:type="dxa" w:w="173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4.2, 4.3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Besoins et quotas prévisionnels sur 5 ans</w:t>
            </w:r>
          </w:p>
        </w:tc>
        <w:tc>
          <w:tcPr>
            <w:tcW w:type="dxa" w:w="404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planification/, quotas/</w:t>
            </w:r>
          </w:p>
        </w:tc>
        <w:tc>
          <w:tcPr>
            <w:tcW w:type="dxa" w:w="173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4.3, 4.4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Gestion du vivier et suivi des nominations</w:t>
            </w:r>
          </w:p>
        </w:tc>
        <w:tc>
          <w:tcPr>
            <w:tcW w:type="dxa" w:w="404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vivier/, postes-ouverts/, nominations/</w:t>
            </w:r>
          </w:p>
        </w:tc>
        <w:tc>
          <w:tcPr>
            <w:tcW w:type="dxa" w:w="173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4.5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 Actualisation, redéploiement et déploiement</w:t>
            </w:r>
          </w:p>
        </w:tc>
        <w:tc>
          <w:tcPr>
            <w:tcW w:type="dxa" w:w="404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mouvements/ + routes existantes</w:t>
            </w:r>
          </w:p>
        </w:tc>
        <w:tc>
          <w:tcPr>
            <w:tcW w:type="dxa" w:w="173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4.6, 7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 Tableaux de sortie, indicateurs, audit</w:t>
            </w:r>
          </w:p>
        </w:tc>
        <w:tc>
          <w:tcPr>
            <w:tcW w:type="dxa" w:w="404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indicateurs/, journal-audit/, rapport/</w:t>
            </w:r>
          </w:p>
        </w:tc>
        <w:tc>
          <w:tcPr>
            <w:tcW w:type="dxa" w:w="173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4.7, 4.8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Conventions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Toutes les routes sont sous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/api/v1/</w:t>
      </w:r>
      <w:r>
        <w:t xml:space="preserve"> 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jeux/{jeu}/</w:t>
      </w:r>
      <w:r>
        <w:t xml:space="preserve"> désigne l’exercice de planification (le jeu de données importé).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Filtres territoriaux communs</w:t>
      </w:r>
      <w:r>
        <w:t xml:space="preserve"> 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niveau</w:t>
      </w:r>
      <w:r>
        <w:t xml:space="preserve">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national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region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departement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commune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iaeb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ecole</w:t>
      </w:r>
      <w:r>
        <w:t xml:space="preserve">),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region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departement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commune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iaeb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sousSysteme</w:t>
      </w:r>
      <w:r>
        <w:t xml:space="preserve">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francophone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anglophone</w:t>
      </w:r>
      <w:r>
        <w:t xml:space="preserve">). Les niveaux réellement attendus sont à confirmer (section 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Filtres de planification</w:t>
      </w:r>
      <w:r>
        <w:t xml:space="preserve"> 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scenario</w:t>
      </w:r>
      <w:r>
        <w:t xml:space="preserve"> (par défaut, le scénario retenu),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annee</w:t>
      </w:r>
      <w:r>
        <w:t xml:space="preserve">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N+1</w:t>
      </w:r>
      <w:r>
        <w:t xml:space="preserve"> à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N+5</w:t>
      </w:r>
      <w:r>
        <w:t xml:space="preserve">),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version</w:t>
      </w:r>
      <w:r>
        <w:t xml:space="preserve"> (par défaut, la dernière).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Codes de retour métier</w:t>
      </w:r>
      <w:r>
        <w:t xml:space="preserve"> : 422 pour une règle non respectée (motif renvoyé), 409 pour un conflit — par exemple une personne déjà nommée ou un poste déjà pourvu.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Chaque écriture (POST, PUT, PATCH, DELETE) produit un événement dans le journal d’audit et, si elle change les effectifs, déclenche le recalcul.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fichiers XLSX et DOCX (tableau sur 5 ans, liste des nominations) restent générés par le frontend à partir du JSON, comme les exports actuels.</w:t>
      </w:r>
    </w:p>
    <w:p>
      <w:pPr>
        <w:pStyle w:val="Heading1"/>
        <w:pageBreakBefore/>
      </w:pPr>
      <w:r>
        <w:t xml:space="preserve">4. Nouvelles routes</w:t>
      </w:r>
    </w:p>
    <w:p>
      <w:pPr>
        <w:pStyle w:val="Heading2"/>
      </w:pPr>
      <w:r>
        <w:t xml:space="preserve">4.1 Données de référence : validation et actualisation</w:t>
      </w:r>
    </w:p>
    <w:p>
      <w:pPr>
        <w:spacing w:after="120"/>
      </w:pPr>
      <w:r>
        <w:t xml:space="preserve">Étape 1 de la chaîne. Un jeu importé est d’abord en </w:t>
      </w:r>
      <w:r>
        <w:rPr>
          <w:b/>
          <w:bCs/>
        </w:rPr>
        <w:t xml:space="preserve">brouillon</w:t>
      </w:r>
      <w:r>
        <w:t xml:space="preserve"> ; une fois validé, il sert de référence aux projections. Une </w:t>
      </w:r>
      <w:r>
        <w:rPr>
          <w:b/>
          <w:bCs/>
        </w:rPr>
        <w:t xml:space="preserve">actualisation</w:t>
      </w:r>
      <w:r>
        <w:t xml:space="preserve"> remplace les données d’un même exercice sans perdre les décisions déjà prises.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855"/>
        <w:gridCol w:w="4626"/>
      </w:tblGrid>
      <w:tr>
        <w:trPr>
          <w:tblHeader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jeux/{jeu}/validation/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Valide le jeu comme référence : contrôles de qualité bloquants, passage brouillon → validé, auteur et date journalisés.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jeux/{jeu}/validation/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Statut, date, auteur, résultat des contrôles.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jeux/{jeu}/actualisations/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Nouveaux fichiers pour le même exercice : rapprochement par matricule et code école, décisions conservées si elles restent valables, recalcul complet.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jeux/{jeu}/actualisations/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Historique des actualisations.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jeux/{jeu}/actualisations/{id}/ecarts/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Arrivées, départs, changements d’école, décisions devenues invalides.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Hypothèses de calcul</w:t>
      </w:r>
    </w:p>
    <w:p>
      <w:pPr>
        <w:spacing w:after="120"/>
      </w:pPr>
      <w:r>
        <w:t xml:space="preserve">Le mémo exige des hypothèses </w:t>
      </w:r>
      <w:r>
        <w:rPr>
          <w:b/>
          <w:bCs/>
        </w:rPr>
        <w:t xml:space="preserve">explicites, paramétrables et documentées</w:t>
      </w:r>
      <w:r>
        <w:t xml:space="preserve">. Chaque valeur porte sa source et sa justification ; chaque modification est historisée et relance les projections.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855"/>
        <w:gridCol w:w="4626"/>
      </w:tblGrid>
      <w:tr>
        <w:trPr>
          <w:tblHeader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/hypotheses/defaut/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Valeurs par défaut.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PUT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jeux/{jeu}/hypotheses/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Horizon (5 ans) ; règle de retraite (âge légal, date de référence, exceptions par statut ou catégorie) ; méthode et taux d’attrition (taux unique, par sous-système ou par région) ; prise en compte des quotas des années précédentes ; sources du vivier retenues.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jeux/{jeu}/hypotheses/documentation/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Fiche lisible des hypothèses en vigueur, reprise dans le rapport et la méthodologie.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jeux/{jeu}/hypotheses/historique/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Versions successives : qui, quand, quoi, pourquoi.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jeux/{jeu}/hypotheses/attrition/estimer/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Propose un taux à partir des données disponibles, sans l’enregistrer (seulement si la méthode officielle le permet).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Planification sur cinq ans</w:t>
      </w:r>
    </w:p>
    <w:p>
      <w:pPr>
        <w:spacing w:after="120"/>
      </w:pPr>
      <w:r>
        <w:t xml:space="preserve">Le cœur de l’évolution. Le tableau couvre N+1 à N+5 et présente, pour chaque année, les huit indicateurs du mémo (détaillés en section 6), accompagnés d’un indicateur de fiabilité des données.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855"/>
        <w:gridCol w:w="4626"/>
      </w:tblGrid>
      <w:tr>
        <w:trPr>
          <w:tblHeader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jeux/{jeu}/scenario-retenu/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Choisit le scénario dont les mouvements alimentent la planification.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jeux/{jeu}/planification/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Tableau N+1 → N+5 pour le périmètre demandé (filtres territoriaux et sous-système).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jeux/{jeu}/planification/territoires/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Même tableau ventilé par territoire enfant, pour descendre région → département → commune.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jeux/{jeu}/planification/sous-systemes/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Ventilation francophone / anglophone.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jeux/{jeu}/planification/ecoles/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Lignes par école, paginées.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jeux/{jeu}/planification/departs/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des départs : liste nominative des départs à la retraite par année, attrition estimée par territoire.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jeux/{jeu}/planification/fiabilite/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Disponibilité des données par territoire : dates de naissance, sous-système, effectifs d’élèves renseignés.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jeux/{jeu}/planification/etat/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Dernier calcul, ce qui l’a déclenché, obsolescence éventuelle.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jeux/{jeu}/planification/recalculer/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Recalcul manuel (le recalcul est normalement automatique).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jeux/{jeu}/planification/versions/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Instantanés conservés à chaque recalcul.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jeux/{jeu}/planification/versions/{v}/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instantané.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jeux/{jeu}/planification/versions/comparer/?de=&amp;a=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Écarts entre deux versions, pour suivre le prévu et le réalisé.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Quotas de recrutement</w:t>
      </w:r>
    </w:p>
    <w:p>
      <w:pPr>
        <w:spacing w:after="120"/>
      </w:pPr>
      <w:r>
        <w:t xml:space="preserve">Le quota est d’abord </w:t>
      </w:r>
      <w:r>
        <w:rPr>
          <w:b/>
          <w:bCs/>
        </w:rPr>
        <w:t xml:space="preserve">calculé</w:t>
      </w:r>
      <w:r>
        <w:t xml:space="preserve">, puis éventuellement </w:t>
      </w:r>
      <w:r>
        <w:rPr>
          <w:b/>
          <w:bCs/>
        </w:rPr>
        <w:t xml:space="preserve">ajusté</w:t>
      </w:r>
      <w:r>
        <w:t xml:space="preserve"> par l’administration (avec motif), puis </w:t>
      </w:r>
      <w:r>
        <w:rPr>
          <w:b/>
          <w:bCs/>
        </w:rPr>
        <w:t xml:space="preserve">validé</w:t>
      </w:r>
      <w:r>
        <w:t xml:space="preserve">. L’écart entre calcul et quota retenu reste visible.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855"/>
        <w:gridCol w:w="4626"/>
      </w:tblGrid>
      <w:tr>
        <w:trPr>
          <w:tblHeader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jeux/{jeu}/quotas/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Quotas calculés et retenus par année, territoire et sous-système.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jeux/{jeu}/quotas/{annee}/{codeTerritoire}/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Ajustement administratif : valeur retenue et motif obligatoire.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jeux/{jeu}/quotas/valider/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Valide (et fige) les quotas d’une année.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jeux/{jeu}/quotas/historique/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Calculs, ajustements et validations successifs.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Vivier et nominations</w:t>
      </w:r>
    </w:p>
    <w:p>
      <w:pPr>
        <w:spacing w:after="120"/>
      </w:pPr>
      <w:r>
        <w:t xml:space="preserve">Module demandé au §2.2 du mémo. Le </w:t>
      </w:r>
      <w:r>
        <w:rPr>
          <w:b/>
          <w:bCs/>
        </w:rPr>
        <w:t xml:space="preserve">vivier</w:t>
      </w:r>
      <w:r>
        <w:t xml:space="preserve"> réunit les personnes disponibles, quelle que soit leur origine : enseignants excédentaires restés sans affectation, lauréats sans poste (vivier national actuel), et éventuellement d’autres sources si elles sont retenues (personnels en disponibilité, fins de détachement…).</w:t>
      </w:r>
    </w:p>
    <w:p>
      <w:pPr>
        <w:pStyle w:val="Heading3"/>
      </w:pPr>
      <w:r>
        <w:t xml:space="preserve">Vivier et postes ouverts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855"/>
        <w:gridCol w:w="4626"/>
      </w:tblGrid>
      <w:tr>
        <w:trPr>
          <w:tblHeader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jeux/{jeu}/vivier/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Personnes disponibles ; filtres : source, territoire, sous-système, disponibilité (libre, proposée, nommée).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jeux/{jeu}/vivier/{personne}/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Fiche : barème, contraintes, historique des propositions.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jeux/{jeu}/vivier/import/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Ajout de personnes issues d’autres sources (si cette portée est retenue).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jeux/{jeu}/vivier/{personne}/postes-compatibles/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Rapprochement classé : proximité, sous-système, zone de sécurité, score d’appariement.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jeux/{jeu}/postes-ouverts/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Postes vacants après redéploiement, avec leur statut : libre, réservé, pourvu.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jeux/{jeu}/postes-ouverts/{poste}/candidats/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Rapprochement inverse : personnes du vivier classées pour ce poste.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Nominations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855"/>
        <w:gridCol w:w="4626"/>
      </w:tblGrid>
      <w:tr>
        <w:trPr>
          <w:tblHeader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jeux/{jeu}/nominations/generer/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Propositions automatiques par appariement vivier ↔ postes ouverts (statut « proposée »).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jeux/{jeu}/nominations/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Liste filtrable par statut, territoire, année, source.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jeux/{jeu}/nominations/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Proposition manuelle (personne, poste, motif).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jeux/{jeu}/nominations/{id}/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Détail et historique des changements de statut.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jeux/{jeu}/nominations/{id}/valider/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Proposée → validée ; référence de la décision.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jeux/{jeu}/nominations/{id}/rejeter/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Proposée → rejetée ; motif obligatoire.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jeux/{jeu}/nominations/{id}/mettre-en-oeuvre/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Validée → mise en œuvre ; date effective, référence de l’acte. Met à jour les effectifs.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jeux/{jeu}/nominations/{id}/annuler/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Proposée ou validée → annulée ; motif obligatoire.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jeux/{jeu}/nominations/lot/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Validation ou rejet en lot.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jeux/{jeu}/nominations/import/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 de nominations déjà décidées ou réalisées hors de l’application.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jeux/{jeu}/nominations/synthese/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Décomptes par statut, territoire et année.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Registre des mouvements</w:t>
      </w:r>
    </w:p>
    <w:p>
      <w:pPr>
        <w:spacing w:after="120"/>
      </w:pPr>
      <w:r>
        <w:t xml:space="preserve">Pour </w:t>
      </w:r>
      <w:r>
        <w:rPr>
          <w:b/>
          <w:bCs/>
        </w:rPr>
        <w:t xml:space="preserve">éviter les doubles comptages et garantir la traçabilité</w:t>
      </w:r>
      <w:r>
        <w:t xml:space="preserve"> (§2.2), tous les mouvements sont consolidés dans un registre unique : redéploiements validés, faits du Prince, déploiements de recrues, nominations. La planification lit ce registre, et lui seul.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855"/>
        <w:gridCol w:w="4626"/>
      </w:tblGrid>
      <w:tr>
        <w:trPr>
          <w:tblHeader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jeux/{jeu}/mouvements/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Registre consolidé ; filtres : type, statut (prévu, réalisé), année, territoire.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jeux/{jeu}/mouvements/{id}/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Détail d’un mouvement et de sa décision d’origine.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jeux/{jeu}/mouvements/{id}/mettre-en-oeuvre/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Marque comme réalisé un redéploiement ou un déploiement de recrue.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jeux/{jeu}/mouvements/controles/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Détection des incohérences : personne ou poste comptés deux fois.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jeux/{jeu}/personnes/{matricule}/mouvements/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Traçabilité individuelle de tous les mouvements d’une personne.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Indicateurs de suivi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855"/>
        <w:gridCol w:w="4626"/>
      </w:tblGrid>
      <w:tr>
        <w:trPr>
          <w:tblHeader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jeux/{jeu}/indicateurs/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Couverture du besoin, mobilisation du vivier, réalisation des nominations, écart prévu / réalisé, besoin résiduel ; par périmètre.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jeux/{jeu}/indicateurs/evolution/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Évolution de ces indicateurs d’une version de planification à l’autre.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Journal d’audit</w:t>
      </w:r>
    </w:p>
    <w:p>
      <w:pPr>
        <w:spacing w:after="120"/>
      </w:pPr>
      <w:r>
        <w:t xml:space="preserve">Événements journalisés : import, actualisation, validation des données, modification d’hypothèses, choix du scénario retenu, fait du Prince, arbitrage, chaque changement de statut d’une nomination, ajustement ou validation de quota, mise en œuvre d’un mouvement, recalcul.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855"/>
        <w:gridCol w:w="4626"/>
      </w:tblGrid>
      <w:tr>
        <w:trPr>
          <w:tblHeader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jeux/{jeu}/journal-audit/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Événements ; filtres : type, objet (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?objet=nomination:42</w:t>
            </w:r>
            <w:r>
              <w:rPr>
                <w:sz w:val="19"/>
                <w:szCs w:val="19"/>
              </w:rPr>
              <w:t xml:space="preserve">), auteur, période.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</w:t>
            </w:r>
          </w:p>
        </w:tc>
        <w:tc>
          <w:tcPr>
            <w:tcW w:type="dxa" w:w="385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jeux/{jeu}/journal-audit/{id}/</w:t>
            </w:r>
          </w:p>
        </w:tc>
        <w:tc>
          <w:tcPr>
            <w:tcW w:type="dxa" w:w="462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Détail d’un événement : valeurs avant et après.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Cycle de vie d’une nomination</w:t>
      </w:r>
    </w:p>
    <w:p>
      <w:pPr>
        <w:spacing w:after="120"/>
      </w:pPr>
      <w:r>
        <w:t xml:space="preserve">Le mémo demande de distinguer les décisions </w:t>
      </w:r>
      <w:r>
        <w:rPr>
          <w:b/>
          <w:bCs/>
        </w:rPr>
        <w:t xml:space="preserve">proposées</w:t>
      </w:r>
      <w:r>
        <w:t xml:space="preserve">, </w:t>
      </w:r>
      <w:r>
        <w:rPr>
          <w:b/>
          <w:bCs/>
        </w:rPr>
        <w:t xml:space="preserve">validées</w:t>
      </w:r>
      <w:r>
        <w:t xml:space="preserve"> et </w:t>
      </w:r>
      <w:r>
        <w:rPr>
          <w:b/>
          <w:bCs/>
        </w:rPr>
        <w:t xml:space="preserve">effectivement mises en œuvre</w:t>
      </w:r>
      <w:r>
        <w:t xml:space="preserve">.</w:t>
      </w:r>
    </w:p>
    <w:p>
      <w:pPr>
        <w:shd w:fill="F3F4F6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valider              mettre-en-oeuvre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proposée ─────────────► validée ─────────────────► mise en œuvre (définitive)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│                       │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├── rejeter ──► rejetée  │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└── annuler ──► annulée ◄┘ annuler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722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Effet sur la planification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Proposée</w:t>
            </w:r>
          </w:p>
        </w:tc>
        <w:tc>
          <w:tcPr>
            <w:tcW w:type="dxa" w:w="722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Affichée, mais n’est comptée nulle part. La personne et le poste restent disponibles pour d’autres propositions.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Validée</w:t>
            </w:r>
          </w:p>
        </w:tc>
        <w:tc>
          <w:tcPr>
            <w:tcW w:type="dxa" w:w="722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Comptée en « prévu ». La personne sort du vivier disponible ; le poste devient « réservé » et sort des postes ouverts au redéploiement et au déploiement des recrues.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Mise en œuvre</w:t>
            </w:r>
          </w:p>
        </w:tc>
        <w:tc>
          <w:tcPr>
            <w:tcW w:type="dxa" w:w="722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Comptée en « réalisé ». Les effectifs des écoles sont modifiés avant tout calcul, comme pour un fait du Prince. Une erreur se corrige par un nouveau mouvement, jamais en effaçant celui-ci.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Rejetée, annulée</w:t>
            </w:r>
          </w:p>
        </w:tc>
        <w:tc>
          <w:tcPr>
            <w:tcW w:type="dxa" w:w="722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Sans effet ; conservée dans l’historique.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Règles contre les doubles comptages</w:t>
      </w:r>
      <w:r>
        <w:t xml:space="preserve"> (refus en 409)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personne ne peut avoir qu’une nomination active (proposée ou validée) et ne peut pas, en même temps, figurer dans un redéploiement validé ou un déploiement de recrue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poste ne peut être réservé que par une seule nomination validée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nomination mise en œuvre sort définitivement la personne du vivier.</w:t>
      </w:r>
    </w:p>
    <w:p>
      <w:pPr>
        <w:pStyle w:val="Heading1"/>
        <w:pageBreakBefore/>
      </w:pPr>
      <w:r>
        <w:t xml:space="preserve">6. Contenu du tableau de planification</w:t>
      </w:r>
    </w:p>
    <w:p>
      <w:pPr>
        <w:spacing w:after="120"/>
      </w:pPr>
      <w:r>
        <w:t xml:space="preserve">Pour chaque année de N+1 à N+5, par territoire et par sous-système. Les règles ci-dessous prolongent celles du référentiel technique ; elles sont </w:t>
      </w:r>
      <w:r>
        <w:rPr>
          <w:b/>
          <w:bCs/>
        </w:rPr>
        <w:t xml:space="preserve">à confirmer</w:t>
      </w:r>
      <w:r>
        <w:t xml:space="preserve"> là où le mémo demande une validation.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4819"/>
        <w:gridCol w:w="2313"/>
      </w:tblGrid>
      <w:tr>
        <w:trPr>
          <w:tblHeader/>
        </w:trPr>
        <w:tc>
          <w:tcPr>
            <w:tcW w:type="dxa" w:w="25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Indicateur du mémo</w:t>
            </w:r>
          </w:p>
        </w:tc>
        <w:tc>
          <w:tcPr>
            <w:tcW w:type="dxa" w:w="4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Règle de calcul proposée</w:t>
            </w:r>
          </w:p>
        </w:tc>
        <w:tc>
          <w:tcPr>
            <w:tcW w:type="dxa" w:w="231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 actuelle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Effectif disponible en début de période</w:t>
            </w:r>
          </w:p>
        </w:tc>
        <w:tc>
          <w:tcPr>
            <w:tcW w:type="dxa" w:w="4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N+1 : effectif après les mouvements retenus. Années suivantes : effectif précédent − retraites − attrition + entrées prévues ou réalisées (+ quotas de l’année précédente si l’hypothèse est activée).</w:t>
            </w:r>
          </w:p>
        </w:tc>
        <w:tc>
          <w:tcPr>
            <w:tcW w:type="dxa" w:w="231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projeterPluriannuel</w:t>
            </w:r>
            <w:r>
              <w:rPr>
                <w:sz w:val="19"/>
                <w:szCs w:val="19"/>
              </w:rPr>
              <w:t xml:space="preserve"> (N+1 à N+3)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Départs à la retraite</w:t>
            </w:r>
          </w:p>
        </w:tc>
        <w:tc>
          <w:tcPr>
            <w:tcW w:type="dxa" w:w="4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Enseignants payés par l’État qui atteignent l’âge légal pendant l’année ; chacun compté une seule fois.</w:t>
            </w:r>
          </w:p>
        </w:tc>
        <w:tc>
          <w:tcPr>
            <w:tcW w:type="dxa" w:w="231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idem, étendu à 5 ans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Départs par attrition</w:t>
            </w:r>
          </w:p>
        </w:tc>
        <w:tc>
          <w:tcPr>
            <w:tcW w:type="dxa" w:w="4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⌈τ × effectif / 100⌉, appliqué au niveau du territoire par sous-système (§2.6), pas école par école.</w:t>
            </w:r>
          </w:p>
        </w:tc>
        <w:tc>
          <w:tcPr>
            <w:tcW w:type="dxa" w:w="231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tauxAttritionHorsRetraite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Besoin prévisionnel</w:t>
            </w:r>
          </w:p>
        </w:tc>
        <w:tc>
          <w:tcPr>
            <w:tcW w:type="dxa" w:w="4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Somme sur les écoles de max(0 ; K − effectif), avec K la cible du §2.4.</w:t>
            </w:r>
          </w:p>
        </w:tc>
        <w:tc>
          <w:tcPr>
            <w:tcW w:type="dxa" w:w="231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calculerBesoin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Ressources mobilisables depuis le vivier</w:t>
            </w:r>
          </w:p>
        </w:tc>
        <w:tc>
          <w:tcPr>
            <w:tcW w:type="dxa" w:w="4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Excédents mobilisables + personnes du vivier encore libres.</w:t>
            </w:r>
          </w:p>
        </w:tc>
        <w:tc>
          <w:tcPr>
            <w:tcW w:type="dxa" w:w="231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construireVivier</w:t>
            </w:r>
            <w:r>
              <w:rPr>
                <w:sz w:val="19"/>
                <w:szCs w:val="19"/>
              </w:rPr>
              <w:t xml:space="preserve">, vivier national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Quota de recrutement</w:t>
            </w:r>
          </w:p>
        </w:tc>
        <w:tc>
          <w:tcPr>
            <w:tcW w:type="dxa" w:w="4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max(0 ; besoin − ressources mobilisables) + attrition cumulée ; puis ajustement et validation administratifs.</w:t>
            </w:r>
          </w:p>
        </w:tc>
        <w:tc>
          <w:tcPr>
            <w:tcW w:type="dxa" w:w="231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recrutementAPrevoir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Nominations et déploiements</w:t>
            </w:r>
          </w:p>
        </w:tc>
        <w:tc>
          <w:tcPr>
            <w:tcW w:type="dxa" w:w="4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Deux colonnes : prévus (validés) et réalisés (mis en œuvre), lues dans le registre des mouvements.</w:t>
            </w:r>
          </w:p>
        </w:tc>
        <w:tc>
          <w:tcPr>
            <w:tcW w:type="dxa" w:w="231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nouveau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Besoin restant à couvrir</w:t>
            </w:r>
          </w:p>
        </w:tc>
        <w:tc>
          <w:tcPr>
            <w:tcW w:type="dxa" w:w="4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Besoin − ressources mobilisées − nominations − recrutements. Alimenté par les postes restés vacants après déploiement (§2.3).</w:t>
            </w:r>
          </w:p>
        </w:tc>
        <w:tc>
          <w:tcPr>
            <w:tcW w:type="dxa" w:w="231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postesRestants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Routes existantes modifiées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 existante</w:t>
            </w:r>
          </w:p>
        </w:tc>
        <w:tc>
          <w:tcPr>
            <w:tcW w:type="dxa" w:w="597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Modification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/jeux/</w:t>
            </w:r>
          </w:p>
        </w:tc>
        <w:tc>
          <w:tcPr>
            <w:tcW w:type="dxa" w:w="597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 jeu est créé en brouillon ; la planification est calculée dès l’import.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jeux/{jeu}/parametres/</w:t>
            </w:r>
          </w:p>
        </w:tc>
        <w:tc>
          <w:tcPr>
            <w:tcW w:type="dxa" w:w="597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L’âge de retraite et le taux d’attrition passent dans hypotheses/, qui reste la seule source pour ces valeurs.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jeux/{jeu}/diagnostic/</w:t>
            </w:r>
          </w:p>
        </w:tc>
        <w:tc>
          <w:tcPr>
            <w:tcW w:type="dxa" w:w="597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Tient compte des nominations mises en œuvre, comme des faits du Prince.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jeux/{jeu}/scenarios/…</w:t>
            </w:r>
          </w:p>
        </w:tc>
        <w:tc>
          <w:tcPr>
            <w:tcW w:type="dxa" w:w="597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Les personnes nommées (validées ou mises en œuvre) et les postes réservés sont exclus de l’appariement.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…/{sid}/projections/</w:t>
            </w:r>
          </w:p>
        </w:tc>
        <w:tc>
          <w:tcPr>
            <w:tcW w:type="dxa" w:w="597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Remplacée par planification/ (5 ans). Conservée temporairement pour compatibilité.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…/{sid}/postes-non-couverts/, …/{sid}/recrutes/</w:t>
            </w:r>
          </w:p>
        </w:tc>
        <w:tc>
          <w:tcPr>
            <w:tcW w:type="dxa" w:w="597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Les postes réservés par une nomination validée sont exclus.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faits-prince/, arbitrages/, recrues/</w:t>
            </w:r>
          </w:p>
        </w:tc>
        <w:tc>
          <w:tcPr>
            <w:tcW w:type="dxa" w:w="597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Chaque décision alimente le registre des mouvements, le journal d’audit et le recalcul de la planification.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jeux/{jeu}/rapport/</w:t>
            </w:r>
          </w:p>
        </w:tc>
        <w:tc>
          <w:tcPr>
            <w:tcW w:type="dxa" w:w="597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Ajout du tableau sur 5 ans, des quotas, des nominations et de la fiche des hypothèses.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Conséquences sur l’architecture</w:t>
      </w:r>
    </w:p>
    <w:p>
      <w:pPr>
        <w:spacing w:after="120"/>
      </w:pPr>
      <w:r>
        <w:t xml:space="preserve">Trois contextes délimités s’ajoutent au plan de migration, côté backend (applications Django et domaine Python) comme côté frontend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src/contextes/</w:t>
      </w:r>
      <w:r>
        <w:t xml:space="preserve">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144"/>
        <w:gridCol w:w="3374"/>
      </w:tblGrid>
      <w:tr>
        <w:trPr>
          <w:tblHeader/>
        </w:trPr>
        <w:tc>
          <w:tcPr>
            <w:tcW w:type="dxa" w:w="21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Contexte</w:t>
            </w:r>
          </w:p>
        </w:tc>
        <w:tc>
          <w:tcPr>
            <w:tcW w:type="dxa" w:w="4144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3374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Nouvelles entités persistées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planification</w:t>
            </w:r>
          </w:p>
        </w:tc>
        <w:tc>
          <w:tcPr>
            <w:tcW w:type="dxa" w:w="4144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Projection sur 5 ans, quotas, hypothèses, versions.</w:t>
            </w:r>
          </w:p>
        </w:tc>
        <w:tc>
          <w:tcPr>
            <w:tcW w:type="dxa" w:w="3374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Hypotheses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VersionPlanification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QuotaRecrutement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nominations</w:t>
            </w:r>
          </w:p>
        </w:tc>
        <w:tc>
          <w:tcPr>
            <w:tcW w:type="dxa" w:w="4144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Vivier consolidé, rapprochement, cycle de vie, registre des mouvements.</w:t>
            </w:r>
          </w:p>
        </w:tc>
        <w:tc>
          <w:tcPr>
            <w:tcW w:type="dxa" w:w="3374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PersonneVivier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Nomination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TransitionNomination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Mouvement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</w:t>
            </w:r>
          </w:p>
        </w:tc>
        <w:tc>
          <w:tcPr>
            <w:tcW w:type="dxa" w:w="4144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Journal transverse, alimenté par les services de tous les contextes.</w:t>
            </w:r>
          </w:p>
        </w:tc>
        <w:tc>
          <w:tcPr>
            <w:tcW w:type="dxa" w:w="3374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6"/>
                <w:szCs w:val="16"/>
              </w:rPr>
              <w:t xml:space="preserve">EvenementAudit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S’y ajoutent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ValidationJeu</w:t>
      </w:r>
      <w:r>
        <w:t xml:space="preserve"> et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Actualisation</w:t>
      </w:r>
      <w:r>
        <w:t xml:space="preserve"> dans le contexte </w:t>
      </w:r>
      <w:r>
        <w:rPr>
          <w:b/>
          <w:bCs/>
        </w:rPr>
        <w:t xml:space="preserve">donnees</w:t>
      </w:r>
      <w:r>
        <w:t xml:space="preserve">. Dans la page unique, la page « Projections N+1 → N+3 » devient « Planification sur 5 ans », et deux pages s’ajoutent : « Vivier et nominations », « Journal d’audit ».</w:t>
      </w:r>
    </w:p>
    <w:p>
      <w:pPr>
        <w:pStyle w:val="Heading1"/>
        <w:pageBreakBefore/>
      </w:pPr>
      <w:r>
        <w:t xml:space="preserve">9. Points à valider avant la mise en œuvre</w:t>
      </w:r>
    </w:p>
    <w:p>
      <w:pPr>
        <w:spacing w:after="120"/>
      </w:pPr>
      <w:r>
        <w:t xml:space="preserve">Repris du mémo (§4)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méthode officielle de calcul du taux d’attrition — elle fixe le contenu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hypotheses/</w:t>
      </w:r>
      <w:r>
        <w:t xml:space="preserve"> et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hypotheses/attrition/estimer/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Les règles réglementaires et les données à utiliser pour prévoir les départs à la retraite (âge légal unique ou selon le statut, la catégorie ; date de référence).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portée exacte de la nomination depuis le vivier — elle fixe les sources du vivier et l’utilité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vivier/import/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Les niveaux territoriaux et administratifs attendus pour les tableaux (région, département, commune, IAEB…).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fréquence de mise à jour des données et les responsabilités de validation.</w:t>
      </w:r>
    </w:p>
    <w:p>
      <w:pPr>
        <w:spacing w:after="120"/>
      </w:pPr>
      <w:r>
        <w:t xml:space="preserve">Ajoutés par l’analyse technique 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Auteur des décisions.</w:t>
      </w:r>
      <w:r>
        <w:t xml:space="preserve"> Le module d’accès étant désactivé, l’application ne sait pas qui valide. Le journal d’audit et les validations demandent soit sa réactivation, soit la saisie du nom de l’agent à chaque décision.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Arrondi de l’attrition.</w:t>
      </w:r>
      <w:r>
        <w:t xml:space="preserve"> Arrondie au niveau de chaque territoire, la somme des régions peut dépasser le total national de quelques unités. Il faut choisir le niveau où l’arrondi s’applique.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Quotas des années précédentes.</w:t>
      </w:r>
      <w:r>
        <w:t xml:space="preserve"> Faut-il supposer que les quotas de N+1 sont recrutés pour projeter N+2 (projection « plan réalisé »), ou projeter sans recrutement intermédiaire comme aujourd’hui ? L’hypothèse est prévue dans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hypotheses/</w:t>
      </w:r>
      <w:r>
        <w:t xml:space="preserve">, sa valeur par défaut reste à décider.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0DA" w:sz="4" w:space="4"/>
      </w:pBdr>
    </w:pPr>
    <w:r>
      <w:rPr>
        <w:color w:val="6B7280"/>
        <w:sz w:val="16"/>
        <w:szCs w:val="16"/>
      </w:rPr>
      <w:t xml:space="preserve">AlgoPlanR — Routes API des nouvelles fonctionnalités — Planification prévisionnelle sur cinq ans, vivier et nominations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6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6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b/>
      <w:bCs/>
      <w:color w:val="1F3A5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AlgoPlanR — Routes API des nouvelles fonctionnalités</dc:title>
  <dc:creator>Leonel Awouma</dc:creator>
  <cp:lastModifiedBy>Un-named</cp:lastModifiedBy>
  <cp:revision>1</cp:revision>
  <dcterms:created xsi:type="dcterms:W3CDTF">2026-10-10T13:04:13.822Z</dcterms:created>
  <dcterms:modified xsi:type="dcterms:W3CDTF">2026-10-10T13:04:13.853Z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