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4022" w:rsidRDefault="00744022" w:rsidP="00744022">
      <w:pPr>
        <w:pStyle w:val="1"/>
        <w:shd w:val="clear" w:color="auto" w:fill="FFFFFF"/>
        <w:spacing w:before="0" w:beforeAutospacing="0" w:after="120" w:afterAutospacing="0"/>
        <w:rPr>
          <w:rFonts w:ascii="Arial" w:hAnsi="Arial" w:cs="Arial"/>
          <w:b w:val="0"/>
          <w:bCs w:val="0"/>
          <w:color w:val="333333"/>
        </w:rPr>
      </w:pPr>
      <w:r>
        <w:rPr>
          <w:rFonts w:ascii="Arial" w:hAnsi="Arial" w:cs="Arial"/>
          <w:b w:val="0"/>
          <w:bCs w:val="0"/>
          <w:color w:val="333333"/>
        </w:rPr>
        <w:t>Надёжно как в сейфе</w:t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6F7577"/>
          <w:sz w:val="27"/>
          <w:szCs w:val="27"/>
        </w:rPr>
      </w:pPr>
      <w:hyperlink r:id="rId5" w:history="1">
        <w:r>
          <w:rPr>
            <w:rStyle w:val="a3"/>
            <w:rFonts w:ascii="Arial" w:hAnsi="Arial" w:cs="Arial"/>
            <w:color w:val="6F7577"/>
            <w:sz w:val="27"/>
            <w:szCs w:val="27"/>
          </w:rPr>
          <w:t xml:space="preserve">Блог компании </w:t>
        </w:r>
        <w:proofErr w:type="spellStart"/>
        <w:r>
          <w:rPr>
            <w:rStyle w:val="a3"/>
            <w:rFonts w:ascii="Arial" w:hAnsi="Arial" w:cs="Arial"/>
            <w:color w:val="6F7577"/>
            <w:sz w:val="27"/>
            <w:szCs w:val="27"/>
          </w:rPr>
          <w:t>SAFEDATA</w:t>
        </w:r>
      </w:hyperlink>
      <w:hyperlink r:id="rId6" w:history="1">
        <w:r>
          <w:rPr>
            <w:rStyle w:val="a3"/>
            <w:rFonts w:ascii="Arial" w:hAnsi="Arial" w:cs="Arial"/>
            <w:color w:val="6F7577"/>
            <w:sz w:val="27"/>
            <w:szCs w:val="27"/>
          </w:rPr>
          <w:t>Информационная</w:t>
        </w:r>
        <w:proofErr w:type="spellEnd"/>
        <w:r>
          <w:rPr>
            <w:rStyle w:val="a3"/>
            <w:rFonts w:ascii="Arial" w:hAnsi="Arial" w:cs="Arial"/>
            <w:color w:val="6F7577"/>
            <w:sz w:val="27"/>
            <w:szCs w:val="27"/>
          </w:rPr>
          <w:t xml:space="preserve"> безопасность</w:t>
        </w:r>
        <w:r>
          <w:rPr>
            <w:rStyle w:val="tm-article-snippetprofiled-hub"/>
            <w:rFonts w:ascii="Arial" w:hAnsi="Arial" w:cs="Arial"/>
            <w:color w:val="6F7577"/>
            <w:sz w:val="27"/>
            <w:szCs w:val="27"/>
          </w:rPr>
          <w:t>*</w:t>
        </w:r>
      </w:hyperlink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 xml:space="preserve">Центры обработки данных ориентированы на решение бизнес-задач путём предоставления услуг в виде информационных сервисов. Современный ЦОД, несмотря на такие относительно новые требования как высокая степень гибкости и масштабируемости, по-прежнему должен, прежде всего, обеспечивать высокую надёжность. Всё, что вы хотели знать о надёжности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>, но боялись спросить – под катом.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noProof/>
          <w:color w:val="548EAA"/>
          <w:sz w:val="27"/>
          <w:szCs w:val="27"/>
          <w:lang w:eastAsia="ru-RU"/>
        </w:rPr>
        <w:drawing>
          <wp:inline distT="0" distB="0" distL="0" distR="0">
            <wp:extent cx="5916490" cy="3076575"/>
            <wp:effectExtent l="0" t="0" r="8255" b="0"/>
            <wp:docPr id="22" name="Рисунок 22" descr="https://habrastorage.org/r/w1560/files/3a0/9b3/c3d/3a09b3c3d418423a89c73f3581b6a6bb.jp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files/3a0/9b3/c3d/3a09b3c3d418423a89c73f3581b6a6bb.jpg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055" cy="3081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7"/>
          <w:szCs w:val="27"/>
        </w:rPr>
        <w:br/>
      </w:r>
      <w:bookmarkStart w:id="0" w:name="habracut"/>
      <w:bookmarkEnd w:id="0"/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t>ЦОД: что это такое?</w:t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>Что такое центр (хранения и) обработки данных (ЦОД)? Современный ЦОД – комплексное решение по управлению информационными системами предприятия. Это совокупность помещений, внешних площадок, инженерного оборудования, образующая единую систему для размещения средств передачи, хранения и обработки информации </w:t>
      </w:r>
      <w:r>
        <w:rPr>
          <w:rFonts w:ascii="Arial" w:hAnsi="Arial" w:cs="Arial"/>
          <w:b/>
          <w:bCs/>
          <w:color w:val="333333"/>
          <w:sz w:val="27"/>
          <w:szCs w:val="27"/>
        </w:rPr>
        <w:t>с заданной степенью доступности</w:t>
      </w:r>
      <w:r>
        <w:rPr>
          <w:rFonts w:ascii="Arial" w:hAnsi="Arial" w:cs="Arial"/>
          <w:color w:val="333333"/>
          <w:sz w:val="27"/>
          <w:szCs w:val="27"/>
        </w:rPr>
        <w:t xml:space="preserve">. ЦОД включает в себя набор взаимосвязанных программных и аппаратных компонентов, организационных процедур, мест размещения этих компонентов и персонала для безопасной централизованной обработки, хранения и предоставления данных, сервисов и приложений. С системной точки зрения ЦОД – отказоустойчивое, комплексное, централизованное решение, охватывающее информационные и инженерные системы. В обычном представлении центр обработки данных – специализированное здание, где располагается серверное, сетевое оборудование и системы </w:t>
      </w:r>
      <w:r>
        <w:rPr>
          <w:rFonts w:ascii="Arial" w:hAnsi="Arial" w:cs="Arial"/>
          <w:color w:val="333333"/>
          <w:sz w:val="27"/>
          <w:szCs w:val="27"/>
        </w:rPr>
        <w:lastRenderedPageBreak/>
        <w:t>хранения данных, которые размещаются в стандартных стойках.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t xml:space="preserve">Назначение </w:t>
      </w:r>
      <w:proofErr w:type="spellStart"/>
      <w:r>
        <w:rPr>
          <w:rFonts w:ascii="Arial" w:hAnsi="Arial" w:cs="Arial"/>
          <w:b/>
          <w:bCs/>
          <w:color w:val="0094D2"/>
        </w:rPr>
        <w:t>ЦОДа</w:t>
      </w:r>
      <w:proofErr w:type="spellEnd"/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 xml:space="preserve">ЦОД – сложное инженерное сооружение для централизованного размещения и обслуживания информационных систем, компьютерного и телекоммуникационного оборудования, высокотехнологичная площадка, оснащенная системами кондиционирования, бесперебойного питания, пожаротушения, СКС, контроля доступа. Основное назначение центров обработки данных – хранение, обработка и передача критичной для заказчика информации, поэтому в инфраструктуру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входит множество сложных и резервируемых инженерных систем высокой надёжности.</w:t>
      </w:r>
      <w:r>
        <w:rPr>
          <w:rFonts w:ascii="Arial" w:hAnsi="Arial" w:cs="Arial"/>
          <w:color w:val="333333"/>
          <w:sz w:val="27"/>
          <w:szCs w:val="27"/>
        </w:rPr>
        <w:br/>
        <w:t xml:space="preserve">Надёжность является главной характеристикой центра обработки данных. Она включает в себя много факторов: надёжность здания, электроснабжения, инженерных систем и коммуникаций, установленного оборудования. Высокая надёжность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означает бесперебойное предоставление услуг заказчикам в случае коммерческого центра обработки данных и уверенную работу собственной ИТ-инфраструктуры компании, эксплуатирующей корпоративный ЦОД.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>ЦОД обеспечивает доступ к информации предприятия, управление его информационными системами, организацию хранения и обработки данных. Как единая многокомпонентная система с консолидированным централизованным хранением и обработкой данных ЦОД, прежде всего, призван гарантировать бесперебойное автоматизированное функционирование бизнес-процессов.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К основным задачам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>, в первую очередь, относятся эффективное консолидированное хранение и обработка данных, предоставление пользователям прикладных сервисов, а также поддержка функционирования корпоративных приложений. Центры обработки данных создаются, в первую очередь, для повышения эффективности работы компаний, активно использующих в своей деятельности информационные технологии, повышения качества предоставляемых услуг. Они дают возможность надежно хранить важную информацию на протяжении всего ее жизненного цикла.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t>Состав и структура ЦОД</w:t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 xml:space="preserve">Любой ЦОД состоит из трех технологических блоков: информационного </w:t>
      </w:r>
      <w:r>
        <w:rPr>
          <w:rFonts w:ascii="Arial" w:hAnsi="Arial" w:cs="Arial"/>
          <w:color w:val="333333"/>
          <w:sz w:val="27"/>
          <w:szCs w:val="27"/>
        </w:rPr>
        <w:lastRenderedPageBreak/>
        <w:t xml:space="preserve">(отвечающего за обработку и хранение информации), телекоммуникационного (обеспечивающего взаимосвязь элементов центра и передача данных) и инженерного (сюда входят бесперебойное электроснабжение, поддержание температуры и влажности в помещении, системы пожаротушения). Таким образом, элементы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включают в себя информационную, сетевую, инженерную инфраструктуру, а также системы мониторинга/управления и обеспечения безопасности.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shd w:val="clear" w:color="auto" w:fill="FFFFFF"/>
        <w:jc w:val="center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6400800" cy="2400300"/>
            <wp:effectExtent l="0" t="0" r="0" b="0"/>
            <wp:docPr id="20" name="Рисунок 20" descr="https://habrastorage.org/r/w1560/files/31f/8ec/af3/31f8ecaf3ca64b5fa729f99650abec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r/w1560/files/31f/8ec/af3/31f8ecaf3ca64b5fa729f99650abec2e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Основными элементами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 xml:space="preserve"> являются системы обработки и хранения данных, активное сетевое оборудование, инженерные системы. В нем размещаются вычислительные платформы и СХД, система передачи данных, система электроснабжения и электроосвещения, система прецизионного кондиционирования, структурированная кабельная система, система кабельных каналов, фальшпол, подвесной потолок, интегрированная система безопасности, средства физической защита вычислительных систем и телекоммуникационного оборудования, системы раннего обнаружения пожара и газового пожаротушения.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В состав информационной инфраструктуры входят серверный комплекс, системы хранения данных и резервного копирования. Сетевая и телекоммуникационная инфраструктура обеспечивает взаимодействие между серверами, объединяет логические уровни и образует каналы связи, в том числе магистральные соединения с операторами связи и каналы, обеспечивающие доступ пользователей к ресурсам центра обработки данных. Телекоммуникационная инфраструктура позволяет осуществлять взаимосвязь элементов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, взаимодействие между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пользователями.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shd w:val="clear" w:color="auto" w:fill="FFFFFF"/>
        <w:jc w:val="center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6364136" cy="4305300"/>
            <wp:effectExtent l="0" t="0" r="0" b="0"/>
            <wp:docPr id="19" name="Рисунок 19" descr="https://habrastorage.org/r/w1560/files/a49/8cc/7d9/a498cc7d9b064c1496b7fbbb5eba6b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habrastorage.org/r/w1560/files/a49/8cc/7d9/a498cc7d9b064c1496b7fbbb5eba6b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658" cy="43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>Структура ЦОД.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Инженерная инфраструктура обеспечивает нормальное функционирование основных систем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 Она включает в себя подсистемы контроля климата и кондиционирования, энергообеспечения, пожарной сигнализации и пожаротушения.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Сетевая инфраструктура (СКС) обеспечивает взаимодействие между серверами, а также включает в себя магистральные каналы для связи с операторами и коммуникации для связи пользователей с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ЦОДом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>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Автоматизированные системы мониторинга, диспетчеризации и управления информационными ресурсами – необходимый элемент повышения надёжности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>, уменьшения негативного влияния «человеческого фактора». Система безопасности предотвращает несанкционированное вторжение в зоны конфиденциальной информации. Она включает в себя средства защиты, оповещения и контроля доступа. Часто для предотвращения несанкционированного проникновения в ЦОД (физическая безопасность) устанавливаются камеры видеонаблюдения.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lastRenderedPageBreak/>
        <w:t xml:space="preserve">Надёжность </w:t>
      </w:r>
      <w:proofErr w:type="spellStart"/>
      <w:r>
        <w:rPr>
          <w:rFonts w:ascii="Arial" w:hAnsi="Arial" w:cs="Arial"/>
          <w:b/>
          <w:bCs/>
          <w:color w:val="0094D2"/>
        </w:rPr>
        <w:t>ЦОДа</w:t>
      </w:r>
      <w:proofErr w:type="spellEnd"/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 xml:space="preserve">Основная функция современных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– это повышение надёжности обработки и хранения информации. Одним из главных критериев оценки качества работы любого ЦОД является время доступности информационных систем. ЦОД должен обеспечивать безопасность бизнеса и минимизировать риски простоя, отвечая следующим требованиям: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numPr>
          <w:ilvl w:val="0"/>
          <w:numId w:val="1"/>
        </w:numPr>
        <w:shd w:val="clear" w:color="auto" w:fill="FFFFFF"/>
        <w:spacing w:after="90" w:line="24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b/>
          <w:bCs/>
          <w:color w:val="333333"/>
          <w:sz w:val="27"/>
          <w:szCs w:val="27"/>
        </w:rPr>
        <w:t>Отказоустойчивость.</w:t>
      </w:r>
      <w:r>
        <w:rPr>
          <w:rFonts w:ascii="Arial" w:hAnsi="Arial" w:cs="Arial"/>
          <w:color w:val="333333"/>
          <w:sz w:val="27"/>
          <w:szCs w:val="27"/>
        </w:rPr>
        <w:t> Это свойство технической системы сохранять свою работоспособность после отказа одного или нескольких составных компонентов.</w:t>
      </w:r>
    </w:p>
    <w:p w:rsidR="00744022" w:rsidRDefault="00744022" w:rsidP="0074402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b/>
          <w:bCs/>
          <w:color w:val="333333"/>
          <w:sz w:val="27"/>
          <w:szCs w:val="27"/>
        </w:rPr>
        <w:t>Высокая доступность.</w:t>
      </w:r>
      <w:r>
        <w:rPr>
          <w:rFonts w:ascii="Arial" w:hAnsi="Arial" w:cs="Arial"/>
          <w:color w:val="333333"/>
          <w:sz w:val="27"/>
          <w:szCs w:val="27"/>
        </w:rPr>
        <w:t> Это свойство системы определяет её надёжность, возможность выполнять требуемую функцию при заданных условиях в данный момент времени или в течение заданного интервала времени при соблюдении определенного набора условий.</w:t>
      </w:r>
    </w:p>
    <w:p w:rsidR="00744022" w:rsidRDefault="00744022" w:rsidP="00744022">
      <w:pPr>
        <w:numPr>
          <w:ilvl w:val="0"/>
          <w:numId w:val="1"/>
        </w:numPr>
        <w:shd w:val="clear" w:color="auto" w:fill="FFFFFF"/>
        <w:spacing w:before="90" w:after="90" w:line="240" w:lineRule="auto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b/>
          <w:bCs/>
          <w:color w:val="333333"/>
          <w:sz w:val="27"/>
          <w:szCs w:val="27"/>
        </w:rPr>
        <w:t>Непрерывность бизнеса.</w:t>
      </w:r>
      <w:r>
        <w:rPr>
          <w:rFonts w:ascii="Arial" w:hAnsi="Arial" w:cs="Arial"/>
          <w:color w:val="333333"/>
          <w:sz w:val="27"/>
          <w:szCs w:val="27"/>
        </w:rPr>
        <w:t> Она включает в себя процессы и методы, направленные на обеспечение безостановочного выполнение критичных бизнес-функций.</w:t>
      </w:r>
    </w:p>
    <w:p w:rsidR="00744022" w:rsidRDefault="00744022" w:rsidP="00744022">
      <w:pPr>
        <w:numPr>
          <w:ilvl w:val="0"/>
          <w:numId w:val="1"/>
        </w:numPr>
        <w:shd w:val="clear" w:color="auto" w:fill="FFFFFF"/>
        <w:spacing w:before="90" w:after="0" w:line="240" w:lineRule="auto"/>
        <w:rPr>
          <w:rFonts w:ascii="Arial" w:hAnsi="Arial" w:cs="Arial"/>
          <w:color w:val="333333"/>
          <w:sz w:val="27"/>
          <w:szCs w:val="27"/>
        </w:rPr>
      </w:pPr>
      <w:proofErr w:type="spellStart"/>
      <w:r>
        <w:rPr>
          <w:rFonts w:ascii="Arial" w:hAnsi="Arial" w:cs="Arial"/>
          <w:b/>
          <w:bCs/>
          <w:color w:val="333333"/>
          <w:sz w:val="27"/>
          <w:szCs w:val="27"/>
        </w:rPr>
        <w:t>Катастрофоустойчивость</w:t>
      </w:r>
      <w:proofErr w:type="spellEnd"/>
      <w:r>
        <w:rPr>
          <w:rFonts w:ascii="Arial" w:hAnsi="Arial" w:cs="Arial"/>
          <w:b/>
          <w:bCs/>
          <w:color w:val="333333"/>
          <w:sz w:val="27"/>
          <w:szCs w:val="27"/>
        </w:rPr>
        <w:t>.</w:t>
      </w:r>
      <w:r>
        <w:rPr>
          <w:rFonts w:ascii="Arial" w:hAnsi="Arial" w:cs="Arial"/>
          <w:color w:val="333333"/>
          <w:sz w:val="27"/>
          <w:szCs w:val="27"/>
        </w:rPr>
        <w:t> Это способность к восстановлению после катастрофы т.е. устойчивость к воздействию аварий и природных катаклизмов.</w:t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>Эти первоочередные требования определяются стоимостью простоя и стоимостью обеспечения доступности приложений и данных. То есть требования бизнеса – стоимость решения, время восстановления приложений и данных после отказа – определяют соответствующие технические требования к подсистемам ЦОД, в числе которых их избыточность, производительность, пропускная способность, емкость и целостность данных.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Надёжность ЦОД обычно включает в себя такие составляющие как правильно выбранное помещение, наличие отлаженной системы бесперебойного гарантированного энергоснабжения, грамотной системы вентиляции и кондиционирования, водоснабжения и водоотвода, а также правильное построение телекоммуникационных систем. Критичным для пользователя остается обеспечение комплексной безопасности центра обработки данных – контроля доступа, охранной и пожарной сигнализации, пожаротушения. Все большее значение приобретают аспекты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катастрофоустойчивости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>, наличия резервной площадки.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lastRenderedPageBreak/>
        <w:t xml:space="preserve">При проектировании современных центров обработки данных, помимо исключительной надёжности, отказоустойчивости и работоспособности, к системам предъявляется целый ряд дополнительных требований, таких как управляемость, ремонтопригодность, низкая совокупная стоимость владения, масштабируемость,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адаптируемость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к изменениям и безопасность. Поэтому ЦОД обычно проектируется как комплексное решение, тесно интегрированное как со службами эксплуатации здания, так и с ИТ-инфраструктурой предприятия. Модульность и стандартизация позволяет всему комплексу развиваться, адаптироваться к меняющимся условиям и нагрузкам.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>ЦОД обеспечивает гарантированное бесперебойное питание размещаемого оборудования даже при отказе внешнего энергоснабжения, выполнение требований по климатическим параметрам (температура, влажность) и безопасности (физической и информационной). Как правило, для высокой доступности ЦОД подключают к нескольким (каналам различных операторов связи или узлам корпоративной сети. Качество и ширина каналов влияют на уровень предоставляемых услуг.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Основная характеристика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– уровень его надёжности. По стандарту TIA-942 выделяют четыре уровня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надёжности: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proofErr w:type="spellStart"/>
      <w:r>
        <w:rPr>
          <w:rFonts w:ascii="Arial" w:hAnsi="Arial" w:cs="Arial"/>
          <w:b/>
          <w:bCs/>
          <w:color w:val="333333"/>
          <w:sz w:val="27"/>
          <w:szCs w:val="27"/>
        </w:rPr>
        <w:t>Tier</w:t>
      </w:r>
      <w:proofErr w:type="spellEnd"/>
      <w:proofErr w:type="gramEnd"/>
      <w:r>
        <w:rPr>
          <w:rFonts w:ascii="Arial" w:hAnsi="Arial" w:cs="Arial"/>
          <w:b/>
          <w:bCs/>
          <w:color w:val="333333"/>
          <w:sz w:val="27"/>
          <w:szCs w:val="27"/>
        </w:rPr>
        <w:t xml:space="preserve"> I (N) </w:t>
      </w:r>
      <w:r>
        <w:rPr>
          <w:rFonts w:ascii="Arial" w:hAnsi="Arial" w:cs="Arial"/>
          <w:color w:val="333333"/>
          <w:sz w:val="27"/>
          <w:szCs w:val="27"/>
        </w:rPr>
        <w:t xml:space="preserve">— без резервирования. Доступность 99,71%. Это самый ненадежный ЦОД, в котором в случаи возникновения неполадок и отказа оборудования либо при начале ремонтных работ происходит остановка все центра обмена данными. Более того в таком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нет фальшполов и дополнительных источников питания, а инженерная инфраструктура не зарезервирована.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proofErr w:type="spellStart"/>
      <w:r>
        <w:rPr>
          <w:rFonts w:ascii="Arial" w:hAnsi="Arial" w:cs="Arial"/>
          <w:b/>
          <w:bCs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b/>
          <w:bCs/>
          <w:color w:val="333333"/>
          <w:sz w:val="27"/>
          <w:szCs w:val="27"/>
        </w:rPr>
        <w:t xml:space="preserve"> II (N+1)</w:t>
      </w:r>
      <w:r>
        <w:rPr>
          <w:rFonts w:ascii="Arial" w:hAnsi="Arial" w:cs="Arial"/>
          <w:color w:val="333333"/>
          <w:sz w:val="27"/>
          <w:szCs w:val="27"/>
        </w:rPr>
        <w:t xml:space="preserve"> — резервирование критических узлов. Доступность 99,741%. В этом случае есть некий уровень резервирования, в таком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присутствуют фальшполы и дополнительные источники питания, но в случае начала ремонтных работ ЦОД приостановит свою работу.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proofErr w:type="spellStart"/>
      <w:r>
        <w:rPr>
          <w:rFonts w:ascii="Arial" w:hAnsi="Arial" w:cs="Arial"/>
          <w:b/>
          <w:bCs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b/>
          <w:bCs/>
          <w:color w:val="333333"/>
          <w:sz w:val="27"/>
          <w:szCs w:val="27"/>
        </w:rPr>
        <w:t xml:space="preserve"> III (N+1)</w:t>
      </w:r>
      <w:r>
        <w:rPr>
          <w:rFonts w:ascii="Arial" w:hAnsi="Arial" w:cs="Arial"/>
          <w:color w:val="333333"/>
          <w:sz w:val="27"/>
          <w:szCs w:val="27"/>
        </w:rPr>
        <w:t xml:space="preserve"> — резервирование критических узлов, путей получения электроэнергии и трасс доставки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хладоносителя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. При этом есть возможность вывода любого узла из эксплуатации для его обслуживания с сохранением полной функциональности объекта в целом. Доступность 99,982%. В таких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ЦОДах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есть возможность проведения ремонтных работ без прекращения работы центра обработки данных. Инженерные системы однократно зарезервированы и существует несколько каналов служащих для распределения электропитания и охлаждения, но </w:t>
      </w:r>
      <w:r>
        <w:rPr>
          <w:rFonts w:ascii="Arial" w:hAnsi="Arial" w:cs="Arial"/>
          <w:color w:val="333333"/>
          <w:sz w:val="27"/>
          <w:szCs w:val="27"/>
        </w:rPr>
        <w:lastRenderedPageBreak/>
        <w:t>постоянно работает лишь один из них.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proofErr w:type="spellStart"/>
      <w:r>
        <w:rPr>
          <w:rFonts w:ascii="Arial" w:hAnsi="Arial" w:cs="Arial"/>
          <w:b/>
          <w:bCs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b/>
          <w:bCs/>
          <w:color w:val="333333"/>
          <w:sz w:val="27"/>
          <w:szCs w:val="27"/>
        </w:rPr>
        <w:t xml:space="preserve"> IV (2(N+1))</w:t>
      </w:r>
      <w:r>
        <w:rPr>
          <w:rFonts w:ascii="Arial" w:hAnsi="Arial" w:cs="Arial"/>
          <w:color w:val="333333"/>
          <w:sz w:val="27"/>
          <w:szCs w:val="27"/>
        </w:rPr>
        <w:t xml:space="preserve"> — это самый отказоустойчивый уровень, где допускается одна авария (а не плановый вывод узла из эксплуатации) в один момент времени. Доступность составляет 99,995%, что означает простой в течение всего 26 минут в год. 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ЦОДах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такого типа возможно проведение всех видов работ без остановки его работы. Инженерные системы зарезервированы двукратно, продублирована основная и дополнительная система.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shd w:val="clear" w:color="auto" w:fill="FFFFFF"/>
        <w:jc w:val="center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  <w:lang w:eastAsia="ru-RU"/>
        </w:rPr>
        <w:drawing>
          <wp:inline distT="0" distB="0" distL="0" distR="0">
            <wp:extent cx="6200775" cy="2740542"/>
            <wp:effectExtent l="0" t="0" r="0" b="3175"/>
            <wp:docPr id="17" name="Рисунок 17" descr="https://habrastorage.org/r/w1560/files/e70/5e6/b8b/e705e6b8b5254462bc4073690db4ca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habrastorage.org/r/w1560/files/e70/5e6/b8b/e705e6b8b5254462bc4073690db4ca1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315" cy="27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Четыре уровня отказоустойчивости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>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По оценкам экспертов, ЦОД с полным резервированием обычно обходится в 2,5 раза дороже простого ЦОД, поэтому крайне важно еще на уровне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предпроектной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подготовки определиться, какой категории должна соответствовать площадка. Как недооценка, так и переоценка важности параметра допустимого времени простоя одинаково негативно сказываются на бюджете компании. Ведь финансовые потери возможны либо из-за простоя и сбоев в работе критически важных систем, либо из-за нерациональных инвестиций.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t>Другие характеристики</w:t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 xml:space="preserve">Главная характеристика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– отказоустойчивость, но не менее важными являются стоимость эксплуатации, показатель расхода электроэнергии 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энергоэффективности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(PUE). При определении требований к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ЦОДу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необходимо учитывать тенденции развития </w:t>
      </w:r>
      <w:r>
        <w:rPr>
          <w:rFonts w:ascii="Arial" w:hAnsi="Arial" w:cs="Arial"/>
          <w:color w:val="333333"/>
          <w:sz w:val="27"/>
          <w:szCs w:val="27"/>
        </w:rPr>
        <w:lastRenderedPageBreak/>
        <w:t xml:space="preserve">информационных систем и телекоммуникаций, предусмотреть варианты расширения мощностей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ЦОДу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в соответствии с планами развития предприятия.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Требования к площадям и пространству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определяются наряду с общей производительностью и емкостью ИТ-систем также такими факторами, как расчетный отвод тепла и необходимый уровень резервирования для обеспечения отказоустойчивости. Важный параметр – энергопотребление основного оборудования. Например, при проектировании нового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рекомендуют ориентироваться не на 5−6 кВт на стойку, а на подведение 10−15 кВт. Мощность источников бесперебойного питания выбирается в зависимости от энергопотребления основного оборудования.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Подводимая к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ЦОДу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должна составлять примерно 250% от мощности, потребляемой ИТ-системами. Наряду с ИТ ее потребляют системы кондиционирования и электропитания, а также системы освещения, вентиляции, пожаротушения, контроля доступа, видеонаблюдения.</w:t>
      </w:r>
      <w:r>
        <w:rPr>
          <w:rFonts w:ascii="Arial" w:hAnsi="Arial" w:cs="Arial"/>
          <w:color w:val="333333"/>
          <w:sz w:val="27"/>
          <w:szCs w:val="27"/>
        </w:rPr>
        <w:br/>
        <w:t>Размеры и общий вес стоек определяют требования к минимальной нагрузочной способности перекрытий и фальшпола, а состав и производительность информационных систем – к кабельным системам и внешним кабельным вводам для каналов связи. На основании емкости и типов размещаемого оборудования, а также необходимых уровней обслуживания составляются требования к вспомогательным помещениям.</w:t>
      </w:r>
      <w:r>
        <w:rPr>
          <w:rFonts w:ascii="Arial" w:hAnsi="Arial" w:cs="Arial"/>
          <w:color w:val="333333"/>
          <w:sz w:val="27"/>
          <w:szCs w:val="27"/>
        </w:rPr>
        <w:br/>
        <w:t xml:space="preserve">Требования к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ЦОДу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также определяются особенностями эксплуатации прикладных систем и необходимостью выделения ИТ-ресурсов, законодательными актами государственных регуляторов хозяйственной деятельности. В целом они зависят от потребностей бизнеса и решаемых бизнес-задач, однако есть и общие требования, определяемые стандартами.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t xml:space="preserve">Классификация </w:t>
      </w:r>
      <w:proofErr w:type="spellStart"/>
      <w:r>
        <w:rPr>
          <w:rFonts w:ascii="Arial" w:hAnsi="Arial" w:cs="Arial"/>
          <w:b/>
          <w:bCs/>
          <w:color w:val="0094D2"/>
        </w:rPr>
        <w:t>ЦОДов</w:t>
      </w:r>
      <w:proofErr w:type="spellEnd"/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 xml:space="preserve">Центры обработки данных можно разделить на несколько видов, которые зависят от некоторых параметров. По целям использования обычно выделяют два вида ЦОД: корпоративный и коммерческий (КЦОД). Целью создания корпоративного ЦОД является автоматизация бизнес-процессов, хранение и обработке информации компании или организации. Главная задача коммерческого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– получение прибыли от сдачи площадей в аренду, предоставления услуг и сервисов.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lastRenderedPageBreak/>
        <w:t>По своему назначению в информационной инфраструктуре ЦОД может быть основным или резервным. Последний необходим для замены основного в случае непредвиденных происшествий либо профилактических работ.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можно также разделить на несколько типов по размерам. Крупные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имеют собственное здание, которое создано или выбрано в соответствии с предъявляемыми к центру обработки данных требованиями. Средние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, как правило, арендуют помещение необходимого размера, а также каналы определенной пропускной способностью. Малые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серверные вовсе не обязательно располагаются в плохо приспособленных для этого помещениях, а перечень услуг представлен по минимуму. В последние годы становятся популярными высокотехнологичные контейнерные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– специально спроектированные и быстро развертываемые модульные решения. Наконец,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классифицируются по уровням надёжности – упомянутым выше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I-IV.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Существует несколько типов коммерческого использования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 Первый — виртуальный хостинг, подразумевающий аренду части дискового пространства, процессорного времени и оперативной памяти (один физический сервер делится между множеством клиентов). Второй — выделенный хостинг — аналогичная схема, но с гарантированными ресурсами. Третий — размещение сервера и другого оборудования клиента в помещении центра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co-location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>).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r>
        <w:rPr>
          <w:rFonts w:ascii="Arial" w:hAnsi="Arial" w:cs="Arial"/>
          <w:b/>
          <w:bCs/>
          <w:color w:val="0094D2"/>
        </w:rPr>
        <w:t xml:space="preserve">Стандарты </w:t>
      </w:r>
      <w:proofErr w:type="spellStart"/>
      <w:r>
        <w:rPr>
          <w:rFonts w:ascii="Arial" w:hAnsi="Arial" w:cs="Arial"/>
          <w:b/>
          <w:bCs/>
          <w:color w:val="0094D2"/>
        </w:rPr>
        <w:t>ЦОДов</w:t>
      </w:r>
      <w:proofErr w:type="spellEnd"/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 xml:space="preserve">Есть два основных документа, которые чаще всего упоминаются при обсуждении стандартов центров обработки данных: это стандарт TIA 942 и классификация по уровням от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Uptime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Institute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 Оба этих документа регламентируют уровни надёжности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), что часто приводит к путанице: например,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III по TIA 942 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III по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Uptime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Institute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— это две большие разницы.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Стандарт ANSI/TIA/EIA-942 регламентирует требования к расположению центров обработки данных, к внешней инфраструктуре, телекоммуникационному пространству внутри центра данных, к кабельной системе и кабельным каналам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, к его инфраструктуре в зависимости от требуемого уровня надёжности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.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I и II класса могут занимать часть какого-либо помещения, а объекты III и IV класса размещаются только в отдельных зданиях. Всего EIA/TIA-942 описывает </w:t>
      </w:r>
      <w:r>
        <w:rPr>
          <w:rFonts w:ascii="Arial" w:hAnsi="Arial" w:cs="Arial"/>
          <w:color w:val="333333"/>
          <w:sz w:val="27"/>
          <w:szCs w:val="27"/>
        </w:rPr>
        <w:lastRenderedPageBreak/>
        <w:t xml:space="preserve">до 200 различных параметров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>Стандарт TIA 942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Telecommunications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Industry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Association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—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Telecommunications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Infrastructure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Standard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for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Data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Centers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) разработан ассоциацией телекоммуникационной промышленности США и, в первую очередь, касается вопросов организации структурированных кабельных систем 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отказоустойчивости и других инженерных подсистем. Он носит рекомендательный характер. Разработанный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Uptime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Institute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документ – не стандарт, а скорее методология нормирования отказоустойчивости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 В нем сформулированы основные принципы проектирования и подходы. Сертифицируется как проект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Certification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of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Design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Documents</w:t>
      </w:r>
      <w:proofErr w:type="spellEnd"/>
      <w:r>
        <w:rPr>
          <w:rFonts w:ascii="Arial" w:hAnsi="Arial" w:cs="Arial"/>
          <w:color w:val="333333"/>
          <w:sz w:val="27"/>
          <w:szCs w:val="27"/>
        </w:rPr>
        <w:t>), так и работающая площадка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Certification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of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Constructed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Facility</w:t>
      </w:r>
      <w:proofErr w:type="spellEnd"/>
      <w:r>
        <w:rPr>
          <w:rFonts w:ascii="Arial" w:hAnsi="Arial" w:cs="Arial"/>
          <w:color w:val="333333"/>
          <w:sz w:val="27"/>
          <w:szCs w:val="27"/>
        </w:rPr>
        <w:t>) и её эксплуатация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Operational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Sustainability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Certification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). Сертификация осуществляется только самим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Uptime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Institute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Хотя по сути эти уровни схожи, принципы оценки значительно различаются.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Uptime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Institute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проверяет полученный результат – как работает построенный ЦОД, а не строгое соответствие документам. В России нет единого стандарта, однако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ориентируются на требования, разработанные для сооружений связи, на TIA-942, а также на ГОСТы. Существует также относительно новый стандарт BICSI 002 2010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Data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Center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Design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and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Implementation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Best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Practices</w:t>
      </w:r>
      <w:proofErr w:type="spellEnd"/>
      <w:r>
        <w:rPr>
          <w:rFonts w:ascii="Arial" w:hAnsi="Arial" w:cs="Arial"/>
          <w:color w:val="333333"/>
          <w:sz w:val="27"/>
          <w:szCs w:val="27"/>
        </w:rPr>
        <w:t>, который появился в 2010 году и был обновлен в 2011 году. Он создан с целью дополнения уже существующих стандартов. Близок к завершению и европейский стандарт EN 50173-5, на основе которого в будущем предполагается сформировать соответствующий российский ГОСТ.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>
      <w:pPr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 w:type="page"/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</w:p>
    <w:p w:rsidR="00744022" w:rsidRDefault="00744022" w:rsidP="00744022">
      <w:pPr>
        <w:pStyle w:val="2"/>
        <w:shd w:val="clear" w:color="auto" w:fill="FFFFFF"/>
        <w:spacing w:before="0"/>
        <w:rPr>
          <w:rFonts w:ascii="Arial" w:hAnsi="Arial" w:cs="Arial"/>
          <w:color w:val="333333"/>
          <w:sz w:val="36"/>
          <w:szCs w:val="36"/>
        </w:rPr>
      </w:pPr>
      <w:proofErr w:type="spellStart"/>
      <w:r>
        <w:rPr>
          <w:rFonts w:ascii="Arial" w:hAnsi="Arial" w:cs="Arial"/>
          <w:b/>
          <w:bCs/>
          <w:color w:val="0094D2"/>
        </w:rPr>
        <w:t>ЦОДы</w:t>
      </w:r>
      <w:proofErr w:type="spellEnd"/>
      <w:r>
        <w:rPr>
          <w:rFonts w:ascii="Arial" w:hAnsi="Arial" w:cs="Arial"/>
          <w:b/>
          <w:bCs/>
          <w:color w:val="0094D2"/>
        </w:rPr>
        <w:t xml:space="preserve"> SAFEDATA</w:t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  <w:t>Центры обработки данных – основное направление деятельности </w:t>
      </w:r>
      <w:hyperlink r:id="rId12" w:history="1">
        <w:r>
          <w:rPr>
            <w:rStyle w:val="a3"/>
            <w:rFonts w:ascii="Arial" w:hAnsi="Arial" w:cs="Arial"/>
            <w:color w:val="548EAA"/>
            <w:sz w:val="27"/>
            <w:szCs w:val="27"/>
          </w:rPr>
          <w:t>SAFEDATA</w:t>
        </w:r>
      </w:hyperlink>
      <w:r>
        <w:rPr>
          <w:rFonts w:ascii="Arial" w:hAnsi="Arial" w:cs="Arial"/>
          <w:color w:val="333333"/>
          <w:sz w:val="27"/>
          <w:szCs w:val="27"/>
        </w:rPr>
        <w:t xml:space="preserve">, оператора собственной распределенной сети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поставщика услуг ИТ-аутсорсинга. Группа SAFEDATA, в состав которой сегодня входят Центр Хранения Данных, Центр Технологий Виртуализации, оператор CDN компания NGENIX и оператор площадки обмена трафиком MСК-IX, владеет сетью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>, построенных в соответствии с требованиями международных стандартов TIA-942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Tier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III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).</w:t>
      </w:r>
      <w:r>
        <w:rPr>
          <w:rFonts w:ascii="Arial" w:hAnsi="Arial" w:cs="Arial"/>
          <w:color w:val="333333"/>
          <w:sz w:val="27"/>
          <w:szCs w:val="27"/>
        </w:rPr>
        <w:br/>
        <w:t>По</w:t>
      </w:r>
      <w:proofErr w:type="gramEnd"/>
      <w:r>
        <w:rPr>
          <w:rFonts w:ascii="Arial" w:hAnsi="Arial" w:cs="Arial"/>
          <w:color w:val="333333"/>
          <w:sz w:val="27"/>
          <w:szCs w:val="27"/>
        </w:rPr>
        <w:t xml:space="preserve"> данным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iKS-Consulting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, структуры «Ростелекома» в 2015 году займут 12,5% российского рынка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. Сейчас госкомпания запустила 3081 стойку, включая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ММТС-9 и SAFEDATA. На конец 2014 года доход ее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оценивается в 1,67 млрд руб.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SAFEDATA — современные 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энергоэффективные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инженерные решения. Они спроектированы так, что смогут функционировать практически в любых условиях. </w:t>
      </w:r>
      <w:hyperlink r:id="rId13" w:history="1">
        <w:r>
          <w:rPr>
            <w:rStyle w:val="a3"/>
            <w:rFonts w:ascii="Arial" w:hAnsi="Arial" w:cs="Arial"/>
            <w:color w:val="548EAA"/>
            <w:sz w:val="27"/>
            <w:szCs w:val="27"/>
          </w:rPr>
          <w:t>ЦОД SAFEDATA Москва-I</w:t>
        </w:r>
      </w:hyperlink>
      <w:r>
        <w:rPr>
          <w:rFonts w:ascii="Arial" w:hAnsi="Arial" w:cs="Arial"/>
          <w:color w:val="333333"/>
          <w:sz w:val="27"/>
          <w:szCs w:val="27"/>
        </w:rPr>
        <w:t xml:space="preserve"> общей площадью более 2000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кв.м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расположен 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Остаповском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проезде.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Инфраструктура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>, рассчитанного на 500 стоек, построена в соответствии со стандартом TIA-942.</w:t>
      </w:r>
      <w:r>
        <w:rPr>
          <w:rFonts w:ascii="Arial" w:hAnsi="Arial" w:cs="Arial"/>
          <w:color w:val="333333"/>
          <w:sz w:val="27"/>
          <w:szCs w:val="27"/>
        </w:rPr>
        <w:br/>
        <w:t xml:space="preserve">Питается этот ЦОД мощностью 4 МВт напрямую от ТЭЦ-8 Мосэнерго. ЦОД обеспечивает бесперебойное электропитание категории 1, имеет независимые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энерговводы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, резервированные дизель-генераторные установки. Для бесперебойной работы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задействованы четыре ДГУ FG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Wilson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мощностью 1250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кВА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каждая, и четыре ИБП мощностью 800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кВА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 ДГУ автоматически запускается при пропадании напряжения от трансформаторной подстанции и работает до 8 часов без дозаправки топливом.</w:t>
      </w:r>
      <w:r>
        <w:rPr>
          <w:rFonts w:ascii="Arial" w:hAnsi="Arial" w:cs="Arial"/>
          <w:color w:val="333333"/>
          <w:sz w:val="27"/>
          <w:szCs w:val="27"/>
        </w:rPr>
        <w:br/>
        <w:t>ЦОД имеет ВОЛС до ММТС-9, ММТС-10, а клиентам предоставляется возможность ввода собственной ВОЛС.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>Работа системы энергоснабжения круглосуточно контролируется сотрудниками SAFEDATA.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Москва-I установлены прецизионные шкафные кондиционеры, работающие по схеме (N+1), холодопроизводительностью 100 кВт каждый. Система прецизионного кондиционирования построена на базе шкафных кондиционеров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Hiref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холодильных машин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Geoclima</w:t>
      </w:r>
      <w:proofErr w:type="spellEnd"/>
      <w:r>
        <w:rPr>
          <w:rFonts w:ascii="Arial" w:hAnsi="Arial" w:cs="Arial"/>
          <w:color w:val="333333"/>
          <w:sz w:val="27"/>
          <w:szCs w:val="27"/>
        </w:rPr>
        <w:t>. От кондиционеров охлажденный воздух подается под фальшпол и далее, через перфорированные плитки фальшпола — в «холодные» коридоры.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shd w:val="clear" w:color="auto" w:fill="FFFFFF"/>
        <w:jc w:val="center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6072188" cy="4048125"/>
            <wp:effectExtent l="0" t="0" r="5080" b="0"/>
            <wp:docPr id="11" name="Рисунок 11" descr="https://habrastorage.org/r/w1560/getpro/habr/post_images/24e/24d/ffc/24e24dffc9c68e6b3f257bb204f873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habrastorage.org/r/w1560/getpro/habr/post_images/24e/24d/ffc/24e24dffc9c68e6b3f257bb204f8730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075" cy="4055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На крыше здания расположены внешние конденсаторные блоки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Guntner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>, соединенные с кондиционерами двумя независимыми трассами.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На открытых технологических площадках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установлены два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чиллера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с технологией естественного охлаждения (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free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cooling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) по 700 кВт холодопроизводительности, а также две холодильные машины с технологией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Turbocool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. Суммарная холодопроизводительность двух контуров независимой системы охлаждения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доведена до 2600 кВт. В качестве хладагента используется 40% раствор этиленгликоля. ЦОД оборудован системами автоматического газового пожаротушения (АГПТ) на основе газовой смеси Хладон 227.    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</w:r>
      <w:hyperlink r:id="rId15" w:history="1">
        <w:r>
          <w:rPr>
            <w:rStyle w:val="a3"/>
            <w:rFonts w:ascii="Arial" w:hAnsi="Arial" w:cs="Arial"/>
            <w:color w:val="548EAA"/>
            <w:sz w:val="27"/>
            <w:szCs w:val="27"/>
          </w:rPr>
          <w:t>ЦОД Москва-II</w:t>
        </w:r>
      </w:hyperlink>
      <w:r>
        <w:rPr>
          <w:rFonts w:ascii="Arial" w:hAnsi="Arial" w:cs="Arial"/>
          <w:color w:val="333333"/>
          <w:sz w:val="27"/>
          <w:szCs w:val="27"/>
        </w:rPr>
        <w:t>, расположенный по адресу пл. Академика Курчатова, д.1, стр.19, построен в рамках сотрудничества с Российским Научным Центром «Курчатовский Институт».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>Он рассчитан на 900 стоек, а  выделенная электрическая мощность составляет 10 МВт.</w:t>
      </w:r>
      <w:r>
        <w:rPr>
          <w:rFonts w:ascii="Arial" w:hAnsi="Arial" w:cs="Arial"/>
          <w:color w:val="333333"/>
          <w:sz w:val="27"/>
          <w:szCs w:val="27"/>
        </w:rPr>
        <w:br/>
        <w:t>Как и Москва-I, данный ЦОД предусматривает собственные ВОЛС до ММТС-9 и ММТС-10, а крупным клиентам предоставляется возможность ввода собственной ВОЛС.  </w:t>
      </w:r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shd w:val="clear" w:color="auto" w:fill="FFFFFF"/>
        <w:jc w:val="center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noProof/>
          <w:color w:val="333333"/>
          <w:sz w:val="27"/>
          <w:szCs w:val="27"/>
          <w:lang w:eastAsia="ru-RU"/>
        </w:rPr>
        <w:lastRenderedPageBreak/>
        <w:drawing>
          <wp:inline distT="0" distB="0" distL="0" distR="0">
            <wp:extent cx="12192000" cy="8124825"/>
            <wp:effectExtent l="0" t="0" r="0" b="9525"/>
            <wp:docPr id="8" name="Рисунок 8" descr="https://habrastorage.org/r/w1560/getpro/habr/post_images/8ea/268/011/8ea26801137f33a00c57cc9d42d943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habrastorage.org/r/w1560/getpro/habr/post_images/8ea/268/011/8ea26801137f33a00c57cc9d42d9434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ЦОД имеет бесперебойное электропитание категории 1, независимые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энерговводы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>, дублированные дизель-роторными источниками бесперебойного питания.</w:t>
      </w:r>
      <w:r>
        <w:rPr>
          <w:rFonts w:ascii="Arial" w:hAnsi="Arial" w:cs="Arial"/>
          <w:color w:val="333333"/>
          <w:sz w:val="27"/>
          <w:szCs w:val="27"/>
        </w:rPr>
        <w:t> </w:t>
      </w:r>
      <w:r>
        <w:rPr>
          <w:rStyle w:val="a6"/>
          <w:rFonts w:ascii="Arial" w:hAnsi="Arial" w:cs="Arial"/>
          <w:color w:val="333333"/>
          <w:sz w:val="27"/>
          <w:szCs w:val="27"/>
        </w:rPr>
        <w:t xml:space="preserve">Он оснащен восемью дизель-роторными </w:t>
      </w:r>
      <w:r>
        <w:rPr>
          <w:rStyle w:val="a6"/>
          <w:rFonts w:ascii="Arial" w:hAnsi="Arial" w:cs="Arial"/>
          <w:color w:val="333333"/>
          <w:sz w:val="27"/>
          <w:szCs w:val="27"/>
        </w:rPr>
        <w:lastRenderedPageBreak/>
        <w:t xml:space="preserve">источниками бесперебойного питания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Hitec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Power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 xml:space="preserve">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Protection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 xml:space="preserve"> мощностью 1680 </w:t>
      </w:r>
      <w:proofErr w:type="spellStart"/>
      <w:r>
        <w:rPr>
          <w:rStyle w:val="a6"/>
          <w:rFonts w:ascii="Arial" w:hAnsi="Arial" w:cs="Arial"/>
          <w:color w:val="333333"/>
          <w:sz w:val="27"/>
          <w:szCs w:val="27"/>
        </w:rPr>
        <w:t>кВА</w:t>
      </w:r>
      <w:proofErr w:type="spellEnd"/>
      <w:r>
        <w:rPr>
          <w:rStyle w:val="a6"/>
          <w:rFonts w:ascii="Arial" w:hAnsi="Arial" w:cs="Arial"/>
          <w:color w:val="333333"/>
          <w:sz w:val="27"/>
          <w:szCs w:val="27"/>
        </w:rPr>
        <w:t xml:space="preserve"> каждый, зарезервированными по схеме N+1.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Специальная резервная емкость обеспечивает время автономной работы всей системы дизель-роторных ИБП не менее 20 часов (оперативная доставка дизельного топлива гарантирует бесперебойную работу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даже при долговременном отсутствии питания городской электросети).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Поддержание требуемых климатических параметров осуществляется с помощью прецизионных кондиционеров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Hiref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. В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ЦОДе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Москва-II установлены несколько десятков прецизионных шкафных кондиционеров, работающих по схеме (N+1), холодопроизводительностью 100 кВт каждый. Вся система кондиционирования зарезервирована по схеме N+1 для каждого машинного зала. От кондиционеров охлажденный воздух подается под фальшпол и далее, через перфорированные плитки фальшпола в «холодные» </w:t>
      </w:r>
      <w:proofErr w:type="gramStart"/>
      <w:r>
        <w:rPr>
          <w:rFonts w:ascii="Arial" w:hAnsi="Arial" w:cs="Arial"/>
          <w:color w:val="333333"/>
          <w:sz w:val="27"/>
          <w:szCs w:val="27"/>
        </w:rPr>
        <w:t>коридоры.  </w:t>
      </w:r>
      <w:proofErr w:type="gramEnd"/>
      <w:r>
        <w:rPr>
          <w:rFonts w:ascii="Arial" w:hAnsi="Arial" w:cs="Arial"/>
          <w:color w:val="333333"/>
          <w:sz w:val="27"/>
          <w:szCs w:val="27"/>
        </w:rPr>
        <w:br/>
      </w:r>
    </w:p>
    <w:p w:rsidR="00744022" w:rsidRDefault="00744022" w:rsidP="00744022">
      <w:pPr>
        <w:shd w:val="clear" w:color="auto" w:fill="FFFFFF"/>
        <w:rPr>
          <w:rFonts w:ascii="Arial" w:hAnsi="Arial" w:cs="Arial"/>
          <w:color w:val="333333"/>
          <w:sz w:val="27"/>
          <w:szCs w:val="27"/>
        </w:rPr>
      </w:pPr>
      <w:r>
        <w:rPr>
          <w:rFonts w:ascii="Arial" w:hAnsi="Arial" w:cs="Arial"/>
          <w:color w:val="333333"/>
          <w:sz w:val="27"/>
          <w:szCs w:val="27"/>
        </w:rPr>
        <w:t>ЦОД оборудован системами автоматического газового пожаротушения (АГПТ) на основе газовой смеси Хладон 125. В состав АГПТ входят световая и звуковая сигнализация, предупреждающая о пуске газа, которая интегрирована с системой охлаждения для отключения кондиционирующего оборудования в случае аварии, и системой разграничения физического доступа.</w:t>
      </w:r>
      <w:r>
        <w:rPr>
          <w:rFonts w:ascii="Arial" w:hAnsi="Arial" w:cs="Arial"/>
          <w:color w:val="333333"/>
          <w:sz w:val="27"/>
          <w:szCs w:val="27"/>
        </w:rPr>
        <w:br/>
      </w:r>
      <w:bookmarkStart w:id="1" w:name="_GoBack"/>
      <w:bookmarkEnd w:id="1"/>
      <w:r>
        <w:rPr>
          <w:rFonts w:ascii="Arial" w:hAnsi="Arial" w:cs="Arial"/>
          <w:color w:val="333333"/>
          <w:sz w:val="27"/>
          <w:szCs w:val="27"/>
        </w:rPr>
        <w:br/>
        <w:t xml:space="preserve">Система безопасности и ограничения доступа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ЦОДов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Москва-I и Москва-II организована на нескольких уровнях и включает в себя охраняемую территорию, организационные процедуры контроля доступа в ЦОД, систему разграничения физического доступа на базе «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proximity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»-карт, систему видеонаблюдения внутри, снаружи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и в каждом модуле с тридцатидневным архивированием записей. По желанию заказчика могут быть установлены дополнительные средства безопасности.</w:t>
      </w:r>
      <w:r>
        <w:rPr>
          <w:rFonts w:ascii="Arial" w:hAnsi="Arial" w:cs="Arial"/>
          <w:color w:val="333333"/>
          <w:sz w:val="27"/>
          <w:szCs w:val="27"/>
        </w:rPr>
        <w:br/>
      </w:r>
      <w:r>
        <w:rPr>
          <w:rFonts w:ascii="Arial" w:hAnsi="Arial" w:cs="Arial"/>
          <w:color w:val="333333"/>
          <w:sz w:val="27"/>
          <w:szCs w:val="27"/>
        </w:rPr>
        <w:br/>
        <w:t xml:space="preserve">Главное свойство современного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— надёжность. Он не останавливается даже при авариях в энергосистемах города. Вышедшее из строя оборудование и каналы связи подменяют резервные системы. </w:t>
      </w:r>
      <w:proofErr w:type="spellStart"/>
      <w:r>
        <w:rPr>
          <w:rFonts w:ascii="Arial" w:hAnsi="Arial" w:cs="Arial"/>
          <w:color w:val="333333"/>
          <w:sz w:val="27"/>
          <w:szCs w:val="27"/>
        </w:rPr>
        <w:t>ЦОДам</w:t>
      </w:r>
      <w:proofErr w:type="spellEnd"/>
      <w:r>
        <w:rPr>
          <w:rFonts w:ascii="Arial" w:hAnsi="Arial" w:cs="Arial"/>
          <w:color w:val="333333"/>
          <w:sz w:val="27"/>
          <w:szCs w:val="27"/>
        </w:rPr>
        <w:t xml:space="preserve"> SAFEDATA не помешают нештатные ситуации – на случай любого бедствия есть ответ.</w:t>
      </w:r>
    </w:p>
    <w:p w:rsidR="00744022" w:rsidRDefault="00744022">
      <w:pP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br w:type="page"/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644B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lastRenderedPageBreak/>
        <w:t> </w:t>
      </w:r>
      <w:hyperlink r:id="rId17" w:history="1">
        <w:r w:rsidRPr="001644B4">
          <w:rPr>
            <w:rFonts w:ascii="Times New Roman" w:eastAsia="Times New Roman" w:hAnsi="Times New Roman" w:cs="Times New Roman"/>
            <w:color w:val="1F75FF"/>
            <w:sz w:val="24"/>
            <w:szCs w:val="24"/>
            <w:bdr w:val="none" w:sz="0" w:space="0" w:color="auto" w:frame="1"/>
            <w:lang w:eastAsia="ru-RU"/>
          </w:rPr>
          <w:t xml:space="preserve">Блог ЦОД </w:t>
        </w:r>
        <w:proofErr w:type="spellStart"/>
        <w:r w:rsidRPr="001644B4">
          <w:rPr>
            <w:rFonts w:ascii="Times New Roman" w:eastAsia="Times New Roman" w:hAnsi="Times New Roman" w:cs="Times New Roman"/>
            <w:color w:val="1F75FF"/>
            <w:sz w:val="24"/>
            <w:szCs w:val="24"/>
            <w:bdr w:val="none" w:sz="0" w:space="0" w:color="auto" w:frame="1"/>
            <w:lang w:eastAsia="ru-RU"/>
          </w:rPr>
          <w:t>IXc</w:t>
        </w:r>
        <w:proofErr w:type="spellEnd"/>
      </w:hyperlink>
      <w:r w:rsidRPr="001644B4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ru-RU"/>
        </w:rPr>
        <w:t>  2023: глобальные тенденции индустрии ЦОД</w:t>
      </w:r>
    </w:p>
    <w:p w:rsidR="001644B4" w:rsidRPr="001644B4" w:rsidRDefault="001644B4" w:rsidP="001644B4">
      <w:pPr>
        <w:spacing w:after="0" w:line="1170" w:lineRule="atLeast"/>
        <w:textAlignment w:val="baseline"/>
        <w:outlineLvl w:val="0"/>
        <w:rPr>
          <w:rFonts w:ascii="inherit" w:eastAsia="Times New Roman" w:hAnsi="inherit" w:cs="Times New Roman"/>
          <w:b/>
          <w:bCs/>
          <w:color w:val="222222"/>
          <w:spacing w:val="-5"/>
          <w:kern w:val="36"/>
          <w:sz w:val="90"/>
          <w:szCs w:val="90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color w:val="222222"/>
          <w:spacing w:val="-5"/>
          <w:kern w:val="36"/>
          <w:sz w:val="90"/>
          <w:szCs w:val="90"/>
          <w:bdr w:val="none" w:sz="0" w:space="0" w:color="auto" w:frame="1"/>
          <w:lang w:eastAsia="ru-RU"/>
        </w:rPr>
        <w:t>2023: глобальные тенденции индустрии ЦОД</w:t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Геополитическая турбулентность, сложность ввода новых мощностей, массовое внедрение искусственного интеллекта и активный переход на возобновляемую энергию — </w:t>
      </w:r>
      <w:r w:rsidRPr="001644B4">
        <w:rPr>
          <w:rFonts w:ascii="inherit" w:eastAsia="Times New Roman" w:hAnsi="inherit" w:cs="Times New Roman"/>
          <w:b/>
          <w:bCs/>
          <w:sz w:val="27"/>
          <w:szCs w:val="27"/>
          <w:bdr w:val="none" w:sz="0" w:space="0" w:color="auto" w:frame="1"/>
          <w:lang w:eastAsia="ru-RU"/>
        </w:rPr>
        <w:t>каким будет 2023-й для мирового рынка ЦОД?</w:t>
      </w:r>
    </w:p>
    <w:p w:rsidR="001644B4" w:rsidRPr="001644B4" w:rsidRDefault="001644B4" w:rsidP="001644B4">
      <w:pPr>
        <w:spacing w:beforeAutospacing="1" w:after="0" w:afterAutospacing="1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bdr w:val="none" w:sz="0" w:space="0" w:color="auto" w:frame="1"/>
          <w:lang w:eastAsia="ru-RU"/>
        </w:rPr>
        <w:t>1. Рост дефицита мощностей</w:t>
      </w:r>
    </w:p>
    <w:p w:rsidR="001644B4" w:rsidRPr="001644B4" w:rsidRDefault="001644B4" w:rsidP="001644B4">
      <w:pPr>
        <w:spacing w:line="240" w:lineRule="auto"/>
        <w:textAlignment w:val="top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noProof/>
          <w:sz w:val="27"/>
          <w:szCs w:val="27"/>
          <w:lang w:eastAsia="ru-RU"/>
        </w:rPr>
        <w:drawing>
          <wp:inline distT="0" distB="0" distL="0" distR="0">
            <wp:extent cx="5757912" cy="3370741"/>
            <wp:effectExtent l="0" t="0" r="0" b="1270"/>
            <wp:docPr id="5" name="Рисунок 5" descr="trands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nds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090" cy="338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После нескольких лет устойчивого роста сектор цифровой инфраструктуры в прошлом году столкнулся с множеством трудностей: начиная от масштабного изменения геополитического ландшафта и следующего за ним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энергокризиса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, заканчивая экстремальными температурными и погодными явлениями, которые поставили под угрозу работоспособность множества центров обработки данных во всем мире.</w:t>
      </w:r>
    </w:p>
    <w:p w:rsidR="001644B4" w:rsidRPr="001644B4" w:rsidRDefault="001644B4" w:rsidP="001644B4">
      <w:pPr>
        <w:spacing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Нехватка электроэнергии, сохраняющиеся сложности с цепочками поставок, ограниченность ресурсов в сегменте систем охлаждения и необходимость модернизации оборудования для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lastRenderedPageBreak/>
        <w:t>установки современных процессорных чипов — все эти факторы создают дефицит мощностей на рынке ЦОД, удлиняют цикл запуска новых площадок и ограничивают возможности расширения в уже действующих дата-центрах.</w:t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В российском сегменте спрос на ресурсы и вычислительные мощности дата-центров также будет превышать рыночное предложение, оставаясь высоким в связи с продолжающейся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цифровизацией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в стране.</w:t>
      </w:r>
    </w:p>
    <w:p w:rsidR="001644B4" w:rsidRPr="001644B4" w:rsidRDefault="001644B4" w:rsidP="001644B4">
      <w:pPr>
        <w:spacing w:beforeAutospacing="1" w:after="0" w:afterAutospacing="1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bdr w:val="none" w:sz="0" w:space="0" w:color="auto" w:frame="1"/>
          <w:lang w:eastAsia="ru-RU"/>
        </w:rPr>
        <w:t>2. Цифровая трансформация: эволюция искусственного интеллекта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Увеличение числа библиотек машинного обучения и внедрение новых алгоритмов привели к прорыву в развитии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нейросетей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. Можно сказать, что в 2022 году искусственный интеллект (ИИ) перешел из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нишевого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сегмента в массовый.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Midjourney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, DALL-E,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Lensa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AI,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ChatGPT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,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метавселенные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и многие другие платформы генеративного ИИ, способные создавать контент, включая текст, изображения, аудио, видео и код, становятся частью повседневной жизни миллионов пользователей интернета и крупных брендов.</w:t>
      </w:r>
    </w:p>
    <w:p w:rsidR="001644B4" w:rsidRPr="001644B4" w:rsidRDefault="001644B4" w:rsidP="001644B4">
      <w:pPr>
        <w:spacing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Растущий из года в год интерес к ИИ способствует увеличению инвестиций в цифровую сферу.</w:t>
      </w:r>
    </w:p>
    <w:p w:rsidR="001644B4" w:rsidRPr="001644B4" w:rsidRDefault="001644B4" w:rsidP="001644B4">
      <w:pPr>
        <w:spacing w:line="240" w:lineRule="auto"/>
        <w:textAlignment w:val="top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noProof/>
          <w:sz w:val="27"/>
          <w:szCs w:val="27"/>
          <w:lang w:eastAsia="ru-RU"/>
        </w:rPr>
        <w:drawing>
          <wp:inline distT="0" distB="0" distL="0" distR="0">
            <wp:extent cx="5943600" cy="4114800"/>
            <wp:effectExtent l="0" t="0" r="0" b="0"/>
            <wp:docPr id="4" name="Рисунок 4" descr="trand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rands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А это, в свою очередь, увеличивает спрос на вычислительные мощности современных ЦОД как у облачных провайдеров, так и у крупных компаний, которые планируют использовать адаптивные системы на базе ИИ для </w:t>
      </w: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lastRenderedPageBreak/>
        <w:t>внедрения новых бизнес-моделей и совершенствования сервиса с акцентом на персонализированное обслуживания клиентов.</w:t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Развитие искусственного интеллекта в 2023 году продолжится и в России, но в текущих условиях все еще ограниченными темпами, «качественного скачка» не произойдет. Более подробно об этом мы </w:t>
      </w:r>
      <w:hyperlink r:id="rId20" w:tgtFrame="_blank" w:history="1">
        <w:r w:rsidRPr="001644B4">
          <w:rPr>
            <w:rFonts w:ascii="inherit" w:eastAsia="Times New Roman" w:hAnsi="inherit" w:cs="Times New Roman"/>
            <w:color w:val="0000FF"/>
            <w:sz w:val="27"/>
            <w:szCs w:val="27"/>
            <w:lang w:eastAsia="ru-RU"/>
          </w:rPr>
          <w:t>писали тут</w:t>
        </w:r>
      </w:hyperlink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.</w:t>
      </w:r>
    </w:p>
    <w:p w:rsidR="001644B4" w:rsidRPr="001644B4" w:rsidRDefault="001644B4" w:rsidP="001644B4">
      <w:pPr>
        <w:spacing w:beforeAutospacing="1" w:after="0" w:afterAutospacing="1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bdr w:val="none" w:sz="0" w:space="0" w:color="auto" w:frame="1"/>
          <w:lang w:eastAsia="ru-RU"/>
        </w:rPr>
        <w:t>3. Переход на новые системы охлаждения</w:t>
      </w:r>
    </w:p>
    <w:p w:rsidR="001644B4" w:rsidRPr="001644B4" w:rsidRDefault="001644B4" w:rsidP="001644B4">
      <w:pPr>
        <w:spacing w:line="240" w:lineRule="auto"/>
        <w:textAlignment w:val="top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noProof/>
          <w:sz w:val="27"/>
          <w:szCs w:val="27"/>
          <w:lang w:eastAsia="ru-RU"/>
        </w:rPr>
        <w:drawing>
          <wp:inline distT="0" distB="0" distL="0" distR="0">
            <wp:extent cx="4455795" cy="2524760"/>
            <wp:effectExtent l="0" t="0" r="1905" b="8890"/>
            <wp:docPr id="3" name="Рисунок 3" descr="trand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ds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79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Внедрение технологий нового поколения увеличивает не только уровень энергопотребления, но и требования к охлаждению внутренних систем дата-центров. Нестабильные климатические условия (аномальная жара, частые засухи, землетрясения), постепенное истощение источников пресной воды также повышают градус и общественной напряженности по поводу масштабного использования индустрией ЦОД водных ресурсов для охлаждения серверов.</w:t>
      </w:r>
    </w:p>
    <w:p w:rsidR="001644B4" w:rsidRPr="001644B4" w:rsidRDefault="001644B4" w:rsidP="001644B4">
      <w:pPr>
        <w:spacing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Глобальные игроки сталкиваются с необходимостью модернизации технологий климатических систем и поиска новых решений с минимальным воздействием на окружающую среду.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Чиллеры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воздушного охлаждения с замкнутым водяным контуром и адиабатическое охлаждение — в 2023-м году станут основными проектами, направленными на обеспечение стабильной работы систем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ЦОДов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глобальных игроков. Инновационные изыскания в плане новых «зеленых» и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энергоэффективных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решений также продолжатся, но будут скорее единичными, нежели масштабными.</w:t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Если сместить фокус внимания на российский рынок ЦОД, стоит отметить, что основная концентрация сегмента сосредоточена в средней полосе (Москва, Петербург), поэтому, например, использование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чиллеров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с замкнутым водяным контуром в данных климатических условиях будет неэффективным. Операторы ЦОД продолжат повышать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энергоэффективность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за счет свободного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фрикулинга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и технологии низкоскоростной вентиляции (LSV).</w:t>
      </w:r>
    </w:p>
    <w:p w:rsidR="001644B4" w:rsidRPr="001644B4" w:rsidRDefault="001644B4" w:rsidP="001644B4">
      <w:pPr>
        <w:spacing w:beforeAutospacing="1" w:after="0" w:afterAutospacing="1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bdr w:val="none" w:sz="0" w:space="0" w:color="auto" w:frame="1"/>
          <w:lang w:eastAsia="ru-RU"/>
        </w:rPr>
        <w:lastRenderedPageBreak/>
        <w:t>4. Локальная и альтернативная генерация электроэнергии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Виртуальная и дополненная реальность, развитие ИИ и другие технологии завтрашнего дня будут постоянно увеличивать энергопотребление центрами обработки данных. Поэтому одной из актуальных инфраструктурных проблем, с которой сталкиваются провайдеры, является потребность в создании собственных систем генерации энергии.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Данную тенденцию можно проследить в стратегии развития сразу нескольких мировых игроков:</w:t>
      </w:r>
    </w:p>
    <w:p w:rsidR="001644B4" w:rsidRPr="001644B4" w:rsidRDefault="001644B4" w:rsidP="001644B4">
      <w:pPr>
        <w:spacing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• компания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Microsoft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намерена построить для одного из своих дата-центров в Ирландии газовую электростанцию мощностью 170 Мвт, а также установить новые солнечные электростанции и ветряные установки для полного перехода компании на энергию из возобновляемых источников;</w:t>
      </w:r>
    </w:p>
    <w:p w:rsidR="001644B4" w:rsidRPr="001644B4" w:rsidRDefault="001644B4" w:rsidP="001644B4">
      <w:pPr>
        <w:spacing w:line="240" w:lineRule="auto"/>
        <w:textAlignment w:val="top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noProof/>
          <w:sz w:val="27"/>
          <w:szCs w:val="27"/>
          <w:lang w:eastAsia="ru-RU"/>
        </w:rPr>
        <w:drawing>
          <wp:inline distT="0" distB="0" distL="0" distR="0">
            <wp:extent cx="5943600" cy="3957955"/>
            <wp:effectExtent l="0" t="0" r="0" b="4445"/>
            <wp:docPr id="2" name="Рисунок 2" descr="trands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rands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•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Edge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Centers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создают новое поколение периферийных центров обработки данных, работающих на солнечной энергии. Модульные эко-безопасные дата-центры компании уже построены в Австралии и запущены в Индонезии, Вьетнаме,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Тайланде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и других странах Азиатско-Тихоокеанского региона;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• оператор ЦОД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Equinix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объявил об исследовательском проекте по изучению возможности использования водородных технологий, включая топливные элементы с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протонообменной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мембраной и линейные генераторы с гибким топливом, для тропических центров обработки данных;</w:t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lastRenderedPageBreak/>
        <w:t xml:space="preserve">• поставщик ЦОД-оборудования </w:t>
      </w:r>
      <w:proofErr w:type="spellStart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Vertiv</w:t>
      </w:r>
      <w:proofErr w:type="spellEnd"/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 xml:space="preserve"> анонсировал возможность использования водородных топливных элементов не только в качестве резервного, но и основного источника питания в промышленных масштабах</w:t>
      </w:r>
    </w:p>
    <w:p w:rsidR="001644B4" w:rsidRPr="001644B4" w:rsidRDefault="001644B4" w:rsidP="001644B4">
      <w:pPr>
        <w:spacing w:beforeAutospacing="1" w:after="0" w:afterAutospacing="1" w:line="240" w:lineRule="auto"/>
        <w:textAlignment w:val="baseline"/>
        <w:outlineLvl w:val="2"/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color w:val="222222"/>
          <w:spacing w:val="-5"/>
          <w:sz w:val="30"/>
          <w:szCs w:val="30"/>
          <w:bdr w:val="none" w:sz="0" w:space="0" w:color="auto" w:frame="1"/>
          <w:lang w:eastAsia="ru-RU"/>
        </w:rPr>
        <w:t>5. Консолидация рынка ЦОД / M&amp;A активность на рынке ЦОД</w:t>
      </w:r>
    </w:p>
    <w:p w:rsidR="001644B4" w:rsidRPr="001644B4" w:rsidRDefault="001644B4" w:rsidP="001644B4">
      <w:pPr>
        <w:spacing w:line="240" w:lineRule="auto"/>
        <w:textAlignment w:val="top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noProof/>
          <w:sz w:val="27"/>
          <w:szCs w:val="27"/>
          <w:lang w:eastAsia="ru-RU"/>
        </w:rPr>
        <w:drawing>
          <wp:inline distT="0" distB="0" distL="0" distR="0">
            <wp:extent cx="8564245" cy="5650230"/>
            <wp:effectExtent l="0" t="0" r="8255" b="7620"/>
            <wp:docPr id="1" name="Рисунок 1" descr="trands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rands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245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Активность субъектов отрасли ЦОД в части сделок по слиянию и поглощению (M&amp;A) в 2022 году была предельно высокой, при этом доминирующий процент сделок был совершен с участием частного капитала.</w:t>
      </w:r>
    </w:p>
    <w:p w:rsidR="001644B4" w:rsidRPr="001644B4" w:rsidRDefault="001644B4" w:rsidP="001644B4">
      <w:pPr>
        <w:spacing w:after="30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Удельный вес частных инвестиций в M&amp;A-соглашениях в 2022 году достиг 91 % (для сравнения в 2021 году на долю частных инвесторов пришлось до 66% от общей суммы сделок по слиянию и поглощению).</w:t>
      </w:r>
    </w:p>
    <w:p w:rsidR="001644B4" w:rsidRPr="001644B4" w:rsidRDefault="001644B4" w:rsidP="001644B4">
      <w:pPr>
        <w:spacing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t>Высокое количество сделок на мировом рынке ЦОД, вероятно, будет наблюдаться и в 2023 году.</w:t>
      </w:r>
    </w:p>
    <w:p w:rsidR="001644B4" w:rsidRPr="001644B4" w:rsidRDefault="001644B4" w:rsidP="001644B4">
      <w:pPr>
        <w:spacing w:after="0"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sz w:val="27"/>
          <w:szCs w:val="27"/>
          <w:lang w:eastAsia="ru-RU"/>
        </w:rPr>
        <w:lastRenderedPageBreak/>
        <w:t>Этому способствует фокус индустрии на новые рынки роста, предложение спектра услуг глобальным клиентам и консолидация с целью оптимизации издержек</w:t>
      </w:r>
    </w:p>
    <w:p w:rsidR="001644B4" w:rsidRPr="001644B4" w:rsidRDefault="001644B4" w:rsidP="001644B4">
      <w:pPr>
        <w:spacing w:line="240" w:lineRule="auto"/>
        <w:textAlignment w:val="baseline"/>
        <w:rPr>
          <w:rFonts w:ascii="inherit" w:eastAsia="Times New Roman" w:hAnsi="inherit" w:cs="Times New Roman"/>
          <w:sz w:val="27"/>
          <w:szCs w:val="27"/>
          <w:lang w:eastAsia="ru-RU"/>
        </w:rPr>
      </w:pPr>
      <w:r w:rsidRPr="001644B4">
        <w:rPr>
          <w:rFonts w:ascii="inherit" w:eastAsia="Times New Roman" w:hAnsi="inherit" w:cs="Times New Roman"/>
          <w:b/>
          <w:bCs/>
          <w:sz w:val="27"/>
          <w:szCs w:val="27"/>
          <w:bdr w:val="none" w:sz="0" w:space="0" w:color="auto" w:frame="1"/>
          <w:lang w:eastAsia="ru-RU"/>
        </w:rPr>
        <w:t>Несмотря на все сложности, с которыми сталкивается цифровая индустрия в целом, рынок ЦОД в 2023 году будет демонстрировать стабильный рост и высокий спрос на услуги.</w:t>
      </w:r>
    </w:p>
    <w:p w:rsidR="002806A9" w:rsidRDefault="002806A9"/>
    <w:sectPr w:rsidR="002806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E1630C"/>
    <w:multiLevelType w:val="multilevel"/>
    <w:tmpl w:val="FD0C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346"/>
    <w:rsid w:val="001644B4"/>
    <w:rsid w:val="002806A9"/>
    <w:rsid w:val="00680346"/>
    <w:rsid w:val="00744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140D264-1A24-4F67-A327-2ED7CD771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644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40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1644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644B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644B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sep">
    <w:name w:val="sep"/>
    <w:basedOn w:val="a0"/>
    <w:rsid w:val="001644B4"/>
  </w:style>
  <w:style w:type="character" w:customStyle="1" w:styleId="term-15">
    <w:name w:val="term-15"/>
    <w:basedOn w:val="a0"/>
    <w:rsid w:val="001644B4"/>
  </w:style>
  <w:style w:type="character" w:styleId="a3">
    <w:name w:val="Hyperlink"/>
    <w:basedOn w:val="a0"/>
    <w:uiPriority w:val="99"/>
    <w:semiHidden/>
    <w:unhideWhenUsed/>
    <w:rsid w:val="001644B4"/>
    <w:rPr>
      <w:color w:val="0000FF"/>
      <w:u w:val="single"/>
    </w:rPr>
  </w:style>
  <w:style w:type="character" w:customStyle="1" w:styleId="trail-end">
    <w:name w:val="trail-end"/>
    <w:basedOn w:val="a0"/>
    <w:rsid w:val="001644B4"/>
  </w:style>
  <w:style w:type="paragraph" w:styleId="a4">
    <w:name w:val="Normal (Web)"/>
    <w:basedOn w:val="a"/>
    <w:uiPriority w:val="99"/>
    <w:semiHidden/>
    <w:unhideWhenUsed/>
    <w:rsid w:val="001644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1644B4"/>
    <w:rPr>
      <w:b/>
      <w:bCs/>
    </w:rPr>
  </w:style>
  <w:style w:type="character" w:customStyle="1" w:styleId="vcex-heading-inner">
    <w:name w:val="vcex-heading-inner"/>
    <w:basedOn w:val="a0"/>
    <w:rsid w:val="001644B4"/>
  </w:style>
  <w:style w:type="character" w:customStyle="1" w:styleId="20">
    <w:name w:val="Заголовок 2 Знак"/>
    <w:basedOn w:val="a0"/>
    <w:link w:val="2"/>
    <w:uiPriority w:val="9"/>
    <w:semiHidden/>
    <w:rsid w:val="0074402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m-article-reading-timelabel">
    <w:name w:val="tm-article-reading-time__label"/>
    <w:basedOn w:val="a0"/>
    <w:rsid w:val="00744022"/>
  </w:style>
  <w:style w:type="character" w:customStyle="1" w:styleId="tm-icon-countervalue">
    <w:name w:val="tm-icon-counter__value"/>
    <w:basedOn w:val="a0"/>
    <w:rsid w:val="00744022"/>
  </w:style>
  <w:style w:type="character" w:customStyle="1" w:styleId="tm-article-snippethubs-item">
    <w:name w:val="tm-article-snippet__hubs-item"/>
    <w:basedOn w:val="a0"/>
    <w:rsid w:val="00744022"/>
  </w:style>
  <w:style w:type="character" w:customStyle="1" w:styleId="tm-article-snippetprofiled-hub">
    <w:name w:val="tm-article-snippet__profiled-hub"/>
    <w:basedOn w:val="a0"/>
    <w:rsid w:val="00744022"/>
  </w:style>
  <w:style w:type="character" w:styleId="a6">
    <w:name w:val="Emphasis"/>
    <w:basedOn w:val="a0"/>
    <w:uiPriority w:val="20"/>
    <w:qFormat/>
    <w:rsid w:val="0074402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212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0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660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681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250834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9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1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08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28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507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442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91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94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5244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596604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391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89445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8596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5355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8959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0294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594035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52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576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298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18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73328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389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1312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2121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2918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913566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8949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40824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932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78076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834684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897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9979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496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263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490360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18980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721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215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795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51977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622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1112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1354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77655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865799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8642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24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589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5390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570005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414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1590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8364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2989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961590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441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22171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8745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6902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5802546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638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88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84525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80505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03712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1617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540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483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39786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716096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6252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9848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2054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1755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985959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241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931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573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6918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5865794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115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552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7511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7111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924277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4128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017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6227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19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5708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safedata.ru/datacenters/moscow-i/" TargetMode="Externa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hyperlink" Target="http://habrahabr.ru/company/safedata/blog/265311/" TargetMode="External"/><Relationship Id="rId12" Type="http://schemas.openxmlformats.org/officeDocument/2006/relationships/hyperlink" Target="http://habrahabr.ru/company/safedata/blog/256849/" TargetMode="External"/><Relationship Id="rId17" Type="http://schemas.openxmlformats.org/officeDocument/2006/relationships/hyperlink" Target="https://ixcellerate.ru/ixc-blog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hyperlink" Target="https://dzen.ru/media/ixcellerate/evoliuciia-iskusstvennogo-intellekta-kakovy-perspektivy-63e2454137f2a66a93b179a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habr.com/ru/hub/infosecurity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habr.com/ru/companies/safedata/articles/" TargetMode="External"/><Relationship Id="rId15" Type="http://schemas.openxmlformats.org/officeDocument/2006/relationships/hyperlink" Target="http://safedata.ru/datacenters/moscow-ii/" TargetMode="External"/><Relationship Id="rId23" Type="http://schemas.openxmlformats.org/officeDocument/2006/relationships/image" Target="media/image11.jpeg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4312</Words>
  <Characters>24581</Characters>
  <Application>Microsoft Office Word</Application>
  <DocSecurity>0</DocSecurity>
  <Lines>204</Lines>
  <Paragraphs>57</Paragraphs>
  <ScaleCrop>false</ScaleCrop>
  <Company/>
  <LinksUpToDate>false</LinksUpToDate>
  <CharactersWithSpaces>28836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3</cp:revision>
  <dcterms:created xsi:type="dcterms:W3CDTF">2023-06-28T06:13:00Z</dcterms:created>
  <dcterms:modified xsi:type="dcterms:W3CDTF">2023-06-28T07:19:00Z</dcterms:modified>
</cp:coreProperties>
</file>