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29A34" w14:textId="4C5A8D89" w:rsidR="00F8299B" w:rsidRDefault="00F8299B" w:rsidP="00FF028D">
      <w:r>
        <w:t>Table 1. Gene expression data sources available in GEO</w:t>
      </w:r>
      <w:r w:rsidR="00FF028D">
        <w:t xml:space="preserve">. All ages are given in months unless indicated. Compilation of the </w:t>
      </w:r>
      <w:proofErr w:type="gramStart"/>
      <w:r w:rsidR="00FF028D">
        <w:t>open source</w:t>
      </w:r>
      <w:proofErr w:type="gramEnd"/>
      <w:r w:rsidR="00FF028D">
        <w:t xml:space="preserve"> data available on NCBI GEO and related to the hematopoietic aging in mice (completed in September 2023). Author’s name indicates either first author or contribution author. It is also linked to the name of the source data. In bold are GSE numbers used for the analysis and generation of the updated Aging List Table (on the GitHub page at </w:t>
      </w:r>
      <w:hyperlink r:id="rId4" w:history="1">
        <w:r w:rsidR="00FF028D" w:rsidRPr="00D609F7">
          <w:rPr>
            <w:rStyle w:val="Hyperlink"/>
          </w:rPr>
          <w:t>https://github.com/LeonidBystrykh/aging_update</w:t>
        </w:r>
      </w:hyperlink>
      <w:r w:rsidR="00FF028D">
        <w:t>).</w:t>
      </w:r>
    </w:p>
    <w:p w14:paraId="3634C998" w14:textId="77777777" w:rsidR="00FF028D" w:rsidRPr="00087CC4" w:rsidRDefault="00FF028D" w:rsidP="00FF028D"/>
    <w:tbl>
      <w:tblPr>
        <w:tblW w:w="12145" w:type="dxa"/>
        <w:tblInd w:w="-108" w:type="dxa"/>
        <w:tblLayout w:type="fixed"/>
        <w:tblLook w:val="04A0" w:firstRow="1" w:lastRow="0" w:firstColumn="1" w:lastColumn="0" w:noHBand="0" w:noVBand="1"/>
      </w:tblPr>
      <w:tblGrid>
        <w:gridCol w:w="108"/>
        <w:gridCol w:w="1710"/>
        <w:gridCol w:w="703"/>
        <w:gridCol w:w="1280"/>
        <w:gridCol w:w="1740"/>
        <w:gridCol w:w="1325"/>
        <w:gridCol w:w="1094"/>
        <w:gridCol w:w="1320"/>
        <w:gridCol w:w="1200"/>
        <w:gridCol w:w="1665"/>
      </w:tblGrid>
      <w:tr w:rsidR="002D5B48" w:rsidRPr="002D5B48" w14:paraId="1A1210F9" w14:textId="77777777" w:rsidTr="00FF028D">
        <w:trPr>
          <w:gridBefore w:val="1"/>
          <w:wBefore w:w="108" w:type="dxa"/>
          <w:trHeight w:val="320"/>
        </w:trPr>
        <w:tc>
          <w:tcPr>
            <w:tcW w:w="1710" w:type="dxa"/>
            <w:tcBorders>
              <w:top w:val="nil"/>
              <w:left w:val="nil"/>
              <w:bottom w:val="nil"/>
              <w:right w:val="nil"/>
            </w:tcBorders>
            <w:shd w:val="clear" w:color="auto" w:fill="D0CECE" w:themeFill="background2" w:themeFillShade="E6"/>
            <w:noWrap/>
            <w:vAlign w:val="bottom"/>
            <w:hideMark/>
          </w:tcPr>
          <w:p w14:paraId="0A8294A3" w14:textId="77777777" w:rsidR="00F8299B" w:rsidRPr="002D5B48" w:rsidRDefault="00F8299B" w:rsidP="00F8299B">
            <w:pPr>
              <w:rPr>
                <w:sz w:val="20"/>
              </w:rPr>
            </w:pPr>
            <w:r w:rsidRPr="002D5B48">
              <w:rPr>
                <w:sz w:val="20"/>
              </w:rPr>
              <w:t>Submitting author</w:t>
            </w:r>
          </w:p>
        </w:tc>
        <w:tc>
          <w:tcPr>
            <w:tcW w:w="703" w:type="dxa"/>
            <w:tcBorders>
              <w:top w:val="nil"/>
              <w:left w:val="nil"/>
              <w:bottom w:val="nil"/>
              <w:right w:val="nil"/>
            </w:tcBorders>
            <w:shd w:val="clear" w:color="auto" w:fill="D0CECE" w:themeFill="background2" w:themeFillShade="E6"/>
            <w:noWrap/>
            <w:vAlign w:val="bottom"/>
            <w:hideMark/>
          </w:tcPr>
          <w:p w14:paraId="4E8CD93A" w14:textId="77777777" w:rsidR="00F8299B" w:rsidRPr="002D5B48" w:rsidRDefault="00F8299B" w:rsidP="00F8299B">
            <w:pPr>
              <w:rPr>
                <w:sz w:val="20"/>
              </w:rPr>
            </w:pPr>
            <w:r w:rsidRPr="002D5B48">
              <w:rPr>
                <w:sz w:val="20"/>
              </w:rPr>
              <w:t>Year</w:t>
            </w:r>
          </w:p>
        </w:tc>
        <w:tc>
          <w:tcPr>
            <w:tcW w:w="1280" w:type="dxa"/>
            <w:tcBorders>
              <w:top w:val="nil"/>
              <w:left w:val="nil"/>
              <w:bottom w:val="nil"/>
              <w:right w:val="nil"/>
            </w:tcBorders>
            <w:shd w:val="clear" w:color="auto" w:fill="D0CECE" w:themeFill="background2" w:themeFillShade="E6"/>
            <w:vAlign w:val="bottom"/>
          </w:tcPr>
          <w:p w14:paraId="0C765FC3" w14:textId="77777777" w:rsidR="00F8299B" w:rsidRPr="002D5B48" w:rsidRDefault="00F8299B" w:rsidP="00F8299B">
            <w:pPr>
              <w:rPr>
                <w:sz w:val="20"/>
              </w:rPr>
            </w:pPr>
            <w:r w:rsidRPr="002D5B48">
              <w:rPr>
                <w:sz w:val="20"/>
              </w:rPr>
              <w:t>GEO</w:t>
            </w:r>
          </w:p>
        </w:tc>
        <w:tc>
          <w:tcPr>
            <w:tcW w:w="1740" w:type="dxa"/>
            <w:tcBorders>
              <w:top w:val="nil"/>
              <w:left w:val="nil"/>
              <w:bottom w:val="nil"/>
              <w:right w:val="nil"/>
            </w:tcBorders>
            <w:shd w:val="clear" w:color="auto" w:fill="D0CECE" w:themeFill="background2" w:themeFillShade="E6"/>
            <w:noWrap/>
            <w:vAlign w:val="bottom"/>
          </w:tcPr>
          <w:p w14:paraId="34447F93" w14:textId="77777777" w:rsidR="00F8299B" w:rsidRPr="002D5B48" w:rsidRDefault="00F8299B" w:rsidP="00F8299B">
            <w:pPr>
              <w:rPr>
                <w:sz w:val="20"/>
              </w:rPr>
            </w:pPr>
            <w:r w:rsidRPr="002D5B48">
              <w:rPr>
                <w:sz w:val="20"/>
              </w:rPr>
              <w:t>Publication author</w:t>
            </w:r>
          </w:p>
        </w:tc>
        <w:tc>
          <w:tcPr>
            <w:tcW w:w="1325" w:type="dxa"/>
            <w:tcBorders>
              <w:top w:val="nil"/>
              <w:left w:val="nil"/>
              <w:bottom w:val="nil"/>
              <w:right w:val="nil"/>
            </w:tcBorders>
            <w:shd w:val="clear" w:color="auto" w:fill="D0CECE" w:themeFill="background2" w:themeFillShade="E6"/>
            <w:noWrap/>
            <w:vAlign w:val="bottom"/>
          </w:tcPr>
          <w:p w14:paraId="42DF0C09" w14:textId="77777777" w:rsidR="00F8299B" w:rsidRPr="002D5B48" w:rsidRDefault="00F8299B" w:rsidP="00F8299B">
            <w:pPr>
              <w:rPr>
                <w:sz w:val="20"/>
              </w:rPr>
            </w:pPr>
            <w:r w:rsidRPr="002D5B48">
              <w:rPr>
                <w:sz w:val="20"/>
              </w:rPr>
              <w:t>PMID</w:t>
            </w:r>
          </w:p>
        </w:tc>
        <w:tc>
          <w:tcPr>
            <w:tcW w:w="1094" w:type="dxa"/>
            <w:tcBorders>
              <w:top w:val="nil"/>
              <w:left w:val="nil"/>
              <w:bottom w:val="nil"/>
              <w:right w:val="nil"/>
            </w:tcBorders>
            <w:shd w:val="clear" w:color="auto" w:fill="D0CECE" w:themeFill="background2" w:themeFillShade="E6"/>
            <w:noWrap/>
            <w:vAlign w:val="bottom"/>
            <w:hideMark/>
          </w:tcPr>
          <w:p w14:paraId="01DD82C0" w14:textId="77777777" w:rsidR="00F8299B" w:rsidRPr="002D5B48" w:rsidRDefault="00F8299B" w:rsidP="00F8299B">
            <w:pPr>
              <w:rPr>
                <w:sz w:val="20"/>
              </w:rPr>
            </w:pPr>
            <w:r w:rsidRPr="002D5B48">
              <w:rPr>
                <w:sz w:val="20"/>
              </w:rPr>
              <w:t>Type</w:t>
            </w:r>
          </w:p>
        </w:tc>
        <w:tc>
          <w:tcPr>
            <w:tcW w:w="1320" w:type="dxa"/>
            <w:tcBorders>
              <w:top w:val="nil"/>
              <w:left w:val="nil"/>
              <w:bottom w:val="nil"/>
              <w:right w:val="nil"/>
            </w:tcBorders>
            <w:shd w:val="clear" w:color="auto" w:fill="D0CECE" w:themeFill="background2" w:themeFillShade="E6"/>
            <w:noWrap/>
            <w:vAlign w:val="bottom"/>
            <w:hideMark/>
          </w:tcPr>
          <w:p w14:paraId="29EDAC2F" w14:textId="77777777" w:rsidR="00F8299B" w:rsidRPr="002D5B48" w:rsidRDefault="00F8299B" w:rsidP="00F8299B">
            <w:pPr>
              <w:rPr>
                <w:sz w:val="20"/>
              </w:rPr>
            </w:pPr>
            <w:r w:rsidRPr="002D5B48">
              <w:rPr>
                <w:sz w:val="20"/>
              </w:rPr>
              <w:t>Age young</w:t>
            </w:r>
          </w:p>
        </w:tc>
        <w:tc>
          <w:tcPr>
            <w:tcW w:w="1200" w:type="dxa"/>
            <w:tcBorders>
              <w:top w:val="nil"/>
              <w:left w:val="nil"/>
              <w:bottom w:val="nil"/>
              <w:right w:val="nil"/>
            </w:tcBorders>
            <w:shd w:val="clear" w:color="auto" w:fill="D0CECE" w:themeFill="background2" w:themeFillShade="E6"/>
            <w:noWrap/>
            <w:vAlign w:val="bottom"/>
            <w:hideMark/>
          </w:tcPr>
          <w:p w14:paraId="1DF355E7" w14:textId="77777777" w:rsidR="00F8299B" w:rsidRPr="002D5B48" w:rsidRDefault="00F8299B" w:rsidP="00F8299B">
            <w:pPr>
              <w:rPr>
                <w:sz w:val="20"/>
              </w:rPr>
            </w:pPr>
            <w:r w:rsidRPr="002D5B48">
              <w:rPr>
                <w:sz w:val="20"/>
              </w:rPr>
              <w:t>Age old</w:t>
            </w:r>
          </w:p>
        </w:tc>
        <w:tc>
          <w:tcPr>
            <w:tcW w:w="1665" w:type="dxa"/>
            <w:tcBorders>
              <w:top w:val="nil"/>
              <w:left w:val="nil"/>
              <w:bottom w:val="nil"/>
              <w:right w:val="nil"/>
            </w:tcBorders>
            <w:shd w:val="clear" w:color="auto" w:fill="D0CECE" w:themeFill="background2" w:themeFillShade="E6"/>
            <w:noWrap/>
            <w:vAlign w:val="bottom"/>
            <w:hideMark/>
          </w:tcPr>
          <w:p w14:paraId="1B334CB2" w14:textId="77777777" w:rsidR="00F8299B" w:rsidRPr="002D5B48" w:rsidRDefault="00F8299B" w:rsidP="00F8299B">
            <w:pPr>
              <w:rPr>
                <w:sz w:val="20"/>
              </w:rPr>
            </w:pPr>
            <w:r w:rsidRPr="002D5B48">
              <w:rPr>
                <w:sz w:val="20"/>
              </w:rPr>
              <w:t>Ages</w:t>
            </w:r>
          </w:p>
        </w:tc>
      </w:tr>
      <w:tr w:rsidR="002D5B48" w:rsidRPr="002D5B48" w14:paraId="6BE2CC4A"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4221DECC" w14:textId="77777777" w:rsidR="00F8299B" w:rsidRPr="002D5B48" w:rsidRDefault="00F8299B" w:rsidP="00F8299B">
            <w:pPr>
              <w:rPr>
                <w:sz w:val="20"/>
              </w:rPr>
            </w:pPr>
            <w:proofErr w:type="spellStart"/>
            <w:r w:rsidRPr="002D5B48">
              <w:rPr>
                <w:sz w:val="20"/>
              </w:rPr>
              <w:t>Sonu</w:t>
            </w:r>
            <w:proofErr w:type="spellEnd"/>
          </w:p>
        </w:tc>
        <w:tc>
          <w:tcPr>
            <w:tcW w:w="703" w:type="dxa"/>
            <w:tcBorders>
              <w:top w:val="nil"/>
              <w:left w:val="nil"/>
              <w:bottom w:val="nil"/>
              <w:right w:val="nil"/>
            </w:tcBorders>
            <w:shd w:val="clear" w:color="auto" w:fill="auto"/>
            <w:noWrap/>
            <w:vAlign w:val="bottom"/>
            <w:hideMark/>
          </w:tcPr>
          <w:p w14:paraId="286D16BF" w14:textId="352369B2" w:rsidR="00F8299B" w:rsidRPr="002D5B48" w:rsidRDefault="00F8299B" w:rsidP="00F8299B">
            <w:pPr>
              <w:rPr>
                <w:sz w:val="20"/>
              </w:rPr>
            </w:pPr>
            <w:r w:rsidRPr="002D5B48">
              <w:rPr>
                <w:sz w:val="20"/>
              </w:rPr>
              <w:t>200</w:t>
            </w:r>
            <w:r w:rsidR="00C76D12">
              <w:rPr>
                <w:sz w:val="20"/>
              </w:rPr>
              <w:t>6</w:t>
            </w:r>
          </w:p>
        </w:tc>
        <w:tc>
          <w:tcPr>
            <w:tcW w:w="1280" w:type="dxa"/>
            <w:tcBorders>
              <w:top w:val="nil"/>
              <w:left w:val="nil"/>
              <w:bottom w:val="nil"/>
              <w:right w:val="nil"/>
            </w:tcBorders>
            <w:vAlign w:val="bottom"/>
          </w:tcPr>
          <w:p w14:paraId="7C0E60AB" w14:textId="77777777" w:rsidR="00F8299B" w:rsidRPr="002D5B48" w:rsidRDefault="00F8299B" w:rsidP="00F8299B">
            <w:pPr>
              <w:rPr>
                <w:sz w:val="20"/>
              </w:rPr>
            </w:pPr>
            <w:r w:rsidRPr="002D5B48">
              <w:rPr>
                <w:sz w:val="20"/>
              </w:rPr>
              <w:t>GSE4332</w:t>
            </w:r>
          </w:p>
        </w:tc>
        <w:tc>
          <w:tcPr>
            <w:tcW w:w="1740" w:type="dxa"/>
            <w:tcBorders>
              <w:top w:val="nil"/>
              <w:left w:val="nil"/>
              <w:bottom w:val="nil"/>
              <w:right w:val="nil"/>
            </w:tcBorders>
            <w:shd w:val="clear" w:color="auto" w:fill="auto"/>
            <w:noWrap/>
            <w:vAlign w:val="bottom"/>
          </w:tcPr>
          <w:p w14:paraId="4E9F84AB" w14:textId="77777777" w:rsidR="00F8299B" w:rsidRPr="002D5B48" w:rsidRDefault="00F8299B" w:rsidP="00F8299B">
            <w:pPr>
              <w:rPr>
                <w:sz w:val="20"/>
              </w:rPr>
            </w:pPr>
            <w:r w:rsidRPr="002D5B48">
              <w:rPr>
                <w:sz w:val="20"/>
              </w:rPr>
              <w:t>Rossi</w:t>
            </w:r>
            <w:r w:rsidRPr="002D5B48">
              <w:rPr>
                <w:sz w:val="20"/>
              </w:rPr>
              <w:fldChar w:fldCharType="begin"/>
            </w:r>
            <w:r w:rsidRPr="002D5B48">
              <w:rPr>
                <w:sz w:val="20"/>
              </w:rPr>
              <w:instrText xml:space="preserve"> ADDIN ZOTERO_ITEM CSL_CITATION {"citationID":"gAIuUJB1","properties":{"formattedCitation":"\\super 13\\nosupersub{}","plainCitation":"13","noteIndex":0},"citationItems":[{"id":394,"uris":["http://zotero.org/users/local/ebh37oKg/items/VECLPSLY"],"itemData":{"id":394,"type":"article-journal","abstract":"Loss of immune function and an increased incidence of myeloid leukemia are two of the most clinically significant consequences of aging of the hematopoietic system. To better understand the mechanisms underlying hematopoietic aging, we evaluated the cell intrinsic functional and molecular properties of highly purified long-term hematopoietic stem cells (LT-HSCs) from young and old mice. We found that LT-HSC aging was accompanied by cell autonomous changes, including increased stem cell self-renewal, differential capacity to generate committed myeloid and lymphoid progenitors, and diminished lymphoid potential. Expression profiling revealed that LT-HSC aging was accompanied by the systemic down-regulation of genes mediating lymphoid specification and function and up-regulation of genes involved in specifying myeloid fate and function. Moreover, LT-HSCs from old mice expressed elevated levels of many genes involved in leukemic transformation. These data support a model in which age-dependent alterations in gene expression at the stem cell level presage downstream developmental potential and thereby contribute to age-dependent immune decline, and perhaps also to the increased incidence of leukemia in the elderly.","container-title":"Proceedings of the National Academy of Sciences of the United States of America","DOI":"10.1073/pnas.0503280102","ISSN":"0027-8424","issue":"26","journalAbbreviation":"Proc Natl Acad Sci U S A","language":"eng","note":"PMID: 15967997\nPMCID: PMC1153718","page":"9194-9199","source":"PubMed","title":"Cell intrinsic alterations underlie hematopoietic stem cell aging","volume":"102","author":[{"family":"Rossi","given":"Derrick J."},{"family":"Bryder","given":"David"},{"family":"Zahn","given":"Jacob M."},{"family":"Ahlenius","given":"Henrik"},{"family":"Sonu","given":"Rebecca"},{"family":"Wagers","given":"Amy J."},{"family":"Weissman","given":"Irving L."}],"issued":{"date-parts":[["2005",6,28]]}}}],"schema":"https://github.com/citation-style-language/schema/raw/master/csl-citation.json"} </w:instrText>
            </w:r>
            <w:r w:rsidRPr="002D5B48">
              <w:rPr>
                <w:sz w:val="20"/>
              </w:rPr>
              <w:fldChar w:fldCharType="separate"/>
            </w:r>
            <w:r w:rsidRPr="002D5B48">
              <w:rPr>
                <w:rFonts w:cs="Calibri"/>
                <w:kern w:val="0"/>
                <w:sz w:val="20"/>
                <w:vertAlign w:val="superscript"/>
              </w:rPr>
              <w:t>13</w:t>
            </w:r>
            <w:r w:rsidRPr="002D5B48">
              <w:rPr>
                <w:sz w:val="20"/>
              </w:rPr>
              <w:fldChar w:fldCharType="end"/>
            </w:r>
          </w:p>
        </w:tc>
        <w:tc>
          <w:tcPr>
            <w:tcW w:w="1325" w:type="dxa"/>
            <w:tcBorders>
              <w:top w:val="nil"/>
              <w:left w:val="nil"/>
              <w:bottom w:val="nil"/>
              <w:right w:val="nil"/>
            </w:tcBorders>
            <w:shd w:val="clear" w:color="auto" w:fill="auto"/>
            <w:noWrap/>
            <w:vAlign w:val="bottom"/>
          </w:tcPr>
          <w:p w14:paraId="58B17A66" w14:textId="77777777" w:rsidR="00F8299B" w:rsidRPr="002D5B48" w:rsidRDefault="00F8299B" w:rsidP="00F8299B">
            <w:pPr>
              <w:rPr>
                <w:sz w:val="20"/>
              </w:rPr>
            </w:pPr>
            <w:r w:rsidRPr="002D5B48">
              <w:rPr>
                <w:sz w:val="20"/>
              </w:rPr>
              <w:t>15967997</w:t>
            </w:r>
          </w:p>
        </w:tc>
        <w:tc>
          <w:tcPr>
            <w:tcW w:w="1094" w:type="dxa"/>
            <w:tcBorders>
              <w:top w:val="nil"/>
              <w:left w:val="nil"/>
              <w:bottom w:val="nil"/>
              <w:right w:val="nil"/>
            </w:tcBorders>
            <w:shd w:val="clear" w:color="auto" w:fill="auto"/>
            <w:noWrap/>
            <w:vAlign w:val="bottom"/>
            <w:hideMark/>
          </w:tcPr>
          <w:p w14:paraId="2BB17293" w14:textId="77777777" w:rsidR="00F8299B" w:rsidRPr="002D5B48" w:rsidRDefault="00F8299B" w:rsidP="00F8299B">
            <w:pPr>
              <w:rPr>
                <w:sz w:val="20"/>
              </w:rPr>
            </w:pPr>
            <w:proofErr w:type="spellStart"/>
            <w:r w:rsidRPr="002D5B48">
              <w:rPr>
                <w:sz w:val="20"/>
              </w:rPr>
              <w:t>ExpArray</w:t>
            </w:r>
            <w:proofErr w:type="spellEnd"/>
          </w:p>
        </w:tc>
        <w:tc>
          <w:tcPr>
            <w:tcW w:w="1320" w:type="dxa"/>
            <w:tcBorders>
              <w:top w:val="nil"/>
              <w:left w:val="nil"/>
              <w:bottom w:val="nil"/>
              <w:right w:val="nil"/>
            </w:tcBorders>
            <w:shd w:val="clear" w:color="auto" w:fill="auto"/>
            <w:noWrap/>
            <w:vAlign w:val="bottom"/>
            <w:hideMark/>
          </w:tcPr>
          <w:p w14:paraId="51852ADF" w14:textId="77777777" w:rsidR="00F8299B" w:rsidRPr="002D5B48" w:rsidRDefault="00F8299B" w:rsidP="00F8299B">
            <w:pPr>
              <w:rPr>
                <w:sz w:val="20"/>
              </w:rPr>
            </w:pPr>
            <w:r w:rsidRPr="002D5B48">
              <w:rPr>
                <w:sz w:val="20"/>
              </w:rPr>
              <w:t xml:space="preserve">2-3 </w:t>
            </w:r>
            <w:proofErr w:type="spellStart"/>
            <w:r w:rsidRPr="002D5B48">
              <w:rPr>
                <w:sz w:val="20"/>
              </w:rPr>
              <w:t>mo</w:t>
            </w:r>
            <w:proofErr w:type="spellEnd"/>
          </w:p>
        </w:tc>
        <w:tc>
          <w:tcPr>
            <w:tcW w:w="1200" w:type="dxa"/>
            <w:tcBorders>
              <w:top w:val="nil"/>
              <w:left w:val="nil"/>
              <w:bottom w:val="nil"/>
              <w:right w:val="nil"/>
            </w:tcBorders>
            <w:shd w:val="clear" w:color="auto" w:fill="auto"/>
            <w:noWrap/>
            <w:vAlign w:val="bottom"/>
            <w:hideMark/>
          </w:tcPr>
          <w:p w14:paraId="7CCA9310" w14:textId="77777777" w:rsidR="00F8299B" w:rsidRPr="002D5B48" w:rsidRDefault="00F8299B" w:rsidP="00F8299B">
            <w:pPr>
              <w:rPr>
                <w:sz w:val="20"/>
              </w:rPr>
            </w:pPr>
            <w:r w:rsidRPr="002D5B48">
              <w:rPr>
                <w:sz w:val="20"/>
              </w:rPr>
              <w:t xml:space="preserve">22-24 </w:t>
            </w:r>
            <w:proofErr w:type="spellStart"/>
            <w:r w:rsidRPr="002D5B48">
              <w:rPr>
                <w:sz w:val="20"/>
              </w:rPr>
              <w:t>mo</w:t>
            </w:r>
            <w:proofErr w:type="spellEnd"/>
          </w:p>
        </w:tc>
        <w:tc>
          <w:tcPr>
            <w:tcW w:w="1665" w:type="dxa"/>
            <w:tcBorders>
              <w:top w:val="nil"/>
              <w:left w:val="nil"/>
              <w:bottom w:val="nil"/>
              <w:right w:val="nil"/>
            </w:tcBorders>
            <w:shd w:val="clear" w:color="auto" w:fill="auto"/>
            <w:noWrap/>
            <w:vAlign w:val="bottom"/>
            <w:hideMark/>
          </w:tcPr>
          <w:p w14:paraId="0278B5CB" w14:textId="77777777" w:rsidR="00F8299B" w:rsidRPr="002D5B48" w:rsidRDefault="00F8299B" w:rsidP="00F8299B">
            <w:pPr>
              <w:rPr>
                <w:sz w:val="20"/>
              </w:rPr>
            </w:pPr>
            <w:r w:rsidRPr="002D5B48">
              <w:rPr>
                <w:sz w:val="20"/>
              </w:rPr>
              <w:t>2-3, 12, 22-24</w:t>
            </w:r>
          </w:p>
        </w:tc>
      </w:tr>
      <w:tr w:rsidR="002D5B48" w:rsidRPr="002D5B48" w14:paraId="37D9083D"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76C41EC7" w14:textId="26BE6860" w:rsidR="00F8299B" w:rsidRPr="002D5B48" w:rsidRDefault="00F8299B" w:rsidP="00F8299B">
            <w:pPr>
              <w:rPr>
                <w:sz w:val="20"/>
              </w:rPr>
            </w:pPr>
            <w:r w:rsidRPr="002D5B48">
              <w:rPr>
                <w:sz w:val="20"/>
              </w:rPr>
              <w:t>Chambers</w:t>
            </w:r>
          </w:p>
        </w:tc>
        <w:tc>
          <w:tcPr>
            <w:tcW w:w="703" w:type="dxa"/>
            <w:tcBorders>
              <w:top w:val="nil"/>
              <w:left w:val="nil"/>
              <w:bottom w:val="nil"/>
              <w:right w:val="nil"/>
            </w:tcBorders>
            <w:shd w:val="clear" w:color="auto" w:fill="auto"/>
            <w:noWrap/>
            <w:vAlign w:val="bottom"/>
            <w:hideMark/>
          </w:tcPr>
          <w:p w14:paraId="5CDDBECA" w14:textId="77777777" w:rsidR="00F8299B" w:rsidRPr="002D5B48" w:rsidRDefault="00F8299B" w:rsidP="00F8299B">
            <w:pPr>
              <w:rPr>
                <w:sz w:val="20"/>
              </w:rPr>
            </w:pPr>
            <w:r w:rsidRPr="002D5B48">
              <w:rPr>
                <w:sz w:val="20"/>
              </w:rPr>
              <w:t>2007</w:t>
            </w:r>
          </w:p>
        </w:tc>
        <w:tc>
          <w:tcPr>
            <w:tcW w:w="1280" w:type="dxa"/>
            <w:tcBorders>
              <w:top w:val="nil"/>
              <w:left w:val="nil"/>
              <w:bottom w:val="nil"/>
              <w:right w:val="nil"/>
            </w:tcBorders>
            <w:vAlign w:val="bottom"/>
          </w:tcPr>
          <w:p w14:paraId="41ED2705" w14:textId="77777777" w:rsidR="00F8299B" w:rsidRPr="002D5B48" w:rsidRDefault="00F8299B" w:rsidP="00F8299B">
            <w:pPr>
              <w:rPr>
                <w:b/>
                <w:bCs/>
                <w:sz w:val="20"/>
              </w:rPr>
            </w:pPr>
            <w:r w:rsidRPr="002D5B48">
              <w:rPr>
                <w:b/>
                <w:bCs/>
                <w:sz w:val="20"/>
              </w:rPr>
              <w:t>GSE6503</w:t>
            </w:r>
          </w:p>
        </w:tc>
        <w:tc>
          <w:tcPr>
            <w:tcW w:w="1740" w:type="dxa"/>
            <w:tcBorders>
              <w:top w:val="nil"/>
              <w:left w:val="nil"/>
              <w:bottom w:val="nil"/>
              <w:right w:val="nil"/>
            </w:tcBorders>
            <w:shd w:val="clear" w:color="auto" w:fill="auto"/>
            <w:noWrap/>
            <w:vAlign w:val="bottom"/>
          </w:tcPr>
          <w:p w14:paraId="41FECA46" w14:textId="77777777" w:rsidR="00F8299B" w:rsidRPr="002D5B48" w:rsidRDefault="00F8299B" w:rsidP="00F8299B">
            <w:pPr>
              <w:rPr>
                <w:sz w:val="20"/>
              </w:rPr>
            </w:pPr>
            <w:r w:rsidRPr="002D5B48">
              <w:rPr>
                <w:sz w:val="20"/>
              </w:rPr>
              <w:t>Chambers</w:t>
            </w:r>
            <w:r w:rsidRPr="002D5B48">
              <w:rPr>
                <w:sz w:val="20"/>
              </w:rPr>
              <w:fldChar w:fldCharType="begin"/>
            </w:r>
            <w:r w:rsidRPr="002D5B48">
              <w:rPr>
                <w:sz w:val="20"/>
              </w:rPr>
              <w:instrText xml:space="preserve"> ADDIN ZOTERO_ITEM CSL_CITATION {"citationID":"f6HZWKj5","properties":{"formattedCitation":"\\super 7\\nosupersub{}","plainCitation":"7","noteIndex":0},"citationItems":[{"id":397,"uris":["http://zotero.org/users/local/ebh37oKg/items/THQABW8M"],"itemData":{"id":397,"type":"article-journal","abstract":"Age-related defects in stem cells can limit proper tissue maintenance and hence contribute to a shortened lifespan. Using highly purified hematopoietic stem cells from mice aged 2 to 21 mo, we demonstrate a deficit in function yet an increase in stem cell number with advancing age. Expression analysis of more than 14,000 genes identified 1,500 that were age-induced and 1,600 that were age-repressed. Genes associated with the stress response, inflammation, and protein aggregation dominated the up-regulated expression profile, while the down-regulated profile was marked by genes involved in the preservation of genomic integrity and chromatin remodeling. Many chromosomal regions showed coordinate loss of transcriptional regulation; an overall increase in transcriptional activity with age and inappropriate expression of genes normally regulated by epigenetic mechanisms was also observed. Hematopoietic stem cells from early-aging mice expressing a mutant p53 allele reveal that aging of stem cells can be uncoupled from aging at an organismal level. These studies show that hematopoietic stem cells are not protected from aging. Instead, loss of epigenetic regulation at the chromatin level may drive both functional attenuation of cells, as well as other manifestations of aging, including the increased propensity for neoplastic transformation.","container-title":"PLoS biology","DOI":"10.1371/journal.pbio.0050201","ISSN":"1545-7885","issue":"8","journalAbbreviation":"PLoS Biol","language":"eng","note":"PMID: 17676974\nPMCID: PMC1925137","page":"e201","source":"PubMed","title":"Aging hematopoietic stem cells decline in function and exhibit epigenetic dysregulation","volume":"5","author":[{"family":"Chambers","given":"Stuart M."},{"family":"Shaw","given":"Chad A."},{"family":"Gatza","given":"Catherine"},{"family":"Fisk","given":"C. Joseph"},{"family":"Donehower","given":"Lawrence A."},{"family":"Goodell","given":"Margaret A."}],"issued":{"date-parts":[["2007",8]]}}}],"schema":"https://github.com/citation-style-language/schema/raw/master/csl-citation.json"} </w:instrText>
            </w:r>
            <w:r w:rsidRPr="002D5B48">
              <w:rPr>
                <w:sz w:val="20"/>
              </w:rPr>
              <w:fldChar w:fldCharType="separate"/>
            </w:r>
            <w:r w:rsidRPr="002D5B48">
              <w:rPr>
                <w:rFonts w:cs="Calibri"/>
                <w:kern w:val="0"/>
                <w:sz w:val="20"/>
                <w:vertAlign w:val="superscript"/>
              </w:rPr>
              <w:t>7</w:t>
            </w:r>
            <w:r w:rsidRPr="002D5B48">
              <w:rPr>
                <w:sz w:val="20"/>
              </w:rPr>
              <w:fldChar w:fldCharType="end"/>
            </w:r>
          </w:p>
        </w:tc>
        <w:tc>
          <w:tcPr>
            <w:tcW w:w="1325" w:type="dxa"/>
            <w:tcBorders>
              <w:top w:val="nil"/>
              <w:left w:val="nil"/>
              <w:bottom w:val="nil"/>
              <w:right w:val="nil"/>
            </w:tcBorders>
            <w:shd w:val="clear" w:color="auto" w:fill="auto"/>
            <w:noWrap/>
            <w:vAlign w:val="bottom"/>
          </w:tcPr>
          <w:p w14:paraId="66A2C900" w14:textId="77777777" w:rsidR="00F8299B" w:rsidRPr="002D5B48" w:rsidRDefault="00F8299B" w:rsidP="00F8299B">
            <w:pPr>
              <w:rPr>
                <w:sz w:val="20"/>
              </w:rPr>
            </w:pPr>
            <w:r w:rsidRPr="002D5B48">
              <w:rPr>
                <w:sz w:val="20"/>
              </w:rPr>
              <w:t>17676974</w:t>
            </w:r>
          </w:p>
        </w:tc>
        <w:tc>
          <w:tcPr>
            <w:tcW w:w="1094" w:type="dxa"/>
            <w:tcBorders>
              <w:top w:val="nil"/>
              <w:left w:val="nil"/>
              <w:bottom w:val="nil"/>
              <w:right w:val="nil"/>
            </w:tcBorders>
            <w:shd w:val="clear" w:color="auto" w:fill="auto"/>
            <w:noWrap/>
            <w:vAlign w:val="bottom"/>
            <w:hideMark/>
          </w:tcPr>
          <w:p w14:paraId="0E060295" w14:textId="77777777" w:rsidR="00F8299B" w:rsidRPr="002D5B48" w:rsidRDefault="00F8299B" w:rsidP="00F8299B">
            <w:pPr>
              <w:rPr>
                <w:sz w:val="20"/>
              </w:rPr>
            </w:pPr>
            <w:proofErr w:type="spellStart"/>
            <w:r w:rsidRPr="002D5B48">
              <w:rPr>
                <w:sz w:val="20"/>
              </w:rPr>
              <w:t>ExpArray</w:t>
            </w:r>
            <w:proofErr w:type="spellEnd"/>
          </w:p>
        </w:tc>
        <w:tc>
          <w:tcPr>
            <w:tcW w:w="1320" w:type="dxa"/>
            <w:tcBorders>
              <w:top w:val="nil"/>
              <w:left w:val="nil"/>
              <w:bottom w:val="nil"/>
              <w:right w:val="nil"/>
            </w:tcBorders>
            <w:shd w:val="clear" w:color="auto" w:fill="auto"/>
            <w:noWrap/>
            <w:vAlign w:val="bottom"/>
            <w:hideMark/>
          </w:tcPr>
          <w:p w14:paraId="179DD217" w14:textId="77777777" w:rsidR="00F8299B" w:rsidRPr="002D5B48" w:rsidRDefault="00F8299B" w:rsidP="00F8299B">
            <w:pPr>
              <w:rPr>
                <w:sz w:val="20"/>
              </w:rPr>
            </w:pPr>
            <w:r w:rsidRPr="002D5B48">
              <w:rPr>
                <w:sz w:val="20"/>
              </w:rPr>
              <w:t>2</w:t>
            </w:r>
          </w:p>
        </w:tc>
        <w:tc>
          <w:tcPr>
            <w:tcW w:w="1200" w:type="dxa"/>
            <w:tcBorders>
              <w:top w:val="nil"/>
              <w:left w:val="nil"/>
              <w:bottom w:val="nil"/>
              <w:right w:val="nil"/>
            </w:tcBorders>
            <w:shd w:val="clear" w:color="auto" w:fill="auto"/>
            <w:noWrap/>
            <w:vAlign w:val="bottom"/>
            <w:hideMark/>
          </w:tcPr>
          <w:p w14:paraId="1C918C88" w14:textId="77777777" w:rsidR="00F8299B" w:rsidRPr="002D5B48" w:rsidRDefault="00F8299B" w:rsidP="00F8299B">
            <w:pPr>
              <w:rPr>
                <w:sz w:val="20"/>
              </w:rPr>
            </w:pPr>
            <w:r w:rsidRPr="002D5B48">
              <w:rPr>
                <w:sz w:val="20"/>
              </w:rPr>
              <w:t>21</w:t>
            </w:r>
          </w:p>
        </w:tc>
        <w:tc>
          <w:tcPr>
            <w:tcW w:w="1665" w:type="dxa"/>
            <w:tcBorders>
              <w:top w:val="nil"/>
              <w:left w:val="nil"/>
              <w:bottom w:val="nil"/>
              <w:right w:val="nil"/>
            </w:tcBorders>
            <w:shd w:val="clear" w:color="auto" w:fill="auto"/>
            <w:noWrap/>
            <w:vAlign w:val="bottom"/>
            <w:hideMark/>
          </w:tcPr>
          <w:p w14:paraId="16C8FE86" w14:textId="77777777" w:rsidR="00F8299B" w:rsidRPr="002D5B48" w:rsidRDefault="00F8299B" w:rsidP="00F8299B">
            <w:pPr>
              <w:rPr>
                <w:sz w:val="20"/>
              </w:rPr>
            </w:pPr>
            <w:r w:rsidRPr="002D5B48">
              <w:rPr>
                <w:sz w:val="20"/>
              </w:rPr>
              <w:t>2,6,12,21</w:t>
            </w:r>
          </w:p>
        </w:tc>
      </w:tr>
      <w:tr w:rsidR="002D5B48" w:rsidRPr="002D5B48" w14:paraId="340199D5"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1C1DD06C" w14:textId="77777777" w:rsidR="00F8299B" w:rsidRPr="002D5B48" w:rsidRDefault="00F8299B" w:rsidP="00F8299B">
            <w:pPr>
              <w:rPr>
                <w:sz w:val="20"/>
              </w:rPr>
            </w:pPr>
          </w:p>
        </w:tc>
        <w:tc>
          <w:tcPr>
            <w:tcW w:w="703" w:type="dxa"/>
            <w:tcBorders>
              <w:top w:val="nil"/>
              <w:left w:val="nil"/>
              <w:bottom w:val="nil"/>
              <w:right w:val="nil"/>
            </w:tcBorders>
            <w:shd w:val="clear" w:color="auto" w:fill="auto"/>
            <w:noWrap/>
            <w:vAlign w:val="bottom"/>
            <w:hideMark/>
          </w:tcPr>
          <w:p w14:paraId="3ED184EB" w14:textId="77777777" w:rsidR="00F8299B" w:rsidRPr="002D5B48" w:rsidRDefault="00F8299B" w:rsidP="00F8299B">
            <w:pPr>
              <w:rPr>
                <w:sz w:val="20"/>
              </w:rPr>
            </w:pPr>
            <w:r w:rsidRPr="002D5B48">
              <w:rPr>
                <w:sz w:val="20"/>
              </w:rPr>
              <w:t>2009</w:t>
            </w:r>
          </w:p>
        </w:tc>
        <w:tc>
          <w:tcPr>
            <w:tcW w:w="1280" w:type="dxa"/>
            <w:tcBorders>
              <w:top w:val="nil"/>
              <w:left w:val="nil"/>
              <w:bottom w:val="nil"/>
              <w:right w:val="nil"/>
            </w:tcBorders>
            <w:vAlign w:val="bottom"/>
          </w:tcPr>
          <w:p w14:paraId="06E5025E" w14:textId="77777777" w:rsidR="00F8299B" w:rsidRPr="002D5B48" w:rsidRDefault="00F8299B" w:rsidP="00F8299B">
            <w:pPr>
              <w:rPr>
                <w:sz w:val="20"/>
              </w:rPr>
            </w:pPr>
          </w:p>
        </w:tc>
        <w:tc>
          <w:tcPr>
            <w:tcW w:w="1740" w:type="dxa"/>
            <w:tcBorders>
              <w:top w:val="nil"/>
              <w:left w:val="nil"/>
              <w:bottom w:val="nil"/>
              <w:right w:val="nil"/>
            </w:tcBorders>
            <w:shd w:val="clear" w:color="auto" w:fill="auto"/>
            <w:noWrap/>
            <w:vAlign w:val="bottom"/>
          </w:tcPr>
          <w:p w14:paraId="1A987F35" w14:textId="77777777" w:rsidR="00F8299B" w:rsidRPr="002D5B48" w:rsidRDefault="00F8299B" w:rsidP="00F8299B">
            <w:pPr>
              <w:rPr>
                <w:sz w:val="20"/>
              </w:rPr>
            </w:pPr>
            <w:r w:rsidRPr="002D5B48">
              <w:rPr>
                <w:sz w:val="20"/>
              </w:rPr>
              <w:t>Noda</w:t>
            </w:r>
            <w:r w:rsidRPr="002D5B48">
              <w:rPr>
                <w:sz w:val="20"/>
              </w:rPr>
              <w:fldChar w:fldCharType="begin"/>
            </w:r>
            <w:r w:rsidRPr="002D5B48">
              <w:rPr>
                <w:sz w:val="20"/>
              </w:rPr>
              <w:instrText xml:space="preserve"> ADDIN ZOTERO_ITEM CSL_CITATION {"citationID":"8G93tR72","properties":{"formattedCitation":"\\super 21\\nosupersub{}","plainCitation":"21","noteIndex":0},"citationItems":[{"id":400,"uris":["http://zotero.org/users/local/ebh37oKg/items/RVF2SQSV"],"itemData":{"id":400,"type":"article-journal","abstract":"The molecular mechanisms underlying hematopoietic stem cell (HSC) aging remain to be elucidated. In this study, we investigated age-related changes in the functional and phenotypic properties of murine HSCs. Consistent with previous studies, we found that the number and frequency of CD34(-/low)c-Kit(+)Sca-1(+)lineage marker(-) (CD34(-)KSL) cells, a highly enriched HSC population, significantly increased in old mice, though their repopulating ability was reduced. Continuous bromodeoxyuridine labeling revealed a significant delay in the cell cycle progression of CD34(-)KSL cells in old mice. This delay was also observed in young recipients transplanted with whole bone marrow cells from old mice. When cultured in vitro, CD34(-)KSL cells from old mice showed a greater capacity to give rise to primitive CD48(-)KSL cells with reduced HSC activity. Gene expression profiling identified age-related changes in the expression of several cell cycle regulatory genes, including p21/Cdkn1a and p18/Cdkn2c. These results support the notion that HSC aging is largely regulated by an intrinsic genetic program.","container-title":"Biochemical and Biophysical Research Communications","DOI":"10.1016/j.bbrc.2009.03.153","ISSN":"1090-2104","issue":"2","journalAbbreviation":"Biochem Biophys Res Commun","language":"eng","note":"PMID: 19345668","page":"210-215","source":"PubMed","title":"Hematopoietic stem cell aging is associated with functional decline and delayed cell cycle progression","volume":"383","author":[{"family":"Noda","given":"Shinichi"},{"family":"Ichikawa","given":"Hitoshi"},{"family":"Miyoshi","given":"Hiroyuki"}],"issued":{"date-parts":[["2009",5,29]]}}}],"schema":"https://github.com/citation-style-language/schema/raw/master/csl-citation.json"} </w:instrText>
            </w:r>
            <w:r w:rsidRPr="002D5B48">
              <w:rPr>
                <w:sz w:val="20"/>
              </w:rPr>
              <w:fldChar w:fldCharType="separate"/>
            </w:r>
            <w:r w:rsidRPr="002D5B48">
              <w:rPr>
                <w:rFonts w:cs="Calibri"/>
                <w:kern w:val="0"/>
                <w:sz w:val="20"/>
                <w:vertAlign w:val="superscript"/>
              </w:rPr>
              <w:t>21</w:t>
            </w:r>
            <w:r w:rsidRPr="002D5B48">
              <w:rPr>
                <w:sz w:val="20"/>
              </w:rPr>
              <w:fldChar w:fldCharType="end"/>
            </w:r>
          </w:p>
        </w:tc>
        <w:tc>
          <w:tcPr>
            <w:tcW w:w="1325" w:type="dxa"/>
            <w:tcBorders>
              <w:top w:val="nil"/>
              <w:left w:val="nil"/>
              <w:bottom w:val="nil"/>
              <w:right w:val="nil"/>
            </w:tcBorders>
            <w:shd w:val="clear" w:color="auto" w:fill="auto"/>
            <w:noWrap/>
            <w:vAlign w:val="bottom"/>
          </w:tcPr>
          <w:p w14:paraId="6754CA6D" w14:textId="77777777" w:rsidR="00F8299B" w:rsidRPr="002D5B48" w:rsidRDefault="00F8299B" w:rsidP="00F8299B">
            <w:pPr>
              <w:rPr>
                <w:sz w:val="20"/>
              </w:rPr>
            </w:pPr>
            <w:r w:rsidRPr="002D5B48">
              <w:rPr>
                <w:sz w:val="20"/>
              </w:rPr>
              <w:t>19345668</w:t>
            </w:r>
          </w:p>
        </w:tc>
        <w:tc>
          <w:tcPr>
            <w:tcW w:w="1094" w:type="dxa"/>
            <w:tcBorders>
              <w:top w:val="nil"/>
              <w:left w:val="nil"/>
              <w:bottom w:val="nil"/>
              <w:right w:val="nil"/>
            </w:tcBorders>
            <w:shd w:val="clear" w:color="auto" w:fill="auto"/>
            <w:noWrap/>
            <w:vAlign w:val="bottom"/>
            <w:hideMark/>
          </w:tcPr>
          <w:p w14:paraId="3AE69DF3" w14:textId="77777777" w:rsidR="00F8299B" w:rsidRPr="002D5B48" w:rsidRDefault="00F8299B" w:rsidP="00F8299B">
            <w:pPr>
              <w:rPr>
                <w:sz w:val="20"/>
              </w:rPr>
            </w:pPr>
            <w:proofErr w:type="spellStart"/>
            <w:r w:rsidRPr="002D5B48">
              <w:rPr>
                <w:sz w:val="20"/>
              </w:rPr>
              <w:t>ExpArray</w:t>
            </w:r>
            <w:proofErr w:type="spellEnd"/>
          </w:p>
        </w:tc>
        <w:tc>
          <w:tcPr>
            <w:tcW w:w="1320" w:type="dxa"/>
            <w:tcBorders>
              <w:top w:val="nil"/>
              <w:left w:val="nil"/>
              <w:bottom w:val="nil"/>
              <w:right w:val="nil"/>
            </w:tcBorders>
            <w:shd w:val="clear" w:color="auto" w:fill="auto"/>
            <w:noWrap/>
            <w:vAlign w:val="bottom"/>
            <w:hideMark/>
          </w:tcPr>
          <w:p w14:paraId="3C4651C3" w14:textId="77777777" w:rsidR="00F8299B" w:rsidRPr="002D5B48" w:rsidRDefault="00F8299B" w:rsidP="00F8299B">
            <w:pPr>
              <w:rPr>
                <w:sz w:val="20"/>
              </w:rPr>
            </w:pPr>
            <w:r w:rsidRPr="002D5B48">
              <w:rPr>
                <w:sz w:val="20"/>
              </w:rPr>
              <w:t>3</w:t>
            </w:r>
          </w:p>
        </w:tc>
        <w:tc>
          <w:tcPr>
            <w:tcW w:w="1200" w:type="dxa"/>
            <w:tcBorders>
              <w:top w:val="nil"/>
              <w:left w:val="nil"/>
              <w:bottom w:val="nil"/>
              <w:right w:val="nil"/>
            </w:tcBorders>
            <w:shd w:val="clear" w:color="auto" w:fill="auto"/>
            <w:noWrap/>
            <w:vAlign w:val="bottom"/>
            <w:hideMark/>
          </w:tcPr>
          <w:p w14:paraId="70BB818D" w14:textId="77777777" w:rsidR="00F8299B" w:rsidRPr="002D5B48" w:rsidRDefault="00F8299B" w:rsidP="00F8299B">
            <w:pPr>
              <w:rPr>
                <w:sz w:val="20"/>
              </w:rPr>
            </w:pPr>
            <w:r w:rsidRPr="002D5B48">
              <w:rPr>
                <w:sz w:val="20"/>
              </w:rPr>
              <w:t xml:space="preserve">18-24 </w:t>
            </w:r>
            <w:proofErr w:type="spellStart"/>
            <w:r w:rsidRPr="002D5B48">
              <w:rPr>
                <w:sz w:val="20"/>
              </w:rPr>
              <w:t>mo</w:t>
            </w:r>
            <w:proofErr w:type="spellEnd"/>
          </w:p>
        </w:tc>
        <w:tc>
          <w:tcPr>
            <w:tcW w:w="1665" w:type="dxa"/>
            <w:tcBorders>
              <w:top w:val="nil"/>
              <w:left w:val="nil"/>
              <w:bottom w:val="nil"/>
              <w:right w:val="nil"/>
            </w:tcBorders>
            <w:shd w:val="clear" w:color="auto" w:fill="auto"/>
            <w:noWrap/>
            <w:vAlign w:val="bottom"/>
            <w:hideMark/>
          </w:tcPr>
          <w:p w14:paraId="6465E4A6" w14:textId="77777777" w:rsidR="00F8299B" w:rsidRPr="002D5B48" w:rsidRDefault="00F8299B" w:rsidP="00F8299B">
            <w:pPr>
              <w:rPr>
                <w:sz w:val="20"/>
              </w:rPr>
            </w:pPr>
            <w:r w:rsidRPr="002D5B48">
              <w:rPr>
                <w:sz w:val="20"/>
              </w:rPr>
              <w:t>3, 18-24</w:t>
            </w:r>
          </w:p>
        </w:tc>
      </w:tr>
      <w:tr w:rsidR="002D5B48" w:rsidRPr="002D5B48" w14:paraId="2FDC36E1"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3C775EF0" w14:textId="71B6EE3C" w:rsidR="00F8299B" w:rsidRPr="002D5B48" w:rsidRDefault="00F8299B" w:rsidP="00F8299B">
            <w:pPr>
              <w:rPr>
                <w:sz w:val="20"/>
              </w:rPr>
            </w:pPr>
            <w:proofErr w:type="spellStart"/>
            <w:r w:rsidRPr="002D5B48">
              <w:rPr>
                <w:sz w:val="20"/>
              </w:rPr>
              <w:t>Norddahl</w:t>
            </w:r>
            <w:proofErr w:type="spellEnd"/>
          </w:p>
        </w:tc>
        <w:tc>
          <w:tcPr>
            <w:tcW w:w="703" w:type="dxa"/>
            <w:tcBorders>
              <w:top w:val="nil"/>
              <w:left w:val="nil"/>
              <w:bottom w:val="nil"/>
              <w:right w:val="nil"/>
            </w:tcBorders>
            <w:shd w:val="clear" w:color="auto" w:fill="auto"/>
            <w:noWrap/>
            <w:vAlign w:val="bottom"/>
            <w:hideMark/>
          </w:tcPr>
          <w:p w14:paraId="4A81FFDE" w14:textId="77777777" w:rsidR="00F8299B" w:rsidRPr="002D5B48" w:rsidRDefault="00F8299B" w:rsidP="00F8299B">
            <w:pPr>
              <w:rPr>
                <w:sz w:val="20"/>
              </w:rPr>
            </w:pPr>
            <w:r w:rsidRPr="002D5B48">
              <w:rPr>
                <w:sz w:val="20"/>
              </w:rPr>
              <w:t>2011</w:t>
            </w:r>
          </w:p>
        </w:tc>
        <w:tc>
          <w:tcPr>
            <w:tcW w:w="1280" w:type="dxa"/>
            <w:tcBorders>
              <w:top w:val="nil"/>
              <w:left w:val="nil"/>
              <w:bottom w:val="nil"/>
              <w:right w:val="nil"/>
            </w:tcBorders>
            <w:vAlign w:val="bottom"/>
          </w:tcPr>
          <w:p w14:paraId="7841C9F4" w14:textId="77777777" w:rsidR="00F8299B" w:rsidRPr="002D5B48" w:rsidRDefault="00F8299B" w:rsidP="00F8299B">
            <w:pPr>
              <w:rPr>
                <w:b/>
                <w:bCs/>
                <w:sz w:val="20"/>
              </w:rPr>
            </w:pPr>
            <w:r w:rsidRPr="002D5B48">
              <w:rPr>
                <w:b/>
                <w:bCs/>
                <w:sz w:val="20"/>
              </w:rPr>
              <w:t>GSE27686</w:t>
            </w:r>
          </w:p>
        </w:tc>
        <w:tc>
          <w:tcPr>
            <w:tcW w:w="1740" w:type="dxa"/>
            <w:tcBorders>
              <w:top w:val="nil"/>
              <w:left w:val="nil"/>
              <w:bottom w:val="nil"/>
              <w:right w:val="nil"/>
            </w:tcBorders>
            <w:shd w:val="clear" w:color="auto" w:fill="auto"/>
            <w:noWrap/>
            <w:vAlign w:val="bottom"/>
          </w:tcPr>
          <w:p w14:paraId="0EED7B79" w14:textId="77777777" w:rsidR="00F8299B" w:rsidRPr="002D5B48" w:rsidRDefault="00F8299B" w:rsidP="00F8299B">
            <w:pPr>
              <w:rPr>
                <w:sz w:val="20"/>
              </w:rPr>
            </w:pPr>
            <w:r w:rsidRPr="002D5B48">
              <w:rPr>
                <w:sz w:val="20"/>
              </w:rPr>
              <w:t>Norddahl</w:t>
            </w:r>
            <w:r w:rsidRPr="002D5B48">
              <w:rPr>
                <w:sz w:val="20"/>
              </w:rPr>
              <w:fldChar w:fldCharType="begin"/>
            </w:r>
            <w:r w:rsidRPr="002D5B48">
              <w:rPr>
                <w:sz w:val="20"/>
              </w:rPr>
              <w:instrText xml:space="preserve"> ADDIN ZOTERO_ITEM CSL_CITATION {"citationID":"3WBpYAks","properties":{"formattedCitation":"\\super 31\\nosupersub{}","plainCitation":"31","noteIndex":0},"citationItems":[{"id":402,"uris":["http://zotero.org/users/local/ebh37oKg/items/XXUQ4S65"],"itemData":{"id":402,"type":"article-journal","abstract":"Somatic stem cells mediate tissue maintenance for the lifetime of an organism. Despite the well-established longevity that is a prerequisite for such function, accumulating data argue for compromised stem cell function with age. Identifying the mechanisms underlying age-dependent stem cell dysfunction is therefore key to understanding the aging process. Here, using a model carrying a proofreading-defective mitochondrial DNA polymerase, we demonstrate hematopoietic defects reminiscent of premature HSC aging, including anemia, lymphopenia, and myeloid lineage skewing. However, in contrast to physiological stem cell aging, rapidly accumulating mitochondrial DNA mutations had little functional effect on the hematopoietic stem cell pool, and instead caused distinct differentiation blocks and/or disappearance of downstream progenitors. These results show that intact mitochondrial function is required for appropriate multilineage stem cell differentiation, but argue against mitochondrial DNA mutations per se being a primary driver of somatic stem cell aging.","container-title":"Cell Stem Cell","DOI":"10.1016/j.stem.2011.03.009","ISSN":"1875-9777","issue":"5","journalAbbreviation":"Cell Stem Cell","language":"eng","note":"PMID: 21549326","page":"499-510","source":"PubMed","title":"Accumulating mitochondrial DNA mutations drive premature hematopoietic aging phenotypes distinct from physiological stem cell aging","volume":"8","author":[{"family":"Norddahl","given":"Gudmundur L."},{"family":"Pronk","given":"Cornelis J."},{"family":"Wahlestedt","given":"Martin"},{"family":"Sten","given":"Gerd"},{"family":"Nygren","given":"Jens M."},{"family":"Ugale","given":"Amol"},{"family":"Sigvardsson","given":"Mikael"},{"family":"Bryder","given":"David"}],"issued":{"date-parts":[["2011",5,6]]}}}],"schema":"https://github.com/citation-style-language/schema/raw/master/csl-citation.json"} </w:instrText>
            </w:r>
            <w:r w:rsidRPr="002D5B48">
              <w:rPr>
                <w:sz w:val="20"/>
              </w:rPr>
              <w:fldChar w:fldCharType="separate"/>
            </w:r>
            <w:r w:rsidRPr="002D5B48">
              <w:rPr>
                <w:rFonts w:cs="Calibri"/>
                <w:kern w:val="0"/>
                <w:sz w:val="20"/>
                <w:vertAlign w:val="superscript"/>
              </w:rPr>
              <w:t>31</w:t>
            </w:r>
            <w:r w:rsidRPr="002D5B48">
              <w:rPr>
                <w:sz w:val="20"/>
              </w:rPr>
              <w:fldChar w:fldCharType="end"/>
            </w:r>
          </w:p>
        </w:tc>
        <w:tc>
          <w:tcPr>
            <w:tcW w:w="1325" w:type="dxa"/>
            <w:tcBorders>
              <w:top w:val="nil"/>
              <w:left w:val="nil"/>
              <w:bottom w:val="nil"/>
              <w:right w:val="nil"/>
            </w:tcBorders>
            <w:shd w:val="clear" w:color="auto" w:fill="auto"/>
            <w:noWrap/>
            <w:vAlign w:val="bottom"/>
          </w:tcPr>
          <w:p w14:paraId="47A67EBD" w14:textId="77777777" w:rsidR="00F8299B" w:rsidRPr="002D5B48" w:rsidRDefault="00F8299B" w:rsidP="00F8299B">
            <w:pPr>
              <w:rPr>
                <w:sz w:val="20"/>
              </w:rPr>
            </w:pPr>
            <w:r w:rsidRPr="002D5B48">
              <w:rPr>
                <w:sz w:val="20"/>
              </w:rPr>
              <w:t>21549326</w:t>
            </w:r>
          </w:p>
        </w:tc>
        <w:tc>
          <w:tcPr>
            <w:tcW w:w="1094" w:type="dxa"/>
            <w:tcBorders>
              <w:top w:val="nil"/>
              <w:left w:val="nil"/>
              <w:bottom w:val="nil"/>
              <w:right w:val="nil"/>
            </w:tcBorders>
            <w:shd w:val="clear" w:color="auto" w:fill="auto"/>
            <w:noWrap/>
            <w:vAlign w:val="bottom"/>
            <w:hideMark/>
          </w:tcPr>
          <w:p w14:paraId="5958F1D3" w14:textId="77777777" w:rsidR="00F8299B" w:rsidRPr="002D5B48" w:rsidRDefault="00F8299B" w:rsidP="00F8299B">
            <w:pPr>
              <w:rPr>
                <w:sz w:val="20"/>
              </w:rPr>
            </w:pPr>
            <w:proofErr w:type="spellStart"/>
            <w:r w:rsidRPr="002D5B48">
              <w:rPr>
                <w:sz w:val="20"/>
              </w:rPr>
              <w:t>ExpArray</w:t>
            </w:r>
            <w:proofErr w:type="spellEnd"/>
          </w:p>
        </w:tc>
        <w:tc>
          <w:tcPr>
            <w:tcW w:w="1320" w:type="dxa"/>
            <w:tcBorders>
              <w:top w:val="nil"/>
              <w:left w:val="nil"/>
              <w:bottom w:val="nil"/>
              <w:right w:val="nil"/>
            </w:tcBorders>
            <w:shd w:val="clear" w:color="auto" w:fill="auto"/>
            <w:noWrap/>
            <w:vAlign w:val="bottom"/>
            <w:hideMark/>
          </w:tcPr>
          <w:p w14:paraId="44420B56" w14:textId="77777777" w:rsidR="00F8299B" w:rsidRPr="002D5B48" w:rsidRDefault="00F8299B" w:rsidP="00F8299B">
            <w:pPr>
              <w:rPr>
                <w:sz w:val="20"/>
              </w:rPr>
            </w:pPr>
            <w:r w:rsidRPr="002D5B48">
              <w:rPr>
                <w:sz w:val="20"/>
              </w:rPr>
              <w:t xml:space="preserve">2.3 - 2.7 </w:t>
            </w:r>
            <w:proofErr w:type="spellStart"/>
            <w:r w:rsidRPr="002D5B48">
              <w:rPr>
                <w:sz w:val="20"/>
              </w:rPr>
              <w:t>mo</w:t>
            </w:r>
            <w:proofErr w:type="spellEnd"/>
          </w:p>
        </w:tc>
        <w:tc>
          <w:tcPr>
            <w:tcW w:w="1200" w:type="dxa"/>
            <w:tcBorders>
              <w:top w:val="nil"/>
              <w:left w:val="nil"/>
              <w:bottom w:val="nil"/>
              <w:right w:val="nil"/>
            </w:tcBorders>
            <w:shd w:val="clear" w:color="auto" w:fill="auto"/>
            <w:noWrap/>
            <w:vAlign w:val="bottom"/>
            <w:hideMark/>
          </w:tcPr>
          <w:p w14:paraId="34B9BA5C" w14:textId="77777777" w:rsidR="00F8299B" w:rsidRPr="002D5B48" w:rsidRDefault="00F8299B" w:rsidP="00F8299B">
            <w:pPr>
              <w:rPr>
                <w:sz w:val="20"/>
              </w:rPr>
            </w:pPr>
            <w:r w:rsidRPr="002D5B48">
              <w:rPr>
                <w:sz w:val="20"/>
              </w:rPr>
              <w:t>24</w:t>
            </w:r>
          </w:p>
        </w:tc>
        <w:tc>
          <w:tcPr>
            <w:tcW w:w="1665" w:type="dxa"/>
            <w:tcBorders>
              <w:top w:val="nil"/>
              <w:left w:val="nil"/>
              <w:bottom w:val="nil"/>
              <w:right w:val="nil"/>
            </w:tcBorders>
            <w:shd w:val="clear" w:color="auto" w:fill="auto"/>
            <w:noWrap/>
            <w:vAlign w:val="bottom"/>
            <w:hideMark/>
          </w:tcPr>
          <w:p w14:paraId="542F2646" w14:textId="77777777" w:rsidR="00F8299B" w:rsidRPr="002D5B48" w:rsidRDefault="00F8299B" w:rsidP="00F8299B">
            <w:pPr>
              <w:rPr>
                <w:sz w:val="20"/>
              </w:rPr>
            </w:pPr>
            <w:r w:rsidRPr="002D5B48">
              <w:rPr>
                <w:sz w:val="20"/>
              </w:rPr>
              <w:t>2.3-2.7, 24</w:t>
            </w:r>
          </w:p>
        </w:tc>
      </w:tr>
      <w:tr w:rsidR="002D5B48" w:rsidRPr="002D5B48" w14:paraId="6569C7A7"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2E321B59" w14:textId="11DE58F4" w:rsidR="00F8299B" w:rsidRPr="002D5B48" w:rsidRDefault="00F8299B" w:rsidP="00F8299B">
            <w:pPr>
              <w:rPr>
                <w:sz w:val="20"/>
              </w:rPr>
            </w:pPr>
            <w:proofErr w:type="spellStart"/>
            <w:r w:rsidRPr="002D5B48">
              <w:rPr>
                <w:sz w:val="20"/>
              </w:rPr>
              <w:t>Bersenev</w:t>
            </w:r>
            <w:proofErr w:type="spellEnd"/>
          </w:p>
        </w:tc>
        <w:tc>
          <w:tcPr>
            <w:tcW w:w="703" w:type="dxa"/>
            <w:tcBorders>
              <w:top w:val="nil"/>
              <w:left w:val="nil"/>
              <w:bottom w:val="nil"/>
              <w:right w:val="nil"/>
            </w:tcBorders>
            <w:shd w:val="clear" w:color="auto" w:fill="auto"/>
            <w:noWrap/>
            <w:vAlign w:val="bottom"/>
            <w:hideMark/>
          </w:tcPr>
          <w:p w14:paraId="534FF55B" w14:textId="77777777" w:rsidR="00F8299B" w:rsidRPr="002D5B48" w:rsidRDefault="00F8299B" w:rsidP="00F8299B">
            <w:pPr>
              <w:rPr>
                <w:sz w:val="20"/>
              </w:rPr>
            </w:pPr>
            <w:r w:rsidRPr="002D5B48">
              <w:rPr>
                <w:sz w:val="20"/>
              </w:rPr>
              <w:t>2012</w:t>
            </w:r>
          </w:p>
        </w:tc>
        <w:tc>
          <w:tcPr>
            <w:tcW w:w="1280" w:type="dxa"/>
            <w:tcBorders>
              <w:top w:val="nil"/>
              <w:left w:val="nil"/>
              <w:bottom w:val="nil"/>
              <w:right w:val="nil"/>
            </w:tcBorders>
            <w:vAlign w:val="bottom"/>
          </w:tcPr>
          <w:p w14:paraId="3D847D99" w14:textId="77777777" w:rsidR="00F8299B" w:rsidRPr="002D5B48" w:rsidRDefault="00F8299B" w:rsidP="00F8299B">
            <w:pPr>
              <w:rPr>
                <w:b/>
                <w:bCs/>
                <w:sz w:val="20"/>
              </w:rPr>
            </w:pPr>
            <w:r w:rsidRPr="002D5B48">
              <w:rPr>
                <w:b/>
                <w:bCs/>
                <w:sz w:val="20"/>
              </w:rPr>
              <w:t>GSE39553</w:t>
            </w:r>
          </w:p>
        </w:tc>
        <w:tc>
          <w:tcPr>
            <w:tcW w:w="1740" w:type="dxa"/>
            <w:tcBorders>
              <w:top w:val="nil"/>
              <w:left w:val="nil"/>
              <w:bottom w:val="nil"/>
              <w:right w:val="nil"/>
            </w:tcBorders>
            <w:shd w:val="clear" w:color="auto" w:fill="auto"/>
            <w:noWrap/>
            <w:vAlign w:val="bottom"/>
          </w:tcPr>
          <w:p w14:paraId="1ED332BF" w14:textId="77777777" w:rsidR="00F8299B" w:rsidRPr="002D5B48" w:rsidRDefault="00F8299B" w:rsidP="00F8299B">
            <w:pPr>
              <w:rPr>
                <w:sz w:val="20"/>
              </w:rPr>
            </w:pPr>
            <w:r w:rsidRPr="002D5B48">
              <w:rPr>
                <w:sz w:val="20"/>
              </w:rPr>
              <w:t>Bersenev</w:t>
            </w:r>
            <w:r w:rsidRPr="002D5B48">
              <w:rPr>
                <w:sz w:val="20"/>
              </w:rPr>
              <w:fldChar w:fldCharType="begin"/>
            </w:r>
            <w:r w:rsidRPr="002D5B48">
              <w:rPr>
                <w:sz w:val="20"/>
              </w:rPr>
              <w:instrText xml:space="preserve"> ADDIN ZOTERO_ITEM CSL_CITATION {"citationID":"1z08Co1h","properties":{"formattedCitation":"\\super 32\\nosupersub{}","plainCitation":"32","noteIndex":0},"citationItems":[{"id":405,"uris":["http://zotero.org/users/local/ebh37oKg/items/HDV3B9RT"],"itemData":{"id":405,"type":"article-journal","abstract":"Upon aging, the number of hematopoietic stem cells (HSCs) in the bone marrow increases while their repopulation potential declines. Moreover, aged HSCs exhibit lineage bias in reconstitution experiments with an inclination toward myeloid at the expense of lymphoid potential. The adaptor protein Lnk is an important negative regulator of HSC homeostasis, as Lnk deficiency is associated with a 10-fold increase in HSC numbers in young mice. However, the age-related increase in functional HSC numbers found in wild-type HSCs was not observed in Lnk-deficient animals. Importantly, HSCs from aged Lnk null mice possess greatly enhanced self-renewal capacity and diminished exhaustion, as evidenced by serial transplant experiments. In addition, Lnk deficiency ameliorates the aging-associated lineage bias. Transcriptome analysis revealed that WT and Lnk-deficient HSCs share many aging-related changes in gene expression patterns. Nonetheless, Lnk null HSCs displayed altered expression of components in select signaling pathways with potential involvement in HSC self-renewal and aging. Taken together, these results suggest that loss of Lnk partially mitigates age-related HSC alterations.","container-title":"Aging Cell","DOI":"10.1111/j.1474-9726.2012.00862.x","ISSN":"1474-9726","issue":"6","journalAbbreviation":"Aging Cell","language":"eng","note":"PMID: 22812478\nPMCID: PMC3500428","page":"949-959","source":"PubMed","title":"Lnk deficiency partially mitigates hematopoietic stem cell aging","volume":"11","author":[{"family":"Bersenev","given":"Alexey"},{"family":"Rozenova","given":"Krasimira"},{"family":"Balcerek","given":"Joanna"},{"family":"Jiang","given":"Jing"},{"family":"Wu","given":"Chao"},{"family":"Tong","given":"Wei"}],"issued":{"date-parts":[["2012",12]]}}}],"schema":"https://github.com/citation-style-language/schema/raw/master/csl-citation.json"} </w:instrText>
            </w:r>
            <w:r w:rsidRPr="002D5B48">
              <w:rPr>
                <w:sz w:val="20"/>
              </w:rPr>
              <w:fldChar w:fldCharType="separate"/>
            </w:r>
            <w:r w:rsidRPr="002D5B48">
              <w:rPr>
                <w:rFonts w:cs="Calibri"/>
                <w:kern w:val="0"/>
                <w:sz w:val="20"/>
                <w:vertAlign w:val="superscript"/>
              </w:rPr>
              <w:t>32</w:t>
            </w:r>
            <w:r w:rsidRPr="002D5B48">
              <w:rPr>
                <w:sz w:val="20"/>
              </w:rPr>
              <w:fldChar w:fldCharType="end"/>
            </w:r>
          </w:p>
        </w:tc>
        <w:tc>
          <w:tcPr>
            <w:tcW w:w="1325" w:type="dxa"/>
            <w:tcBorders>
              <w:top w:val="nil"/>
              <w:left w:val="nil"/>
              <w:bottom w:val="nil"/>
              <w:right w:val="nil"/>
            </w:tcBorders>
            <w:shd w:val="clear" w:color="auto" w:fill="auto"/>
            <w:noWrap/>
            <w:vAlign w:val="bottom"/>
          </w:tcPr>
          <w:p w14:paraId="274E8CE6" w14:textId="77777777" w:rsidR="00F8299B" w:rsidRPr="002D5B48" w:rsidRDefault="00F8299B" w:rsidP="00F8299B">
            <w:pPr>
              <w:rPr>
                <w:sz w:val="20"/>
              </w:rPr>
            </w:pPr>
            <w:r w:rsidRPr="002D5B48">
              <w:rPr>
                <w:sz w:val="20"/>
              </w:rPr>
              <w:t>22812478</w:t>
            </w:r>
          </w:p>
        </w:tc>
        <w:tc>
          <w:tcPr>
            <w:tcW w:w="1094" w:type="dxa"/>
            <w:tcBorders>
              <w:top w:val="nil"/>
              <w:left w:val="nil"/>
              <w:bottom w:val="nil"/>
              <w:right w:val="nil"/>
            </w:tcBorders>
            <w:shd w:val="clear" w:color="auto" w:fill="auto"/>
            <w:noWrap/>
            <w:vAlign w:val="bottom"/>
            <w:hideMark/>
          </w:tcPr>
          <w:p w14:paraId="0B802049" w14:textId="77777777" w:rsidR="00F8299B" w:rsidRPr="002D5B48" w:rsidRDefault="00F8299B" w:rsidP="00F8299B">
            <w:pPr>
              <w:rPr>
                <w:sz w:val="20"/>
              </w:rPr>
            </w:pPr>
            <w:proofErr w:type="spellStart"/>
            <w:r w:rsidRPr="002D5B48">
              <w:rPr>
                <w:sz w:val="20"/>
              </w:rPr>
              <w:t>ExpArray</w:t>
            </w:r>
            <w:proofErr w:type="spellEnd"/>
          </w:p>
        </w:tc>
        <w:tc>
          <w:tcPr>
            <w:tcW w:w="1320" w:type="dxa"/>
            <w:tcBorders>
              <w:top w:val="nil"/>
              <w:left w:val="nil"/>
              <w:bottom w:val="nil"/>
              <w:right w:val="nil"/>
            </w:tcBorders>
            <w:shd w:val="clear" w:color="auto" w:fill="auto"/>
            <w:noWrap/>
            <w:vAlign w:val="bottom"/>
            <w:hideMark/>
          </w:tcPr>
          <w:p w14:paraId="4D6343FF" w14:textId="77777777" w:rsidR="00F8299B" w:rsidRPr="002D5B48" w:rsidRDefault="00F8299B" w:rsidP="00F8299B">
            <w:pPr>
              <w:rPr>
                <w:sz w:val="20"/>
              </w:rPr>
            </w:pPr>
            <w:r w:rsidRPr="002D5B48">
              <w:rPr>
                <w:sz w:val="20"/>
              </w:rPr>
              <w:t>2</w:t>
            </w:r>
          </w:p>
        </w:tc>
        <w:tc>
          <w:tcPr>
            <w:tcW w:w="1200" w:type="dxa"/>
            <w:tcBorders>
              <w:top w:val="nil"/>
              <w:left w:val="nil"/>
              <w:bottom w:val="nil"/>
              <w:right w:val="nil"/>
            </w:tcBorders>
            <w:shd w:val="clear" w:color="auto" w:fill="auto"/>
            <w:noWrap/>
            <w:vAlign w:val="bottom"/>
            <w:hideMark/>
          </w:tcPr>
          <w:p w14:paraId="74345F4E" w14:textId="77777777" w:rsidR="00F8299B" w:rsidRPr="002D5B48" w:rsidRDefault="00F8299B" w:rsidP="00F8299B">
            <w:pPr>
              <w:rPr>
                <w:sz w:val="20"/>
              </w:rPr>
            </w:pPr>
            <w:r w:rsidRPr="002D5B48">
              <w:rPr>
                <w:sz w:val="20"/>
              </w:rPr>
              <w:t>20</w:t>
            </w:r>
          </w:p>
        </w:tc>
        <w:tc>
          <w:tcPr>
            <w:tcW w:w="1665" w:type="dxa"/>
            <w:tcBorders>
              <w:top w:val="nil"/>
              <w:left w:val="nil"/>
              <w:bottom w:val="nil"/>
              <w:right w:val="nil"/>
            </w:tcBorders>
            <w:shd w:val="clear" w:color="auto" w:fill="auto"/>
            <w:noWrap/>
            <w:vAlign w:val="bottom"/>
            <w:hideMark/>
          </w:tcPr>
          <w:p w14:paraId="18393317" w14:textId="77777777" w:rsidR="00F8299B" w:rsidRPr="002D5B48" w:rsidRDefault="00F8299B" w:rsidP="00F8299B">
            <w:pPr>
              <w:rPr>
                <w:sz w:val="20"/>
              </w:rPr>
            </w:pPr>
            <w:r w:rsidRPr="002D5B48">
              <w:rPr>
                <w:sz w:val="20"/>
              </w:rPr>
              <w:t xml:space="preserve">2, 20 </w:t>
            </w:r>
            <w:proofErr w:type="spellStart"/>
            <w:r w:rsidRPr="002D5B48">
              <w:rPr>
                <w:sz w:val="20"/>
              </w:rPr>
              <w:t>mo</w:t>
            </w:r>
            <w:proofErr w:type="spellEnd"/>
          </w:p>
        </w:tc>
      </w:tr>
      <w:tr w:rsidR="002D5B48" w:rsidRPr="002D5B48" w14:paraId="3FB6184E"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261D4AC1" w14:textId="1A074483" w:rsidR="00F8299B" w:rsidRPr="002D5B48" w:rsidRDefault="00F8299B" w:rsidP="00F8299B">
            <w:pPr>
              <w:rPr>
                <w:sz w:val="20"/>
              </w:rPr>
            </w:pPr>
            <w:proofErr w:type="spellStart"/>
            <w:r w:rsidRPr="002D5B48">
              <w:rPr>
                <w:sz w:val="20"/>
              </w:rPr>
              <w:t>Beerman</w:t>
            </w:r>
            <w:proofErr w:type="spellEnd"/>
          </w:p>
        </w:tc>
        <w:tc>
          <w:tcPr>
            <w:tcW w:w="703" w:type="dxa"/>
            <w:tcBorders>
              <w:top w:val="nil"/>
              <w:left w:val="nil"/>
              <w:bottom w:val="nil"/>
              <w:right w:val="nil"/>
            </w:tcBorders>
            <w:shd w:val="clear" w:color="auto" w:fill="auto"/>
            <w:noWrap/>
            <w:vAlign w:val="bottom"/>
            <w:hideMark/>
          </w:tcPr>
          <w:p w14:paraId="4CC995F8" w14:textId="77777777" w:rsidR="00F8299B" w:rsidRPr="002D5B48" w:rsidRDefault="00F8299B" w:rsidP="00F8299B">
            <w:pPr>
              <w:rPr>
                <w:sz w:val="20"/>
              </w:rPr>
            </w:pPr>
            <w:r w:rsidRPr="002D5B48">
              <w:rPr>
                <w:sz w:val="20"/>
              </w:rPr>
              <w:t>2013</w:t>
            </w:r>
          </w:p>
        </w:tc>
        <w:tc>
          <w:tcPr>
            <w:tcW w:w="1280" w:type="dxa"/>
            <w:tcBorders>
              <w:top w:val="nil"/>
              <w:left w:val="nil"/>
              <w:bottom w:val="nil"/>
              <w:right w:val="nil"/>
            </w:tcBorders>
            <w:vAlign w:val="bottom"/>
          </w:tcPr>
          <w:p w14:paraId="6C8B2C59" w14:textId="77777777" w:rsidR="00F8299B" w:rsidRPr="002D5B48" w:rsidRDefault="00F8299B" w:rsidP="00F8299B">
            <w:pPr>
              <w:rPr>
                <w:sz w:val="20"/>
              </w:rPr>
            </w:pPr>
            <w:r w:rsidRPr="002D5B48">
              <w:rPr>
                <w:sz w:val="20"/>
              </w:rPr>
              <w:t>GSE43729</w:t>
            </w:r>
          </w:p>
        </w:tc>
        <w:tc>
          <w:tcPr>
            <w:tcW w:w="1740" w:type="dxa"/>
            <w:tcBorders>
              <w:top w:val="nil"/>
              <w:left w:val="nil"/>
              <w:bottom w:val="nil"/>
              <w:right w:val="nil"/>
            </w:tcBorders>
            <w:shd w:val="clear" w:color="auto" w:fill="auto"/>
            <w:noWrap/>
            <w:vAlign w:val="bottom"/>
          </w:tcPr>
          <w:p w14:paraId="323149B2" w14:textId="77777777" w:rsidR="00F8299B" w:rsidRPr="002D5B48" w:rsidRDefault="00F8299B" w:rsidP="00F8299B">
            <w:pPr>
              <w:rPr>
                <w:sz w:val="20"/>
              </w:rPr>
            </w:pPr>
            <w:r w:rsidRPr="002D5B48">
              <w:rPr>
                <w:sz w:val="20"/>
              </w:rPr>
              <w:t>Beerman</w:t>
            </w:r>
            <w:r w:rsidRPr="002D5B48">
              <w:rPr>
                <w:sz w:val="20"/>
              </w:rPr>
              <w:fldChar w:fldCharType="begin"/>
            </w:r>
            <w:r w:rsidRPr="002D5B48">
              <w:rPr>
                <w:sz w:val="20"/>
              </w:rPr>
              <w:instrText xml:space="preserve"> ADDIN ZOTERO_ITEM CSL_CITATION {"citationID":"fJiPAbzv","properties":{"formattedCitation":"\\super 33\\nosupersub{}","plainCitation":"33","noteIndex":0},"citationItems":[{"id":512,"uris":["http://zotero.org/users/local/ebh37oKg/items/2QCXTUMK"],"itemData":{"id":512,"type":"article-journal","container-title":"Cell Stem Cell","DOI":"10.1016/j.stem.2013.01.017","ISSN":"1934-5909, 1875-9777","issue":"4","journalAbbreviation":"Cell Stem Cell","language":"English","note":"publisher: Elsevier\nPMID: 23415915","page":"413-425","source":"www.cell.com","title":"Proliferation-Dependent Alterations of the DNA Methylation Landscape Underlie Hematopoietic Stem Cell Aging","volume":"12","author":[{"family":"Beerman","given":"Isabel"},{"family":"Bock","given":"Christoph"},{"family":"Garrison","given":"Brian S."},{"family":"Smith","given":"Zachary D."},{"family":"Gu","given":"Hongcang"},{"family":"Meissner","given":"Alexander"},{"family":"Rossi","given":"Derrick J."}],"issued":{"date-parts":[["2013",4,4]]}}}],"schema":"https://github.com/citation-style-language/schema/raw/master/csl-citation.json"} </w:instrText>
            </w:r>
            <w:r w:rsidRPr="002D5B48">
              <w:rPr>
                <w:sz w:val="20"/>
              </w:rPr>
              <w:fldChar w:fldCharType="separate"/>
            </w:r>
            <w:r w:rsidRPr="002D5B48">
              <w:rPr>
                <w:rFonts w:cs="Calibri"/>
                <w:kern w:val="0"/>
                <w:sz w:val="20"/>
                <w:vertAlign w:val="superscript"/>
              </w:rPr>
              <w:t>33</w:t>
            </w:r>
            <w:r w:rsidRPr="002D5B48">
              <w:rPr>
                <w:sz w:val="20"/>
              </w:rPr>
              <w:fldChar w:fldCharType="end"/>
            </w:r>
          </w:p>
        </w:tc>
        <w:tc>
          <w:tcPr>
            <w:tcW w:w="1325" w:type="dxa"/>
            <w:tcBorders>
              <w:top w:val="nil"/>
              <w:left w:val="nil"/>
              <w:bottom w:val="nil"/>
              <w:right w:val="nil"/>
            </w:tcBorders>
            <w:shd w:val="clear" w:color="auto" w:fill="auto"/>
            <w:noWrap/>
            <w:vAlign w:val="bottom"/>
          </w:tcPr>
          <w:p w14:paraId="27E4F2C7" w14:textId="77777777" w:rsidR="00F8299B" w:rsidRPr="002D5B48" w:rsidRDefault="00F8299B" w:rsidP="00F8299B">
            <w:pPr>
              <w:rPr>
                <w:sz w:val="20"/>
              </w:rPr>
            </w:pPr>
            <w:r w:rsidRPr="002D5B48">
              <w:rPr>
                <w:sz w:val="20"/>
              </w:rPr>
              <w:t>23415915</w:t>
            </w:r>
          </w:p>
        </w:tc>
        <w:tc>
          <w:tcPr>
            <w:tcW w:w="1094" w:type="dxa"/>
            <w:tcBorders>
              <w:top w:val="nil"/>
              <w:left w:val="nil"/>
              <w:bottom w:val="nil"/>
              <w:right w:val="nil"/>
            </w:tcBorders>
            <w:shd w:val="clear" w:color="auto" w:fill="auto"/>
            <w:noWrap/>
            <w:vAlign w:val="bottom"/>
            <w:hideMark/>
          </w:tcPr>
          <w:p w14:paraId="15429037" w14:textId="77777777" w:rsidR="00F8299B" w:rsidRPr="002D5B48" w:rsidRDefault="00F8299B" w:rsidP="00F8299B">
            <w:pPr>
              <w:rPr>
                <w:sz w:val="20"/>
              </w:rPr>
            </w:pPr>
            <w:proofErr w:type="spellStart"/>
            <w:r w:rsidRPr="002D5B48">
              <w:rPr>
                <w:sz w:val="20"/>
              </w:rPr>
              <w:t>ExpArray</w:t>
            </w:r>
            <w:proofErr w:type="spellEnd"/>
          </w:p>
        </w:tc>
        <w:tc>
          <w:tcPr>
            <w:tcW w:w="1320" w:type="dxa"/>
            <w:tcBorders>
              <w:top w:val="nil"/>
              <w:left w:val="nil"/>
              <w:bottom w:val="nil"/>
              <w:right w:val="nil"/>
            </w:tcBorders>
            <w:shd w:val="clear" w:color="auto" w:fill="auto"/>
            <w:noWrap/>
            <w:vAlign w:val="bottom"/>
            <w:hideMark/>
          </w:tcPr>
          <w:p w14:paraId="35A3523E" w14:textId="77777777" w:rsidR="00F8299B" w:rsidRPr="002D5B48" w:rsidRDefault="00F8299B" w:rsidP="00F8299B">
            <w:pPr>
              <w:rPr>
                <w:sz w:val="20"/>
              </w:rPr>
            </w:pPr>
            <w:r w:rsidRPr="002D5B48">
              <w:rPr>
                <w:sz w:val="20"/>
              </w:rPr>
              <w:t>e14.5</w:t>
            </w:r>
          </w:p>
        </w:tc>
        <w:tc>
          <w:tcPr>
            <w:tcW w:w="1200" w:type="dxa"/>
            <w:tcBorders>
              <w:top w:val="nil"/>
              <w:left w:val="nil"/>
              <w:bottom w:val="nil"/>
              <w:right w:val="nil"/>
            </w:tcBorders>
            <w:shd w:val="clear" w:color="auto" w:fill="auto"/>
            <w:noWrap/>
            <w:vAlign w:val="bottom"/>
            <w:hideMark/>
          </w:tcPr>
          <w:p w14:paraId="5596DA35" w14:textId="77777777" w:rsidR="00F8299B" w:rsidRPr="002D5B48" w:rsidRDefault="00F8299B" w:rsidP="00F8299B">
            <w:pPr>
              <w:rPr>
                <w:sz w:val="20"/>
              </w:rPr>
            </w:pPr>
            <w:r w:rsidRPr="002D5B48">
              <w:rPr>
                <w:sz w:val="20"/>
              </w:rPr>
              <w:t>25</w:t>
            </w:r>
          </w:p>
        </w:tc>
        <w:tc>
          <w:tcPr>
            <w:tcW w:w="1665" w:type="dxa"/>
            <w:tcBorders>
              <w:top w:val="nil"/>
              <w:left w:val="nil"/>
              <w:bottom w:val="nil"/>
              <w:right w:val="nil"/>
            </w:tcBorders>
            <w:shd w:val="clear" w:color="auto" w:fill="auto"/>
            <w:noWrap/>
            <w:vAlign w:val="bottom"/>
            <w:hideMark/>
          </w:tcPr>
          <w:p w14:paraId="173DFA40" w14:textId="77777777" w:rsidR="00F8299B" w:rsidRPr="002D5B48" w:rsidRDefault="00F8299B" w:rsidP="00F8299B">
            <w:pPr>
              <w:rPr>
                <w:sz w:val="20"/>
              </w:rPr>
            </w:pPr>
            <w:r w:rsidRPr="002D5B48">
              <w:rPr>
                <w:sz w:val="20"/>
              </w:rPr>
              <w:t>e14.5, 25</w:t>
            </w:r>
          </w:p>
        </w:tc>
      </w:tr>
      <w:tr w:rsidR="002D5B48" w:rsidRPr="002D5B48" w14:paraId="1AAF20D4"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47CF44DF" w14:textId="23DC0E16" w:rsidR="00F8299B" w:rsidRPr="002D5B48" w:rsidRDefault="00F8299B" w:rsidP="00F8299B">
            <w:pPr>
              <w:rPr>
                <w:sz w:val="20"/>
              </w:rPr>
            </w:pPr>
            <w:r w:rsidRPr="002D5B48">
              <w:rPr>
                <w:sz w:val="20"/>
              </w:rPr>
              <w:t>Wahlestedt</w:t>
            </w:r>
          </w:p>
        </w:tc>
        <w:tc>
          <w:tcPr>
            <w:tcW w:w="703" w:type="dxa"/>
            <w:tcBorders>
              <w:top w:val="nil"/>
              <w:left w:val="nil"/>
              <w:bottom w:val="nil"/>
              <w:right w:val="nil"/>
            </w:tcBorders>
            <w:shd w:val="clear" w:color="auto" w:fill="auto"/>
            <w:noWrap/>
            <w:vAlign w:val="bottom"/>
            <w:hideMark/>
          </w:tcPr>
          <w:p w14:paraId="7592055C" w14:textId="77777777" w:rsidR="00F8299B" w:rsidRPr="002D5B48" w:rsidRDefault="00F8299B" w:rsidP="00F8299B">
            <w:pPr>
              <w:rPr>
                <w:sz w:val="20"/>
              </w:rPr>
            </w:pPr>
            <w:r w:rsidRPr="002D5B48">
              <w:rPr>
                <w:sz w:val="20"/>
              </w:rPr>
              <w:t>2013</w:t>
            </w:r>
          </w:p>
        </w:tc>
        <w:tc>
          <w:tcPr>
            <w:tcW w:w="1280" w:type="dxa"/>
            <w:tcBorders>
              <w:top w:val="nil"/>
              <w:left w:val="nil"/>
              <w:bottom w:val="nil"/>
              <w:right w:val="nil"/>
            </w:tcBorders>
            <w:vAlign w:val="bottom"/>
          </w:tcPr>
          <w:p w14:paraId="7DE49F44" w14:textId="77777777" w:rsidR="00F8299B" w:rsidRPr="002D5B48" w:rsidRDefault="00F8299B" w:rsidP="00F8299B">
            <w:pPr>
              <w:rPr>
                <w:b/>
                <w:bCs/>
                <w:sz w:val="20"/>
              </w:rPr>
            </w:pPr>
            <w:r w:rsidRPr="002D5B48">
              <w:rPr>
                <w:b/>
                <w:bCs/>
                <w:sz w:val="20"/>
              </w:rPr>
              <w:t>GSE44923</w:t>
            </w:r>
          </w:p>
        </w:tc>
        <w:tc>
          <w:tcPr>
            <w:tcW w:w="1740" w:type="dxa"/>
            <w:tcBorders>
              <w:top w:val="nil"/>
              <w:left w:val="nil"/>
              <w:bottom w:val="nil"/>
              <w:right w:val="nil"/>
            </w:tcBorders>
            <w:shd w:val="clear" w:color="auto" w:fill="auto"/>
            <w:noWrap/>
            <w:vAlign w:val="bottom"/>
          </w:tcPr>
          <w:p w14:paraId="46BEF5DA" w14:textId="77777777" w:rsidR="00F8299B" w:rsidRPr="002D5B48" w:rsidRDefault="00F8299B" w:rsidP="00F8299B">
            <w:pPr>
              <w:rPr>
                <w:sz w:val="20"/>
              </w:rPr>
            </w:pPr>
            <w:r w:rsidRPr="002D5B48">
              <w:rPr>
                <w:sz w:val="20"/>
              </w:rPr>
              <w:t>Wahlestedt</w:t>
            </w:r>
            <w:r w:rsidRPr="002D5B48">
              <w:rPr>
                <w:sz w:val="20"/>
              </w:rPr>
              <w:fldChar w:fldCharType="begin"/>
            </w:r>
            <w:r w:rsidRPr="002D5B48">
              <w:rPr>
                <w:sz w:val="20"/>
              </w:rPr>
              <w:instrText xml:space="preserve"> ADDIN ZOTERO_ITEM CSL_CITATION {"citationID":"T9FdUpQd","properties":{"formattedCitation":"\\super 34\\nosupersub{}","plainCitation":"34","noteIndex":0},"citationItems":[{"id":408,"uris":["http://zotero.org/users/local/ebh37oKg/items/39YZEC6E"],"itemData":{"id":408,"type":"article-journal","abstract":"Aging of hematopoietic stem cells (HSCs) leads to several functional changes, including alterations affecting self-renewal and differentiation. Although it is well established that many of the age-induced changes are intrinsic to HSCs, less is known regarding the stability of this state. Here, we entertained the hypothesis that HSC aging is driven by the acquisition of permanent genetic mutations. To examine this issue at a functional level in vivo, we applied induced pluripotent stem (iPS) cell reprogramming of aged hematopoietic progenitors and allowed the resulting aged-derived iPS cells to reform hematopoiesis via blastocyst complementation. Next, we functionally characterized iPS-derived HSCs in primary chimeras and after the transplantation of re-differentiated HSCs into new hosts, the gold standard to assess HSC function. Our data demonstrate remarkably similar functional properties of iPS-derived and endogenous blastocyst-derived HSCs, despite the extensive chronological and proliferative age of the former. Our results, therefore, favor a model in which an underlying, but reversible, epigenetic component is a hallmark of HSC aging.","container-title":"Blood","DOI":"10.1182/blood-2012-11-469080","ISSN":"1528-0020","issue":"21","journalAbbreviation":"Blood","language":"eng","note":"PMID: 23476050","page":"4257-4264","source":"PubMed","title":"An epigenetic component of hematopoietic stem cell aging amenable to reprogramming into a young state","volume":"121","author":[{"family":"Wahlestedt","given":"Martin"},{"family":"Norddahl","given":"Gudmundur L."},{"family":"Sten","given":"Gerd"},{"family":"Ugale","given":"Amol"},{"family":"Frisk","given":"Mary-Ann Micha"},{"family":"Mattsson","given":"Ragnar"},{"family":"Deierborg","given":"Tomas"},{"family":"Sigvardsson","given":"Mikael"},{"family":"Bryder","given":"David"}],"issued":{"date-parts":[["2013",5,23]]}}}],"schema":"https://github.com/citation-style-language/schema/raw/master/csl-citation.json"} </w:instrText>
            </w:r>
            <w:r w:rsidRPr="002D5B48">
              <w:rPr>
                <w:sz w:val="20"/>
              </w:rPr>
              <w:fldChar w:fldCharType="separate"/>
            </w:r>
            <w:r w:rsidRPr="002D5B48">
              <w:rPr>
                <w:rFonts w:cs="Calibri"/>
                <w:kern w:val="0"/>
                <w:sz w:val="20"/>
                <w:vertAlign w:val="superscript"/>
              </w:rPr>
              <w:t>34</w:t>
            </w:r>
            <w:r w:rsidRPr="002D5B48">
              <w:rPr>
                <w:sz w:val="20"/>
              </w:rPr>
              <w:fldChar w:fldCharType="end"/>
            </w:r>
          </w:p>
        </w:tc>
        <w:tc>
          <w:tcPr>
            <w:tcW w:w="1325" w:type="dxa"/>
            <w:tcBorders>
              <w:top w:val="nil"/>
              <w:left w:val="nil"/>
              <w:bottom w:val="nil"/>
              <w:right w:val="nil"/>
            </w:tcBorders>
            <w:shd w:val="clear" w:color="auto" w:fill="auto"/>
            <w:noWrap/>
            <w:vAlign w:val="bottom"/>
          </w:tcPr>
          <w:p w14:paraId="26EA99AB" w14:textId="77777777" w:rsidR="00F8299B" w:rsidRPr="002D5B48" w:rsidRDefault="00F8299B" w:rsidP="00F8299B">
            <w:pPr>
              <w:rPr>
                <w:sz w:val="20"/>
              </w:rPr>
            </w:pPr>
            <w:r w:rsidRPr="002D5B48">
              <w:rPr>
                <w:sz w:val="20"/>
              </w:rPr>
              <w:t>23476050</w:t>
            </w:r>
          </w:p>
        </w:tc>
        <w:tc>
          <w:tcPr>
            <w:tcW w:w="1094" w:type="dxa"/>
            <w:tcBorders>
              <w:top w:val="nil"/>
              <w:left w:val="nil"/>
              <w:bottom w:val="nil"/>
              <w:right w:val="nil"/>
            </w:tcBorders>
            <w:shd w:val="clear" w:color="auto" w:fill="auto"/>
            <w:noWrap/>
            <w:vAlign w:val="bottom"/>
            <w:hideMark/>
          </w:tcPr>
          <w:p w14:paraId="1115F710" w14:textId="77777777" w:rsidR="00F8299B" w:rsidRPr="002D5B48" w:rsidRDefault="00F8299B" w:rsidP="00F8299B">
            <w:pPr>
              <w:rPr>
                <w:sz w:val="20"/>
              </w:rPr>
            </w:pPr>
            <w:proofErr w:type="spellStart"/>
            <w:r w:rsidRPr="002D5B48">
              <w:rPr>
                <w:sz w:val="20"/>
              </w:rPr>
              <w:t>ExpArray</w:t>
            </w:r>
            <w:proofErr w:type="spellEnd"/>
          </w:p>
        </w:tc>
        <w:tc>
          <w:tcPr>
            <w:tcW w:w="1320" w:type="dxa"/>
            <w:tcBorders>
              <w:top w:val="nil"/>
              <w:left w:val="nil"/>
              <w:bottom w:val="nil"/>
              <w:right w:val="nil"/>
            </w:tcBorders>
            <w:shd w:val="clear" w:color="auto" w:fill="auto"/>
            <w:noWrap/>
            <w:vAlign w:val="bottom"/>
            <w:hideMark/>
          </w:tcPr>
          <w:p w14:paraId="12B3CE4C" w14:textId="77777777" w:rsidR="00F8299B" w:rsidRPr="002D5B48" w:rsidRDefault="00F8299B" w:rsidP="00F8299B">
            <w:pPr>
              <w:rPr>
                <w:sz w:val="20"/>
              </w:rPr>
            </w:pPr>
          </w:p>
        </w:tc>
        <w:tc>
          <w:tcPr>
            <w:tcW w:w="1200" w:type="dxa"/>
            <w:tcBorders>
              <w:top w:val="nil"/>
              <w:left w:val="nil"/>
              <w:bottom w:val="nil"/>
              <w:right w:val="nil"/>
            </w:tcBorders>
            <w:shd w:val="clear" w:color="auto" w:fill="auto"/>
            <w:noWrap/>
            <w:vAlign w:val="bottom"/>
            <w:hideMark/>
          </w:tcPr>
          <w:p w14:paraId="16FDF6E7" w14:textId="77777777" w:rsidR="00F8299B" w:rsidRPr="002D5B48" w:rsidRDefault="00F8299B" w:rsidP="00F8299B">
            <w:pPr>
              <w:rPr>
                <w:sz w:val="20"/>
              </w:rPr>
            </w:pPr>
          </w:p>
        </w:tc>
        <w:tc>
          <w:tcPr>
            <w:tcW w:w="1665" w:type="dxa"/>
            <w:tcBorders>
              <w:top w:val="nil"/>
              <w:left w:val="nil"/>
              <w:bottom w:val="nil"/>
              <w:right w:val="nil"/>
            </w:tcBorders>
            <w:shd w:val="clear" w:color="auto" w:fill="auto"/>
            <w:noWrap/>
            <w:vAlign w:val="bottom"/>
            <w:hideMark/>
          </w:tcPr>
          <w:p w14:paraId="27F5C5B9" w14:textId="77777777" w:rsidR="00F8299B" w:rsidRPr="002D5B48" w:rsidRDefault="00F8299B" w:rsidP="00F8299B">
            <w:pPr>
              <w:rPr>
                <w:sz w:val="20"/>
              </w:rPr>
            </w:pPr>
            <w:r w:rsidRPr="002D5B48">
              <w:rPr>
                <w:sz w:val="20"/>
              </w:rPr>
              <w:t>unknown</w:t>
            </w:r>
          </w:p>
        </w:tc>
      </w:tr>
      <w:tr w:rsidR="002D5B48" w:rsidRPr="002D5B48" w14:paraId="79D43BBB"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4B8B1798" w14:textId="77777777" w:rsidR="00F8299B" w:rsidRPr="002D5B48" w:rsidRDefault="00F8299B" w:rsidP="00F8299B">
            <w:pPr>
              <w:rPr>
                <w:sz w:val="20"/>
              </w:rPr>
            </w:pPr>
            <w:proofErr w:type="spellStart"/>
            <w:r w:rsidRPr="002D5B48">
              <w:rPr>
                <w:sz w:val="20"/>
              </w:rPr>
              <w:t>Passegué</w:t>
            </w:r>
            <w:proofErr w:type="spellEnd"/>
          </w:p>
        </w:tc>
        <w:tc>
          <w:tcPr>
            <w:tcW w:w="703" w:type="dxa"/>
            <w:tcBorders>
              <w:top w:val="nil"/>
              <w:left w:val="nil"/>
              <w:bottom w:val="nil"/>
              <w:right w:val="nil"/>
            </w:tcBorders>
            <w:shd w:val="clear" w:color="auto" w:fill="auto"/>
            <w:noWrap/>
            <w:vAlign w:val="bottom"/>
            <w:hideMark/>
          </w:tcPr>
          <w:p w14:paraId="3214ED00" w14:textId="77777777" w:rsidR="00F8299B" w:rsidRPr="002D5B48" w:rsidRDefault="00F8299B" w:rsidP="00F8299B">
            <w:pPr>
              <w:rPr>
                <w:sz w:val="20"/>
              </w:rPr>
            </w:pPr>
            <w:r w:rsidRPr="002D5B48">
              <w:rPr>
                <w:sz w:val="20"/>
              </w:rPr>
              <w:t>2014</w:t>
            </w:r>
          </w:p>
        </w:tc>
        <w:tc>
          <w:tcPr>
            <w:tcW w:w="1280" w:type="dxa"/>
            <w:tcBorders>
              <w:top w:val="nil"/>
              <w:left w:val="nil"/>
              <w:bottom w:val="nil"/>
              <w:right w:val="nil"/>
            </w:tcBorders>
            <w:vAlign w:val="bottom"/>
          </w:tcPr>
          <w:p w14:paraId="67D4D71D" w14:textId="77777777" w:rsidR="00F8299B" w:rsidRPr="002D5B48" w:rsidRDefault="00F8299B" w:rsidP="00F8299B">
            <w:pPr>
              <w:rPr>
                <w:b/>
                <w:bCs/>
                <w:sz w:val="20"/>
              </w:rPr>
            </w:pPr>
            <w:r w:rsidRPr="002D5B48">
              <w:rPr>
                <w:b/>
                <w:bCs/>
                <w:sz w:val="20"/>
              </w:rPr>
              <w:t>GSE48893</w:t>
            </w:r>
          </w:p>
        </w:tc>
        <w:tc>
          <w:tcPr>
            <w:tcW w:w="1740" w:type="dxa"/>
            <w:tcBorders>
              <w:top w:val="nil"/>
              <w:left w:val="nil"/>
              <w:bottom w:val="nil"/>
              <w:right w:val="nil"/>
            </w:tcBorders>
            <w:shd w:val="clear" w:color="auto" w:fill="auto"/>
            <w:noWrap/>
            <w:vAlign w:val="bottom"/>
          </w:tcPr>
          <w:p w14:paraId="6B4D63A0" w14:textId="77777777" w:rsidR="00F8299B" w:rsidRPr="002D5B48" w:rsidRDefault="00F8299B" w:rsidP="00F8299B">
            <w:pPr>
              <w:rPr>
                <w:sz w:val="20"/>
              </w:rPr>
            </w:pPr>
            <w:r w:rsidRPr="002D5B48">
              <w:rPr>
                <w:sz w:val="20"/>
              </w:rPr>
              <w:t>Flach</w:t>
            </w:r>
            <w:r w:rsidRPr="002D5B48">
              <w:rPr>
                <w:sz w:val="20"/>
              </w:rPr>
              <w:fldChar w:fldCharType="begin"/>
            </w:r>
            <w:r w:rsidRPr="002D5B48">
              <w:rPr>
                <w:sz w:val="20"/>
              </w:rPr>
              <w:instrText xml:space="preserve"> ADDIN ZOTERO_ITEM CSL_CITATION {"citationID":"tPiS6ZvI","properties":{"formattedCitation":"\\super 14\\nosupersub{}","plainCitation":"14","noteIndex":0},"citationItems":[{"id":411,"uris":["http://zotero.org/users/local/ebh37oKg/items/JZYMLM9Z"],"itemData":{"id":411,"type":"article-journal","abstract":"Haematopoietic stem cells (HSCs) self-renew for life, thereby making them one of the few blood cells that truly age. Paradoxically, although HSCs numerically expand with age, their functional activity declines over time, resulting in degraded blood production and impaired engraftment following transplantation. While many drivers of HSC ageing have been proposed, the reason why HSC function degrades with age remains unknown. Here we show that cycling old HSCs in mice have heightened levels of replication stress associated with cell cycle defects and chromosome gaps or breaks, which are due to decreased expression of mini-chromosome maintenance (MCM) helicase components and altered dynamics of DNA replication forks. Nonetheless, old HSCs survive replication unless confronted with a strong replication challenge, such as transplantation. Moreover, once old HSCs re-establish quiescence, residual replication stress on ribosomal DNA (rDNA) genes leads to the formation of nucleolar-associated γH2AX signals, which persist owing to ineffective H2AX dephosphorylation by mislocalized PP4c phosphatase rather than ongoing DNA damage. Persistent nucleolar γH2AX also acts as a histone modification marking the transcriptional silencing of rDNA genes and decreased ribosome biogenesis in quiescent old HSCs. Our results identify replication stress as a potent driver of functional decline in old HSCs, and highlight the MCM DNA helicase as a potential molecular target for rejuvenation therapies.","container-title":"Nature","DOI":"10.1038/nature13619","ISSN":"1476-4687","issue":"7513","journalAbbreviation":"Nature","language":"eng","note":"PMID: 25079315\nPMCID: PMC4456040","page":"198-202","source":"PubMed","title":"Replication stress is a potent driver of functional decline in ageing haematopoietic stem cells","volume":"512","author":[{"family":"Flach","given":"Johanna"},{"family":"Bakker","given":"Sietske T."},{"family":"Mohrin","given":"Mary"},{"family":"Conroy","given":"Pauline C."},{"family":"Pietras","given":"Eric M."},{"family":"Reynaud","given":"Damien"},{"family":"Alvarez","given":"Silvia"},{"family":"Diolaiti","given":"Morgan E."},{"family":"Ugarte","given":"Fernando"},{"family":"Forsberg","given":"E. Camilla"},{"family":"Le Beau","given":"Michelle M."},{"family":"Stohr","given":"Bradley A."},{"family":"Méndez","given":"Juan"},{"family":"Morrison","given":"Ciaran G."},{"family":"Passegué","given":"Emmanuelle"}],"issued":{"date-parts":[["2014",8,14]]}}}],"schema":"https://github.com/citation-style-language/schema/raw/master/csl-citation.json"} </w:instrText>
            </w:r>
            <w:r w:rsidRPr="002D5B48">
              <w:rPr>
                <w:sz w:val="20"/>
              </w:rPr>
              <w:fldChar w:fldCharType="separate"/>
            </w:r>
            <w:r w:rsidRPr="002D5B48">
              <w:rPr>
                <w:rFonts w:cs="Calibri"/>
                <w:kern w:val="0"/>
                <w:sz w:val="20"/>
                <w:vertAlign w:val="superscript"/>
              </w:rPr>
              <w:t>14</w:t>
            </w:r>
            <w:r w:rsidRPr="002D5B48">
              <w:rPr>
                <w:sz w:val="20"/>
              </w:rPr>
              <w:fldChar w:fldCharType="end"/>
            </w:r>
          </w:p>
        </w:tc>
        <w:tc>
          <w:tcPr>
            <w:tcW w:w="1325" w:type="dxa"/>
            <w:tcBorders>
              <w:top w:val="nil"/>
              <w:left w:val="nil"/>
              <w:bottom w:val="nil"/>
              <w:right w:val="nil"/>
            </w:tcBorders>
            <w:shd w:val="clear" w:color="auto" w:fill="auto"/>
            <w:noWrap/>
            <w:vAlign w:val="bottom"/>
          </w:tcPr>
          <w:p w14:paraId="12F3E724" w14:textId="77777777" w:rsidR="00F8299B" w:rsidRPr="002D5B48" w:rsidRDefault="00F8299B" w:rsidP="00F8299B">
            <w:pPr>
              <w:rPr>
                <w:sz w:val="20"/>
              </w:rPr>
            </w:pPr>
            <w:r w:rsidRPr="002D5B48">
              <w:rPr>
                <w:sz w:val="20"/>
              </w:rPr>
              <w:t>25079315</w:t>
            </w:r>
          </w:p>
        </w:tc>
        <w:tc>
          <w:tcPr>
            <w:tcW w:w="1094" w:type="dxa"/>
            <w:tcBorders>
              <w:top w:val="nil"/>
              <w:left w:val="nil"/>
              <w:bottom w:val="nil"/>
              <w:right w:val="nil"/>
            </w:tcBorders>
            <w:shd w:val="clear" w:color="auto" w:fill="auto"/>
            <w:noWrap/>
            <w:vAlign w:val="bottom"/>
            <w:hideMark/>
          </w:tcPr>
          <w:p w14:paraId="31F706DA" w14:textId="77777777" w:rsidR="00F8299B" w:rsidRPr="002D5B48" w:rsidRDefault="00F8299B" w:rsidP="00F8299B">
            <w:pPr>
              <w:rPr>
                <w:sz w:val="20"/>
              </w:rPr>
            </w:pPr>
            <w:proofErr w:type="spellStart"/>
            <w:r w:rsidRPr="002D5B48">
              <w:rPr>
                <w:sz w:val="20"/>
              </w:rPr>
              <w:t>ExpArray</w:t>
            </w:r>
            <w:proofErr w:type="spellEnd"/>
          </w:p>
        </w:tc>
        <w:tc>
          <w:tcPr>
            <w:tcW w:w="1320" w:type="dxa"/>
            <w:tcBorders>
              <w:top w:val="nil"/>
              <w:left w:val="nil"/>
              <w:bottom w:val="nil"/>
              <w:right w:val="nil"/>
            </w:tcBorders>
            <w:shd w:val="clear" w:color="auto" w:fill="auto"/>
            <w:noWrap/>
            <w:vAlign w:val="bottom"/>
            <w:hideMark/>
          </w:tcPr>
          <w:p w14:paraId="6CCEAA91" w14:textId="77777777" w:rsidR="00F8299B" w:rsidRPr="002D5B48" w:rsidRDefault="00F8299B" w:rsidP="00F8299B">
            <w:pPr>
              <w:rPr>
                <w:sz w:val="20"/>
              </w:rPr>
            </w:pPr>
            <w:r w:rsidRPr="002D5B48">
              <w:rPr>
                <w:sz w:val="20"/>
              </w:rPr>
              <w:t xml:space="preserve">1.3 - 2.7 </w:t>
            </w:r>
            <w:proofErr w:type="spellStart"/>
            <w:r w:rsidRPr="002D5B48">
              <w:rPr>
                <w:sz w:val="20"/>
              </w:rPr>
              <w:t>mo</w:t>
            </w:r>
            <w:proofErr w:type="spellEnd"/>
          </w:p>
        </w:tc>
        <w:tc>
          <w:tcPr>
            <w:tcW w:w="1200" w:type="dxa"/>
            <w:tcBorders>
              <w:top w:val="nil"/>
              <w:left w:val="nil"/>
              <w:bottom w:val="nil"/>
              <w:right w:val="nil"/>
            </w:tcBorders>
            <w:shd w:val="clear" w:color="auto" w:fill="auto"/>
            <w:noWrap/>
            <w:vAlign w:val="bottom"/>
            <w:hideMark/>
          </w:tcPr>
          <w:p w14:paraId="4F72608E" w14:textId="77777777" w:rsidR="00F8299B" w:rsidRPr="002D5B48" w:rsidRDefault="00F8299B" w:rsidP="00F8299B">
            <w:pPr>
              <w:rPr>
                <w:sz w:val="20"/>
              </w:rPr>
            </w:pPr>
            <w:r w:rsidRPr="002D5B48">
              <w:rPr>
                <w:sz w:val="20"/>
              </w:rPr>
              <w:t xml:space="preserve">22-30 </w:t>
            </w:r>
            <w:proofErr w:type="spellStart"/>
            <w:r w:rsidRPr="002D5B48">
              <w:rPr>
                <w:sz w:val="20"/>
              </w:rPr>
              <w:t>mo</w:t>
            </w:r>
            <w:proofErr w:type="spellEnd"/>
          </w:p>
        </w:tc>
        <w:tc>
          <w:tcPr>
            <w:tcW w:w="1665" w:type="dxa"/>
            <w:tcBorders>
              <w:top w:val="nil"/>
              <w:left w:val="nil"/>
              <w:bottom w:val="nil"/>
              <w:right w:val="nil"/>
            </w:tcBorders>
            <w:shd w:val="clear" w:color="auto" w:fill="auto"/>
            <w:noWrap/>
            <w:vAlign w:val="bottom"/>
            <w:hideMark/>
          </w:tcPr>
          <w:p w14:paraId="71EF065E" w14:textId="77777777" w:rsidR="00F8299B" w:rsidRPr="002D5B48" w:rsidRDefault="00F8299B" w:rsidP="00F8299B">
            <w:pPr>
              <w:rPr>
                <w:sz w:val="20"/>
              </w:rPr>
            </w:pPr>
            <w:r w:rsidRPr="002D5B48">
              <w:rPr>
                <w:sz w:val="20"/>
              </w:rPr>
              <w:t xml:space="preserve">1.3- 2.7, </w:t>
            </w:r>
          </w:p>
        </w:tc>
      </w:tr>
      <w:tr w:rsidR="002D5B48" w:rsidRPr="002D5B48" w14:paraId="2F7A2C27"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5E04713D" w14:textId="4C153A2F" w:rsidR="00F8299B" w:rsidRPr="002D5B48" w:rsidRDefault="00F8299B" w:rsidP="00F8299B">
            <w:pPr>
              <w:rPr>
                <w:sz w:val="20"/>
              </w:rPr>
            </w:pPr>
            <w:proofErr w:type="spellStart"/>
            <w:r w:rsidRPr="002D5B48">
              <w:rPr>
                <w:sz w:val="20"/>
              </w:rPr>
              <w:t>Quere</w:t>
            </w:r>
            <w:proofErr w:type="spellEnd"/>
          </w:p>
        </w:tc>
        <w:tc>
          <w:tcPr>
            <w:tcW w:w="703" w:type="dxa"/>
            <w:tcBorders>
              <w:top w:val="nil"/>
              <w:left w:val="nil"/>
              <w:bottom w:val="nil"/>
              <w:right w:val="nil"/>
            </w:tcBorders>
            <w:shd w:val="clear" w:color="auto" w:fill="auto"/>
            <w:noWrap/>
            <w:vAlign w:val="bottom"/>
            <w:hideMark/>
          </w:tcPr>
          <w:p w14:paraId="6B79182F" w14:textId="77777777" w:rsidR="00F8299B" w:rsidRPr="002D5B48" w:rsidRDefault="00F8299B" w:rsidP="00F8299B">
            <w:pPr>
              <w:rPr>
                <w:sz w:val="20"/>
              </w:rPr>
            </w:pPr>
            <w:r w:rsidRPr="002D5B48">
              <w:rPr>
                <w:sz w:val="20"/>
              </w:rPr>
              <w:t>2014</w:t>
            </w:r>
          </w:p>
        </w:tc>
        <w:tc>
          <w:tcPr>
            <w:tcW w:w="1280" w:type="dxa"/>
            <w:tcBorders>
              <w:top w:val="nil"/>
              <w:left w:val="nil"/>
              <w:bottom w:val="nil"/>
              <w:right w:val="nil"/>
            </w:tcBorders>
            <w:vAlign w:val="bottom"/>
          </w:tcPr>
          <w:p w14:paraId="1FA1B9EA" w14:textId="77777777" w:rsidR="00F8299B" w:rsidRPr="002D5B48" w:rsidRDefault="00F8299B" w:rsidP="00F8299B">
            <w:pPr>
              <w:rPr>
                <w:sz w:val="20"/>
              </w:rPr>
            </w:pPr>
            <w:r w:rsidRPr="002D5B48">
              <w:rPr>
                <w:sz w:val="20"/>
              </w:rPr>
              <w:t>GSE57396</w:t>
            </w:r>
          </w:p>
        </w:tc>
        <w:tc>
          <w:tcPr>
            <w:tcW w:w="1740" w:type="dxa"/>
            <w:tcBorders>
              <w:top w:val="nil"/>
              <w:left w:val="nil"/>
              <w:bottom w:val="nil"/>
              <w:right w:val="nil"/>
            </w:tcBorders>
            <w:shd w:val="clear" w:color="auto" w:fill="auto"/>
            <w:noWrap/>
            <w:vAlign w:val="bottom"/>
          </w:tcPr>
          <w:p w14:paraId="1A65FCC8" w14:textId="77777777" w:rsidR="00F8299B" w:rsidRPr="002D5B48" w:rsidRDefault="00F8299B" w:rsidP="00F8299B">
            <w:pPr>
              <w:rPr>
                <w:sz w:val="20"/>
              </w:rPr>
            </w:pPr>
            <w:r w:rsidRPr="002D5B48">
              <w:rPr>
                <w:sz w:val="20"/>
              </w:rPr>
              <w:t>Quere</w:t>
            </w:r>
            <w:r w:rsidRPr="002D5B48">
              <w:rPr>
                <w:sz w:val="20"/>
              </w:rPr>
              <w:fldChar w:fldCharType="begin"/>
            </w:r>
            <w:r w:rsidRPr="002D5B48">
              <w:rPr>
                <w:sz w:val="20"/>
              </w:rPr>
              <w:instrText xml:space="preserve"> ADDIN ZOTERO_ITEM CSL_CITATION {"citationID":"YmxFNxUP","properties":{"formattedCitation":"\\super 35\\nosupersub{}","plainCitation":"35","noteIndex":0},"citationItems":[{"id":515,"uris":["http://zotero.org/users/local/ebh37oKg/items/6XJIF9UU"],"itemData":{"id":515,"type":"article-journal","abstract":"Hematopoietic stem cell aging has been directly linked to the development of several hematological disorders, including myeloproliferative diseases. Here we show that in elderly mice (20 mo old), physiological aging of the hematopoietic system is linked to a decreased expression of transcription intermediary factor 1γ (Tif1γ) in HSCs. In turn, in young Tif1γ−/− mice (4 mo old), the hematopoiesis aging phenotype is exacerbated. In both sets of mice, Tif1γ level controls the TGF-β receptor 1 (Tgfbr1) turnover and subtly regulates the number of myeloid-biased HSCs in bone marrow. We establish that young Tif1γ−/− mice develop a phenotype of premature hematopoietic aging that may explain their predisposition to myeloproliferative disease., The hematopoietic system declines with age. Myeloid-biased differentiation and increased incidence of myeloid malignancies feature aging of hematopoietic stem cells (HSCs), but the mechanisms involved remain uncertain. Here, we report that 4-mo-old mice deleted for transcription intermediary factor 1γ (Tif1γ) in HSCs developed an accelerated aging phenotype. To reinforce this result, we also show that Tif1γ is down-regulated in HSCs during aging in 20-mo-old wild-type mice. We established that Tif1γ controls TGF-β1 receptor (Tgfbr1) turnover. Compared with young HSCs, Tif1γ−/− and old HSCs are more sensitive to TGF-β signaling. Importantly, we identified two populations of HSCs specifically discriminated by Tgfbr1 expression level and provided evidence of the capture of myeloid-biased (Tgfbr1hi) and myeloid-lymphoid-balanced (Tgfbr1lo) HSCs. In conclusion, our data provide a new paradigm for Tif1γ in regulating the balance between lymphoid- and myeloid-derived HSCs through TGF-β signaling, leading to HSC aging.","container-title":"Proceedings of the National Academy of Sciences of the United States of America","DOI":"10.1073/pnas.1405546111","ISSN":"0027-8424","issue":"29","journalAbbreviation":"Proc Natl Acad Sci U S A","note":"PMID: 25002492\nPMCID: PMC4115559","page":"10592-10597","source":"PubMed Central","title":"Tif1γ regulates the TGF-β1 receptor and promotes physiological aging of hematopoietic stem cells","volume":"111","author":[{"family":"Quéré","given":"Ronan"},{"family":"Saint-Paul","given":"Laetitia"},{"family":"Carmignac","given":"Virginie"},{"family":"Martin","given":"Romain Z."},{"family":"Chrétien","given":"Marie-Lorraine"},{"family":"Largeot","given":"Anne"},{"family":"Hammann","given":"Arlette"},{"family":"Pais de Barros","given":"Jean-Paul"},{"family":"Bastie","given":"Jean-Noël"},{"family":"Delva","given":"Laurent"}],"issued":{"date-parts":[["2014",7,22]]}}}],"schema":"https://github.com/citation-style-language/schema/raw/master/csl-citation.json"} </w:instrText>
            </w:r>
            <w:r w:rsidRPr="002D5B48">
              <w:rPr>
                <w:sz w:val="20"/>
              </w:rPr>
              <w:fldChar w:fldCharType="separate"/>
            </w:r>
            <w:r w:rsidRPr="002D5B48">
              <w:rPr>
                <w:rFonts w:cs="Calibri"/>
                <w:kern w:val="0"/>
                <w:sz w:val="20"/>
                <w:vertAlign w:val="superscript"/>
              </w:rPr>
              <w:t>35</w:t>
            </w:r>
            <w:r w:rsidRPr="002D5B48">
              <w:rPr>
                <w:sz w:val="20"/>
              </w:rPr>
              <w:fldChar w:fldCharType="end"/>
            </w:r>
          </w:p>
        </w:tc>
        <w:tc>
          <w:tcPr>
            <w:tcW w:w="1325" w:type="dxa"/>
            <w:tcBorders>
              <w:top w:val="nil"/>
              <w:left w:val="nil"/>
              <w:bottom w:val="nil"/>
              <w:right w:val="nil"/>
            </w:tcBorders>
            <w:shd w:val="clear" w:color="auto" w:fill="auto"/>
            <w:noWrap/>
            <w:vAlign w:val="bottom"/>
          </w:tcPr>
          <w:p w14:paraId="559F5607" w14:textId="77777777" w:rsidR="00F8299B" w:rsidRPr="002D5B48" w:rsidRDefault="00F8299B" w:rsidP="00F8299B">
            <w:pPr>
              <w:rPr>
                <w:sz w:val="20"/>
              </w:rPr>
            </w:pPr>
            <w:r w:rsidRPr="002D5B48">
              <w:rPr>
                <w:sz w:val="20"/>
              </w:rPr>
              <w:t>25002492</w:t>
            </w:r>
          </w:p>
        </w:tc>
        <w:tc>
          <w:tcPr>
            <w:tcW w:w="1094" w:type="dxa"/>
            <w:tcBorders>
              <w:top w:val="nil"/>
              <w:left w:val="nil"/>
              <w:bottom w:val="nil"/>
              <w:right w:val="nil"/>
            </w:tcBorders>
            <w:shd w:val="clear" w:color="auto" w:fill="auto"/>
            <w:noWrap/>
            <w:vAlign w:val="bottom"/>
            <w:hideMark/>
          </w:tcPr>
          <w:p w14:paraId="5CB42E6C"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0765C3F3" w14:textId="77777777" w:rsidR="00F8299B" w:rsidRPr="002D5B48" w:rsidRDefault="00F8299B" w:rsidP="00F8299B">
            <w:pPr>
              <w:rPr>
                <w:sz w:val="20"/>
              </w:rPr>
            </w:pPr>
            <w:r w:rsidRPr="002D5B48">
              <w:rPr>
                <w:sz w:val="20"/>
              </w:rPr>
              <w:t>4</w:t>
            </w:r>
          </w:p>
        </w:tc>
        <w:tc>
          <w:tcPr>
            <w:tcW w:w="1200" w:type="dxa"/>
            <w:tcBorders>
              <w:top w:val="nil"/>
              <w:left w:val="nil"/>
              <w:bottom w:val="nil"/>
              <w:right w:val="nil"/>
            </w:tcBorders>
            <w:shd w:val="clear" w:color="auto" w:fill="auto"/>
            <w:noWrap/>
            <w:vAlign w:val="bottom"/>
            <w:hideMark/>
          </w:tcPr>
          <w:p w14:paraId="661AE52A" w14:textId="77777777" w:rsidR="00F8299B" w:rsidRPr="002D5B48" w:rsidRDefault="00F8299B" w:rsidP="00F8299B">
            <w:pPr>
              <w:rPr>
                <w:sz w:val="20"/>
              </w:rPr>
            </w:pPr>
            <w:r w:rsidRPr="002D5B48">
              <w:rPr>
                <w:sz w:val="20"/>
              </w:rPr>
              <w:t>20</w:t>
            </w:r>
          </w:p>
        </w:tc>
        <w:tc>
          <w:tcPr>
            <w:tcW w:w="1665" w:type="dxa"/>
            <w:tcBorders>
              <w:top w:val="nil"/>
              <w:left w:val="nil"/>
              <w:bottom w:val="nil"/>
              <w:right w:val="nil"/>
            </w:tcBorders>
            <w:shd w:val="clear" w:color="auto" w:fill="auto"/>
            <w:noWrap/>
            <w:vAlign w:val="bottom"/>
            <w:hideMark/>
          </w:tcPr>
          <w:p w14:paraId="30D67CB0" w14:textId="77777777" w:rsidR="00F8299B" w:rsidRPr="002D5B48" w:rsidRDefault="00F8299B" w:rsidP="00F8299B">
            <w:pPr>
              <w:rPr>
                <w:sz w:val="20"/>
              </w:rPr>
            </w:pPr>
            <w:r w:rsidRPr="002D5B48">
              <w:rPr>
                <w:sz w:val="20"/>
              </w:rPr>
              <w:t>4, 20</w:t>
            </w:r>
          </w:p>
        </w:tc>
      </w:tr>
      <w:tr w:rsidR="002D5B48" w:rsidRPr="002D5B48" w14:paraId="5446CF8F"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7CFCA131" w14:textId="2A9A99AC" w:rsidR="00F8299B" w:rsidRPr="002D5B48" w:rsidRDefault="00D17638" w:rsidP="00F8299B">
            <w:pPr>
              <w:rPr>
                <w:sz w:val="20"/>
              </w:rPr>
            </w:pPr>
            <w:r>
              <w:rPr>
                <w:sz w:val="20"/>
              </w:rPr>
              <w:t>Sun</w:t>
            </w:r>
          </w:p>
        </w:tc>
        <w:tc>
          <w:tcPr>
            <w:tcW w:w="703" w:type="dxa"/>
            <w:tcBorders>
              <w:top w:val="nil"/>
              <w:left w:val="nil"/>
              <w:bottom w:val="nil"/>
              <w:right w:val="nil"/>
            </w:tcBorders>
            <w:shd w:val="clear" w:color="auto" w:fill="auto"/>
            <w:noWrap/>
            <w:vAlign w:val="bottom"/>
            <w:hideMark/>
          </w:tcPr>
          <w:p w14:paraId="02C0CA84" w14:textId="77777777" w:rsidR="00F8299B" w:rsidRPr="002D5B48" w:rsidRDefault="00F8299B" w:rsidP="00F8299B">
            <w:pPr>
              <w:rPr>
                <w:sz w:val="20"/>
              </w:rPr>
            </w:pPr>
            <w:r w:rsidRPr="002D5B48">
              <w:rPr>
                <w:sz w:val="20"/>
              </w:rPr>
              <w:t>2014</w:t>
            </w:r>
          </w:p>
        </w:tc>
        <w:tc>
          <w:tcPr>
            <w:tcW w:w="1280" w:type="dxa"/>
            <w:tcBorders>
              <w:top w:val="nil"/>
              <w:left w:val="nil"/>
              <w:bottom w:val="nil"/>
              <w:right w:val="nil"/>
            </w:tcBorders>
            <w:vAlign w:val="bottom"/>
          </w:tcPr>
          <w:p w14:paraId="3925EB37" w14:textId="77777777" w:rsidR="00F8299B" w:rsidRPr="002D5B48" w:rsidRDefault="00F8299B" w:rsidP="00F8299B">
            <w:pPr>
              <w:rPr>
                <w:b/>
                <w:bCs/>
                <w:sz w:val="20"/>
              </w:rPr>
            </w:pPr>
            <w:r w:rsidRPr="002D5B48">
              <w:rPr>
                <w:b/>
                <w:bCs/>
                <w:sz w:val="20"/>
              </w:rPr>
              <w:t>GSE47817</w:t>
            </w:r>
          </w:p>
        </w:tc>
        <w:tc>
          <w:tcPr>
            <w:tcW w:w="1740" w:type="dxa"/>
            <w:tcBorders>
              <w:top w:val="nil"/>
              <w:left w:val="nil"/>
              <w:bottom w:val="nil"/>
              <w:right w:val="nil"/>
            </w:tcBorders>
            <w:shd w:val="clear" w:color="auto" w:fill="auto"/>
            <w:noWrap/>
            <w:vAlign w:val="bottom"/>
          </w:tcPr>
          <w:p w14:paraId="7EBD7ED6" w14:textId="77777777" w:rsidR="00F8299B" w:rsidRPr="002D5B48" w:rsidRDefault="00F8299B" w:rsidP="00F8299B">
            <w:pPr>
              <w:rPr>
                <w:sz w:val="20"/>
              </w:rPr>
            </w:pPr>
            <w:r w:rsidRPr="002D5B48">
              <w:rPr>
                <w:sz w:val="20"/>
              </w:rPr>
              <w:t>Sun</w:t>
            </w:r>
            <w:r w:rsidRPr="002D5B48">
              <w:rPr>
                <w:sz w:val="20"/>
              </w:rPr>
              <w:fldChar w:fldCharType="begin"/>
            </w:r>
            <w:r w:rsidRPr="002D5B48">
              <w:rPr>
                <w:sz w:val="20"/>
              </w:rPr>
              <w:instrText xml:space="preserve"> ADDIN ZOTERO_ITEM CSL_CITATION {"citationID":"rlmabqRI","properties":{"formattedCitation":"\\super 15\\nosupersub{}","plainCitation":"15","noteIndex":0},"citationItems":[{"id":414,"uris":["http://zotero.org/users/local/ebh37oKg/items/5VZYVE36"],"itemData":{"id":414,"type":"article-journal","abstract":"To investigate the cell-intrinsic aging mechanisms that erode the function of somatic stem cells during aging, we have conducted a comprehensive integrated genomic analysis of young and aged cells. We profiled the transcriptome, DNA methylome, and histone modifications of young and old murine hematopoietic stem cells (HSCs). Transcriptome analysis indicated reduced TGF-β signaling and perturbation of genes involved in HSC proliferation and differentiation. Aged HSCs exhibited broader H3K4me3 peaks across HSC identity and self-renewal genes and showed increased DNA methylation at transcription factor binding sites associated with differentiation-promoting genes combined with a reduction at genes associated with HSC maintenance. Altogether, these changes reinforce HSC self-renewal and diminish differentiation, paralleling phenotypic HSC aging behavior. Ribosomal biogenesis emerged as a particular target of aging with increased transcription of ribosomal protein and RNA genes and hypomethylation of rRNA genes. This data set will serve as a reference for future epigenomic analysis of stem cell aging.","container-title":"Cell Stem Cell","DOI":"10.1016/j.stem.2014.03.002","ISSN":"1875-9777","issue":"5","journalAbbreviation":"Cell Stem Cell","language":"eng","note":"PMID: 24792119\nPMCID: PMC4070311","page":"673-688","source":"PubMed","title":"Epigenomic profiling of young and aged HSCs reveals concerted changes during aging that reinforce self-renewal","volume":"14","author":[{"family":"Sun","given":"Deqiang"},{"family":"Luo","given":"Min"},{"family":"Jeong","given":"Mira"},{"family":"Rodriguez","given":"Benjamin"},{"family":"Xia","given":"Zheng"},{"family":"Hannah","given":"Rebecca"},{"family":"Wang","given":"Hui"},{"family":"Le","given":"Thuc"},{"family":"Faull","given":"Kym F."},{"family":"Chen","given":"Rui"},{"family":"Gu","given":"Hongcang"},{"family":"Bock","given":"Christoph"},{"family":"Meissner","given":"Alexander"},{"family":"Göttgens","given":"Berthold"},{"family":"Darlington","given":"Gretchen J."},{"family":"Li","given":"Wei"},{"family":"Goodell","given":"Margaret A."}],"issued":{"date-parts":[["2014",5,1]]}}}],"schema":"https://github.com/citation-style-language/schema/raw/master/csl-citation.json"} </w:instrText>
            </w:r>
            <w:r w:rsidRPr="002D5B48">
              <w:rPr>
                <w:sz w:val="20"/>
              </w:rPr>
              <w:fldChar w:fldCharType="separate"/>
            </w:r>
            <w:r w:rsidRPr="002D5B48">
              <w:rPr>
                <w:rFonts w:cs="Calibri"/>
                <w:kern w:val="0"/>
                <w:sz w:val="20"/>
                <w:vertAlign w:val="superscript"/>
              </w:rPr>
              <w:t>15</w:t>
            </w:r>
            <w:r w:rsidRPr="002D5B48">
              <w:rPr>
                <w:sz w:val="20"/>
              </w:rPr>
              <w:fldChar w:fldCharType="end"/>
            </w:r>
          </w:p>
        </w:tc>
        <w:tc>
          <w:tcPr>
            <w:tcW w:w="1325" w:type="dxa"/>
            <w:tcBorders>
              <w:top w:val="nil"/>
              <w:left w:val="nil"/>
              <w:bottom w:val="nil"/>
              <w:right w:val="nil"/>
            </w:tcBorders>
            <w:shd w:val="clear" w:color="auto" w:fill="auto"/>
            <w:noWrap/>
            <w:vAlign w:val="bottom"/>
          </w:tcPr>
          <w:p w14:paraId="46B7D120" w14:textId="77777777" w:rsidR="00F8299B" w:rsidRPr="002D5B48" w:rsidRDefault="00F8299B" w:rsidP="00F8299B">
            <w:pPr>
              <w:rPr>
                <w:sz w:val="20"/>
              </w:rPr>
            </w:pPr>
            <w:r w:rsidRPr="002D5B48">
              <w:rPr>
                <w:sz w:val="20"/>
              </w:rPr>
              <w:t>24792119</w:t>
            </w:r>
          </w:p>
        </w:tc>
        <w:tc>
          <w:tcPr>
            <w:tcW w:w="1094" w:type="dxa"/>
            <w:tcBorders>
              <w:top w:val="nil"/>
              <w:left w:val="nil"/>
              <w:bottom w:val="nil"/>
              <w:right w:val="nil"/>
            </w:tcBorders>
            <w:shd w:val="clear" w:color="auto" w:fill="auto"/>
            <w:noWrap/>
            <w:vAlign w:val="bottom"/>
            <w:hideMark/>
          </w:tcPr>
          <w:p w14:paraId="14DE9C5C"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3B211FD5" w14:textId="77777777" w:rsidR="00F8299B" w:rsidRPr="002D5B48" w:rsidRDefault="00F8299B" w:rsidP="00F8299B">
            <w:pPr>
              <w:rPr>
                <w:sz w:val="20"/>
              </w:rPr>
            </w:pPr>
            <w:r w:rsidRPr="002D5B48">
              <w:rPr>
                <w:sz w:val="20"/>
              </w:rPr>
              <w:t>4</w:t>
            </w:r>
          </w:p>
        </w:tc>
        <w:tc>
          <w:tcPr>
            <w:tcW w:w="1200" w:type="dxa"/>
            <w:tcBorders>
              <w:top w:val="nil"/>
              <w:left w:val="nil"/>
              <w:bottom w:val="nil"/>
              <w:right w:val="nil"/>
            </w:tcBorders>
            <w:shd w:val="clear" w:color="auto" w:fill="auto"/>
            <w:noWrap/>
            <w:vAlign w:val="bottom"/>
            <w:hideMark/>
          </w:tcPr>
          <w:p w14:paraId="00CF00E1" w14:textId="77777777" w:rsidR="00F8299B" w:rsidRPr="002D5B48" w:rsidRDefault="00F8299B" w:rsidP="00F8299B">
            <w:pPr>
              <w:rPr>
                <w:sz w:val="20"/>
              </w:rPr>
            </w:pPr>
            <w:r w:rsidRPr="002D5B48">
              <w:rPr>
                <w:sz w:val="20"/>
              </w:rPr>
              <w:t>24</w:t>
            </w:r>
          </w:p>
        </w:tc>
        <w:tc>
          <w:tcPr>
            <w:tcW w:w="1665" w:type="dxa"/>
            <w:tcBorders>
              <w:top w:val="nil"/>
              <w:left w:val="nil"/>
              <w:bottom w:val="nil"/>
              <w:right w:val="nil"/>
            </w:tcBorders>
            <w:shd w:val="clear" w:color="auto" w:fill="auto"/>
            <w:noWrap/>
            <w:vAlign w:val="bottom"/>
            <w:hideMark/>
          </w:tcPr>
          <w:p w14:paraId="20616AB1" w14:textId="77777777" w:rsidR="00F8299B" w:rsidRPr="002D5B48" w:rsidRDefault="00F8299B" w:rsidP="00F8299B">
            <w:pPr>
              <w:rPr>
                <w:sz w:val="20"/>
              </w:rPr>
            </w:pPr>
            <w:r w:rsidRPr="002D5B48">
              <w:rPr>
                <w:sz w:val="20"/>
              </w:rPr>
              <w:t>4.24</w:t>
            </w:r>
          </w:p>
        </w:tc>
      </w:tr>
      <w:tr w:rsidR="002D5B48" w:rsidRPr="002D5B48" w14:paraId="6D34462E"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3B957C53" w14:textId="6565EEE5" w:rsidR="00F8299B" w:rsidRPr="002D5B48" w:rsidRDefault="00F8299B" w:rsidP="00F8299B">
            <w:pPr>
              <w:rPr>
                <w:sz w:val="20"/>
              </w:rPr>
            </w:pPr>
            <w:r w:rsidRPr="002D5B48">
              <w:rPr>
                <w:sz w:val="20"/>
              </w:rPr>
              <w:t>Kowalczyk</w:t>
            </w:r>
          </w:p>
        </w:tc>
        <w:tc>
          <w:tcPr>
            <w:tcW w:w="703" w:type="dxa"/>
            <w:tcBorders>
              <w:top w:val="nil"/>
              <w:left w:val="nil"/>
              <w:bottom w:val="nil"/>
              <w:right w:val="nil"/>
            </w:tcBorders>
            <w:shd w:val="clear" w:color="auto" w:fill="auto"/>
            <w:noWrap/>
            <w:vAlign w:val="bottom"/>
            <w:hideMark/>
          </w:tcPr>
          <w:p w14:paraId="70CF565D" w14:textId="77777777" w:rsidR="00F8299B" w:rsidRPr="002D5B48" w:rsidRDefault="00F8299B" w:rsidP="00F8299B">
            <w:pPr>
              <w:rPr>
                <w:sz w:val="20"/>
              </w:rPr>
            </w:pPr>
            <w:r w:rsidRPr="002D5B48">
              <w:rPr>
                <w:sz w:val="20"/>
              </w:rPr>
              <w:t>2015</w:t>
            </w:r>
          </w:p>
        </w:tc>
        <w:tc>
          <w:tcPr>
            <w:tcW w:w="1280" w:type="dxa"/>
            <w:tcBorders>
              <w:top w:val="nil"/>
              <w:left w:val="nil"/>
              <w:bottom w:val="nil"/>
              <w:right w:val="nil"/>
            </w:tcBorders>
            <w:vAlign w:val="bottom"/>
          </w:tcPr>
          <w:p w14:paraId="5D31224C" w14:textId="77777777" w:rsidR="00F8299B" w:rsidRPr="002D5B48" w:rsidRDefault="00F8299B" w:rsidP="00F8299B">
            <w:pPr>
              <w:rPr>
                <w:b/>
                <w:bCs/>
                <w:sz w:val="20"/>
              </w:rPr>
            </w:pPr>
            <w:r w:rsidRPr="002D5B48">
              <w:rPr>
                <w:b/>
                <w:bCs/>
                <w:sz w:val="20"/>
              </w:rPr>
              <w:t>GSE59114</w:t>
            </w:r>
          </w:p>
        </w:tc>
        <w:tc>
          <w:tcPr>
            <w:tcW w:w="1740" w:type="dxa"/>
            <w:tcBorders>
              <w:top w:val="nil"/>
              <w:left w:val="nil"/>
              <w:bottom w:val="nil"/>
              <w:right w:val="nil"/>
            </w:tcBorders>
            <w:shd w:val="clear" w:color="auto" w:fill="auto"/>
            <w:noWrap/>
            <w:vAlign w:val="bottom"/>
          </w:tcPr>
          <w:p w14:paraId="40FDA8D5" w14:textId="77777777" w:rsidR="00F8299B" w:rsidRPr="002D5B48" w:rsidRDefault="00F8299B" w:rsidP="00F8299B">
            <w:pPr>
              <w:rPr>
                <w:sz w:val="20"/>
              </w:rPr>
            </w:pPr>
            <w:r w:rsidRPr="002D5B48">
              <w:rPr>
                <w:sz w:val="20"/>
              </w:rPr>
              <w:t>Kowalczyk</w:t>
            </w:r>
            <w:r w:rsidRPr="002D5B48">
              <w:rPr>
                <w:sz w:val="20"/>
              </w:rPr>
              <w:fldChar w:fldCharType="begin"/>
            </w:r>
            <w:r w:rsidRPr="002D5B48">
              <w:rPr>
                <w:sz w:val="20"/>
              </w:rPr>
              <w:instrText xml:space="preserve"> ADDIN ZOTERO_ITEM CSL_CITATION {"citationID":"9Z6cmGk4","properties":{"formattedCitation":"\\super 10\\nosupersub{}","plainCitation":"10","noteIndex":0},"citationItems":[{"id":417,"uris":["http://zotero.org/users/local/ebh37oKg/items/Z5EXCAR8"],"itemData":{"id":417,"type":"article-journal","abstract":"Both intrinsic cell state changes and variations in the composition of stem cell populations have been implicated as contributors to aging. We used single-cell RNA-seq to dissect variability in hematopoietic stem cell (HSC) and hematopoietic progenitor cell populations from young and old mice from two strains. We found that cell cycle dominates the variability within each population and that there is a lower frequency of cells in the G1 phase among old compared with young long-term HSCs, suggesting that they traverse through G1 faster. Moreover, transcriptional changes in HSCs during aging are inversely related to those upon HSC differentiation, such that old short-term (ST) HSCs resemble young long-term (LT-HSCs), suggesting that they exist in a less differentiated state. Our results indicate both compositional changes and intrinsic, population-wide changes with age and are consistent with a model where a relationship between cell cycle progression and self-renewal versus differentiation of HSCs is affected by aging and may contribute to the functional decline of old HSCs.","container-title":"Genome Research","DOI":"10.1101/gr.192237.115","ISSN":"1549-5469","issue":"12","journalAbbreviation":"Genome Res","language":"eng","note":"PMID: 26430063\nPMCID: PMC4665007","page":"1860-1872","source":"PubMed","title":"Single-cell RNA-seq reveals changes in cell cycle and differentiation programs upon aging of hematopoietic stem cells","volume":"25","author":[{"family":"Kowalczyk","given":"Monika S."},{"family":"Tirosh","given":"Itay"},{"family":"Heckl","given":"Dirk"},{"family":"Rao","given":"Tata Nageswara"},{"family":"Dixit","given":"Atray"},{"family":"Haas","given":"Brian J."},{"family":"Schneider","given":"Rebekka K."},{"family":"Wagers","given":"Amy J."},{"family":"Ebert","given":"Benjamin L."},{"family":"Regev","given":"Aviv"}],"issued":{"date-parts":[["2015",12]]}}}],"schema":"https://github.com/citation-style-language/schema/raw/master/csl-citation.json"} </w:instrText>
            </w:r>
            <w:r w:rsidRPr="002D5B48">
              <w:rPr>
                <w:sz w:val="20"/>
              </w:rPr>
              <w:fldChar w:fldCharType="separate"/>
            </w:r>
            <w:r w:rsidRPr="002D5B48">
              <w:rPr>
                <w:rFonts w:cs="Calibri"/>
                <w:kern w:val="0"/>
                <w:sz w:val="20"/>
                <w:vertAlign w:val="superscript"/>
              </w:rPr>
              <w:t>10</w:t>
            </w:r>
            <w:r w:rsidRPr="002D5B48">
              <w:rPr>
                <w:sz w:val="20"/>
              </w:rPr>
              <w:fldChar w:fldCharType="end"/>
            </w:r>
          </w:p>
        </w:tc>
        <w:tc>
          <w:tcPr>
            <w:tcW w:w="1325" w:type="dxa"/>
            <w:tcBorders>
              <w:top w:val="nil"/>
              <w:left w:val="nil"/>
              <w:bottom w:val="nil"/>
              <w:right w:val="nil"/>
            </w:tcBorders>
            <w:shd w:val="clear" w:color="auto" w:fill="auto"/>
            <w:noWrap/>
            <w:vAlign w:val="bottom"/>
          </w:tcPr>
          <w:p w14:paraId="5E42CA72" w14:textId="77777777" w:rsidR="00F8299B" w:rsidRPr="002D5B48" w:rsidRDefault="00F8299B" w:rsidP="00F8299B">
            <w:pPr>
              <w:rPr>
                <w:sz w:val="20"/>
              </w:rPr>
            </w:pPr>
            <w:r w:rsidRPr="002D5B48">
              <w:rPr>
                <w:sz w:val="20"/>
              </w:rPr>
              <w:t>26430063</w:t>
            </w:r>
          </w:p>
        </w:tc>
        <w:tc>
          <w:tcPr>
            <w:tcW w:w="1094" w:type="dxa"/>
            <w:tcBorders>
              <w:top w:val="nil"/>
              <w:left w:val="nil"/>
              <w:bottom w:val="nil"/>
              <w:right w:val="nil"/>
            </w:tcBorders>
            <w:shd w:val="clear" w:color="auto" w:fill="auto"/>
            <w:noWrap/>
            <w:vAlign w:val="bottom"/>
            <w:hideMark/>
          </w:tcPr>
          <w:p w14:paraId="435D53CD" w14:textId="77777777" w:rsidR="00F8299B" w:rsidRPr="002D5B48" w:rsidRDefault="00F8299B" w:rsidP="00F8299B">
            <w:pPr>
              <w:rPr>
                <w:sz w:val="20"/>
              </w:rPr>
            </w:pPr>
            <w:r w:rsidRPr="002D5B48">
              <w:rPr>
                <w:sz w:val="20"/>
              </w:rPr>
              <w:t>SC_RNA</w:t>
            </w:r>
          </w:p>
        </w:tc>
        <w:tc>
          <w:tcPr>
            <w:tcW w:w="1320" w:type="dxa"/>
            <w:tcBorders>
              <w:top w:val="nil"/>
              <w:left w:val="nil"/>
              <w:bottom w:val="nil"/>
              <w:right w:val="nil"/>
            </w:tcBorders>
            <w:shd w:val="clear" w:color="auto" w:fill="auto"/>
            <w:noWrap/>
            <w:vAlign w:val="bottom"/>
            <w:hideMark/>
          </w:tcPr>
          <w:p w14:paraId="6E64B7E3" w14:textId="77777777" w:rsidR="00F8299B" w:rsidRPr="002D5B48" w:rsidRDefault="00F8299B" w:rsidP="00F8299B">
            <w:pPr>
              <w:rPr>
                <w:sz w:val="20"/>
              </w:rPr>
            </w:pPr>
            <w:r w:rsidRPr="002D5B48">
              <w:rPr>
                <w:sz w:val="20"/>
              </w:rPr>
              <w:t xml:space="preserve">2-3 </w:t>
            </w:r>
            <w:proofErr w:type="spellStart"/>
            <w:r w:rsidRPr="002D5B48">
              <w:rPr>
                <w:sz w:val="20"/>
              </w:rPr>
              <w:t>mo</w:t>
            </w:r>
            <w:proofErr w:type="spellEnd"/>
          </w:p>
        </w:tc>
        <w:tc>
          <w:tcPr>
            <w:tcW w:w="1200" w:type="dxa"/>
            <w:tcBorders>
              <w:top w:val="nil"/>
              <w:left w:val="nil"/>
              <w:bottom w:val="nil"/>
              <w:right w:val="nil"/>
            </w:tcBorders>
            <w:shd w:val="clear" w:color="auto" w:fill="auto"/>
            <w:noWrap/>
            <w:vAlign w:val="bottom"/>
            <w:hideMark/>
          </w:tcPr>
          <w:p w14:paraId="28EF6631" w14:textId="77777777" w:rsidR="00F8299B" w:rsidRPr="002D5B48" w:rsidRDefault="00F8299B" w:rsidP="00F8299B">
            <w:pPr>
              <w:rPr>
                <w:sz w:val="20"/>
              </w:rPr>
            </w:pPr>
            <w:r w:rsidRPr="002D5B48">
              <w:rPr>
                <w:sz w:val="20"/>
              </w:rPr>
              <w:t>22</w:t>
            </w:r>
          </w:p>
        </w:tc>
        <w:tc>
          <w:tcPr>
            <w:tcW w:w="1665" w:type="dxa"/>
            <w:tcBorders>
              <w:top w:val="nil"/>
              <w:left w:val="nil"/>
              <w:bottom w:val="nil"/>
              <w:right w:val="nil"/>
            </w:tcBorders>
            <w:shd w:val="clear" w:color="auto" w:fill="auto"/>
            <w:noWrap/>
            <w:vAlign w:val="bottom"/>
            <w:hideMark/>
          </w:tcPr>
          <w:p w14:paraId="033040D8" w14:textId="77777777" w:rsidR="00F8299B" w:rsidRPr="002D5B48" w:rsidRDefault="00F8299B" w:rsidP="00F8299B">
            <w:pPr>
              <w:rPr>
                <w:sz w:val="20"/>
              </w:rPr>
            </w:pPr>
            <w:r w:rsidRPr="002D5B48">
              <w:rPr>
                <w:sz w:val="20"/>
              </w:rPr>
              <w:t>2-3, 22</w:t>
            </w:r>
          </w:p>
        </w:tc>
      </w:tr>
      <w:tr w:rsidR="002D5B48" w:rsidRPr="002D5B48" w14:paraId="19A529C3"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097536E5" w14:textId="128AAE85" w:rsidR="00F8299B" w:rsidRPr="002D5B48" w:rsidRDefault="00F8299B" w:rsidP="00F8299B">
            <w:pPr>
              <w:rPr>
                <w:sz w:val="20"/>
              </w:rPr>
            </w:pPr>
            <w:proofErr w:type="spellStart"/>
            <w:r w:rsidRPr="002D5B48">
              <w:rPr>
                <w:sz w:val="20"/>
              </w:rPr>
              <w:t>Welle</w:t>
            </w:r>
            <w:proofErr w:type="spellEnd"/>
          </w:p>
        </w:tc>
        <w:tc>
          <w:tcPr>
            <w:tcW w:w="703" w:type="dxa"/>
            <w:tcBorders>
              <w:top w:val="nil"/>
              <w:left w:val="nil"/>
              <w:bottom w:val="nil"/>
              <w:right w:val="nil"/>
            </w:tcBorders>
            <w:shd w:val="clear" w:color="auto" w:fill="auto"/>
            <w:noWrap/>
            <w:vAlign w:val="bottom"/>
            <w:hideMark/>
          </w:tcPr>
          <w:p w14:paraId="70C7B40C" w14:textId="08062452" w:rsidR="00F8299B" w:rsidRPr="002D5B48" w:rsidRDefault="00F8299B" w:rsidP="00F8299B">
            <w:pPr>
              <w:rPr>
                <w:sz w:val="20"/>
              </w:rPr>
            </w:pPr>
            <w:r w:rsidRPr="002D5B48">
              <w:rPr>
                <w:sz w:val="20"/>
              </w:rPr>
              <w:t>201</w:t>
            </w:r>
            <w:r w:rsidR="00D17638">
              <w:rPr>
                <w:sz w:val="20"/>
              </w:rPr>
              <w:t>6</w:t>
            </w:r>
          </w:p>
        </w:tc>
        <w:tc>
          <w:tcPr>
            <w:tcW w:w="1280" w:type="dxa"/>
            <w:tcBorders>
              <w:top w:val="nil"/>
              <w:left w:val="nil"/>
              <w:bottom w:val="nil"/>
              <w:right w:val="nil"/>
            </w:tcBorders>
            <w:vAlign w:val="bottom"/>
          </w:tcPr>
          <w:p w14:paraId="38532DCA" w14:textId="77777777" w:rsidR="00F8299B" w:rsidRPr="002D5B48" w:rsidRDefault="00F8299B" w:rsidP="00F8299B">
            <w:pPr>
              <w:rPr>
                <w:sz w:val="20"/>
              </w:rPr>
            </w:pPr>
            <w:r w:rsidRPr="002D5B48">
              <w:rPr>
                <w:sz w:val="20"/>
              </w:rPr>
              <w:t>GSE76276</w:t>
            </w:r>
          </w:p>
        </w:tc>
        <w:tc>
          <w:tcPr>
            <w:tcW w:w="1740" w:type="dxa"/>
            <w:tcBorders>
              <w:top w:val="nil"/>
              <w:left w:val="nil"/>
              <w:bottom w:val="nil"/>
              <w:right w:val="nil"/>
            </w:tcBorders>
            <w:shd w:val="clear" w:color="auto" w:fill="auto"/>
            <w:noWrap/>
            <w:vAlign w:val="bottom"/>
          </w:tcPr>
          <w:p w14:paraId="6A107AEB" w14:textId="77777777" w:rsidR="00F8299B" w:rsidRPr="002D5B48" w:rsidRDefault="00F8299B" w:rsidP="00F8299B">
            <w:pPr>
              <w:rPr>
                <w:sz w:val="20"/>
              </w:rPr>
            </w:pPr>
            <w:r w:rsidRPr="002D5B48">
              <w:rPr>
                <w:sz w:val="20"/>
              </w:rPr>
              <w:t>Bennett</w:t>
            </w:r>
            <w:r w:rsidRPr="002D5B48">
              <w:rPr>
                <w:sz w:val="20"/>
              </w:rPr>
              <w:fldChar w:fldCharType="begin"/>
            </w:r>
            <w:r w:rsidRPr="002D5B48">
              <w:rPr>
                <w:sz w:val="20"/>
              </w:rPr>
              <w:instrText xml:space="preserve"> ADDIN ZOTERO_ITEM CSL_CITATION {"citationID":"0YJ2E7gD","properties":{"formattedCitation":"\\super 36\\nosupersub{}","plainCitation":"36","noteIndex":0},"citationItems":[{"id":518,"uris":["http://zotero.org/users/local/ebh37oKg/items/SDLCJQ22"],"itemData":{"id":518,"type":"article-journal","abstract":"The aryl hydrocarbon receptor (AHR) is a ligand activated bHLH transcription factor that belongs to the Per-Arnt-Sim (PAS) superfamily of proteins involved in mediating responses to cellular environment regulating normal physiological and developmental pathways. The AHR binds a broad range of naturally derived and synthetic compounds, and plays a major role in mediating effects of certain environmental chemicals. Although our understanding of the physiological roles of the AHR in the immune system is evolving, there is little known about its role in hematopoiesis and hematopoietic diseases. Prior studies demonstrated that AHR null (AHR-KO) mice have impaired hematopoietic stem cell (HSC) function; they develop myeloproliferative changes in peripheral blood cells, and alterations in hematopoietic stem and progenitor cell populations in the bone marrow. We hypothesized mice lacking AHR expression only within hematopoietic cells (AHRVav1 mice) would develop similar changes. However, we did not observe a complete phenocopy of AHR-KO and AHRVav1 animals at 2 or 18 months of age. To illuminate the signaling mechanisms underlying the alterations in hematopoiesis observed in these mice, we sorted a population of cells highly enriched for HSC function (LSK cells: CD34-CD48-CD150+) and performed microarray analyses. Ingenuity Pathway and Gene Set Enrichment Analyses revealed that that loss of AHR within HSCs alters several gene and signaling networks important for HSC function. Differences in gene expression networks among HSCs from AHR-KO and AHRVav1 mice suggest that AHR in bone marrow stromal cells also contributes to HSC function. In addition, numerous studies have suggested a role for AHR in both regulation of hematopoietic cells, and in the development of blood diseases. More work is needed to define what these signals are, and how they act upon HSCs.","container-title":"PLoS ONE","DOI":"10.1371/journal.pone.0206407","ISSN":"1932-6203","issue":"11","journalAbbreviation":"PLoS One","note":"PMID: 30388136\nPMCID: PMC6214519","page":"e0206407","source":"PubMed Central","title":"Conditional deletion of Ahr alters gene expression profiles in hematopoietic stem cells","volume":"13","author":[{"family":"Bennett","given":"John A."},{"family":"Singh","given":"Kameshwar P."},{"family":"Welle","given":"Stephen L."},{"family":"Boule","given":"Lisbeth A."},{"family":"Lawrence","given":"B. Paige"},{"family":"Gasiewicz","given":"Thomas A."}],"issued":{"date-parts":[["2018",11,2]]}}}],"schema":"https://github.com/citation-style-language/schema/raw/master/csl-citation.json"} </w:instrText>
            </w:r>
            <w:r w:rsidRPr="002D5B48">
              <w:rPr>
                <w:sz w:val="20"/>
              </w:rPr>
              <w:fldChar w:fldCharType="separate"/>
            </w:r>
            <w:r w:rsidRPr="002D5B48">
              <w:rPr>
                <w:rFonts w:cs="Calibri"/>
                <w:kern w:val="0"/>
                <w:sz w:val="20"/>
                <w:vertAlign w:val="superscript"/>
              </w:rPr>
              <w:t>36</w:t>
            </w:r>
            <w:r w:rsidRPr="002D5B48">
              <w:rPr>
                <w:sz w:val="20"/>
              </w:rPr>
              <w:fldChar w:fldCharType="end"/>
            </w:r>
          </w:p>
        </w:tc>
        <w:tc>
          <w:tcPr>
            <w:tcW w:w="1325" w:type="dxa"/>
            <w:tcBorders>
              <w:top w:val="nil"/>
              <w:left w:val="nil"/>
              <w:bottom w:val="nil"/>
              <w:right w:val="nil"/>
            </w:tcBorders>
            <w:shd w:val="clear" w:color="auto" w:fill="auto"/>
            <w:noWrap/>
            <w:vAlign w:val="bottom"/>
          </w:tcPr>
          <w:p w14:paraId="15486FBA" w14:textId="77777777" w:rsidR="00F8299B" w:rsidRPr="002D5B48" w:rsidRDefault="00F8299B" w:rsidP="00F8299B">
            <w:pPr>
              <w:rPr>
                <w:sz w:val="20"/>
              </w:rPr>
            </w:pPr>
            <w:r w:rsidRPr="002D5B48">
              <w:rPr>
                <w:sz w:val="20"/>
              </w:rPr>
              <w:t>30388136</w:t>
            </w:r>
          </w:p>
        </w:tc>
        <w:tc>
          <w:tcPr>
            <w:tcW w:w="1094" w:type="dxa"/>
            <w:tcBorders>
              <w:top w:val="nil"/>
              <w:left w:val="nil"/>
              <w:bottom w:val="nil"/>
              <w:right w:val="nil"/>
            </w:tcBorders>
            <w:shd w:val="clear" w:color="auto" w:fill="auto"/>
            <w:noWrap/>
            <w:vAlign w:val="bottom"/>
            <w:hideMark/>
          </w:tcPr>
          <w:p w14:paraId="16F2EAB2" w14:textId="77777777" w:rsidR="00F8299B" w:rsidRPr="002D5B48" w:rsidRDefault="00F8299B" w:rsidP="00F8299B">
            <w:pPr>
              <w:rPr>
                <w:sz w:val="20"/>
              </w:rPr>
            </w:pPr>
            <w:proofErr w:type="spellStart"/>
            <w:r w:rsidRPr="002D5B48">
              <w:rPr>
                <w:sz w:val="20"/>
              </w:rPr>
              <w:t>ExpArray</w:t>
            </w:r>
            <w:proofErr w:type="spellEnd"/>
          </w:p>
        </w:tc>
        <w:tc>
          <w:tcPr>
            <w:tcW w:w="1320" w:type="dxa"/>
            <w:tcBorders>
              <w:top w:val="nil"/>
              <w:left w:val="nil"/>
              <w:bottom w:val="nil"/>
              <w:right w:val="nil"/>
            </w:tcBorders>
            <w:shd w:val="clear" w:color="auto" w:fill="auto"/>
            <w:noWrap/>
            <w:vAlign w:val="bottom"/>
            <w:hideMark/>
          </w:tcPr>
          <w:p w14:paraId="00226404" w14:textId="77777777" w:rsidR="00F8299B" w:rsidRPr="002D5B48" w:rsidRDefault="00F8299B" w:rsidP="00F8299B">
            <w:pPr>
              <w:rPr>
                <w:sz w:val="20"/>
              </w:rPr>
            </w:pPr>
            <w:r w:rsidRPr="002D5B48">
              <w:rPr>
                <w:sz w:val="20"/>
              </w:rPr>
              <w:t>1.8</w:t>
            </w:r>
          </w:p>
        </w:tc>
        <w:tc>
          <w:tcPr>
            <w:tcW w:w="1200" w:type="dxa"/>
            <w:tcBorders>
              <w:top w:val="nil"/>
              <w:left w:val="nil"/>
              <w:bottom w:val="nil"/>
              <w:right w:val="nil"/>
            </w:tcBorders>
            <w:shd w:val="clear" w:color="auto" w:fill="auto"/>
            <w:noWrap/>
            <w:vAlign w:val="bottom"/>
            <w:hideMark/>
          </w:tcPr>
          <w:p w14:paraId="4263AD84" w14:textId="77777777" w:rsidR="00F8299B" w:rsidRPr="002D5B48" w:rsidRDefault="00F8299B" w:rsidP="00F8299B">
            <w:pPr>
              <w:rPr>
                <w:sz w:val="20"/>
              </w:rPr>
            </w:pPr>
            <w:r w:rsidRPr="002D5B48">
              <w:rPr>
                <w:sz w:val="20"/>
              </w:rPr>
              <w:t>18</w:t>
            </w:r>
          </w:p>
        </w:tc>
        <w:tc>
          <w:tcPr>
            <w:tcW w:w="1665" w:type="dxa"/>
            <w:tcBorders>
              <w:top w:val="nil"/>
              <w:left w:val="nil"/>
              <w:bottom w:val="nil"/>
              <w:right w:val="nil"/>
            </w:tcBorders>
            <w:shd w:val="clear" w:color="auto" w:fill="auto"/>
            <w:noWrap/>
            <w:vAlign w:val="bottom"/>
            <w:hideMark/>
          </w:tcPr>
          <w:p w14:paraId="05048669" w14:textId="77777777" w:rsidR="00F8299B" w:rsidRPr="002D5B48" w:rsidRDefault="00F8299B" w:rsidP="00F8299B">
            <w:pPr>
              <w:rPr>
                <w:sz w:val="20"/>
              </w:rPr>
            </w:pPr>
            <w:r w:rsidRPr="002D5B48">
              <w:rPr>
                <w:sz w:val="20"/>
              </w:rPr>
              <w:t>1.8, 18</w:t>
            </w:r>
          </w:p>
        </w:tc>
      </w:tr>
      <w:tr w:rsidR="002D5B48" w:rsidRPr="002D5B48" w14:paraId="75705DF7"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703FD97B" w14:textId="6D55EA4C" w:rsidR="00F8299B" w:rsidRPr="002D5B48" w:rsidRDefault="00F8299B" w:rsidP="00F8299B">
            <w:pPr>
              <w:rPr>
                <w:sz w:val="20"/>
              </w:rPr>
            </w:pPr>
            <w:r w:rsidRPr="002D5B48">
              <w:rPr>
                <w:sz w:val="20"/>
              </w:rPr>
              <w:t>Grover</w:t>
            </w:r>
          </w:p>
        </w:tc>
        <w:tc>
          <w:tcPr>
            <w:tcW w:w="703" w:type="dxa"/>
            <w:tcBorders>
              <w:top w:val="nil"/>
              <w:left w:val="nil"/>
              <w:bottom w:val="nil"/>
              <w:right w:val="nil"/>
            </w:tcBorders>
            <w:shd w:val="clear" w:color="auto" w:fill="auto"/>
            <w:noWrap/>
            <w:vAlign w:val="bottom"/>
            <w:hideMark/>
          </w:tcPr>
          <w:p w14:paraId="5C873400" w14:textId="77777777" w:rsidR="00F8299B" w:rsidRPr="002D5B48" w:rsidRDefault="00F8299B" w:rsidP="00F8299B">
            <w:pPr>
              <w:rPr>
                <w:sz w:val="20"/>
              </w:rPr>
            </w:pPr>
            <w:r w:rsidRPr="002D5B48">
              <w:rPr>
                <w:sz w:val="20"/>
              </w:rPr>
              <w:t>2016</w:t>
            </w:r>
          </w:p>
        </w:tc>
        <w:tc>
          <w:tcPr>
            <w:tcW w:w="1280" w:type="dxa"/>
            <w:tcBorders>
              <w:top w:val="nil"/>
              <w:left w:val="nil"/>
              <w:bottom w:val="nil"/>
              <w:right w:val="nil"/>
            </w:tcBorders>
            <w:vAlign w:val="bottom"/>
          </w:tcPr>
          <w:p w14:paraId="49E2C8A1" w14:textId="77777777" w:rsidR="00F8299B" w:rsidRPr="002D5B48" w:rsidRDefault="00F8299B" w:rsidP="00F8299B">
            <w:pPr>
              <w:rPr>
                <w:b/>
                <w:bCs/>
                <w:sz w:val="20"/>
              </w:rPr>
            </w:pPr>
            <w:r w:rsidRPr="002D5B48">
              <w:rPr>
                <w:b/>
                <w:bCs/>
                <w:sz w:val="20"/>
              </w:rPr>
              <w:t>GSE70657</w:t>
            </w:r>
          </w:p>
        </w:tc>
        <w:tc>
          <w:tcPr>
            <w:tcW w:w="1740" w:type="dxa"/>
            <w:tcBorders>
              <w:top w:val="nil"/>
              <w:left w:val="nil"/>
              <w:bottom w:val="nil"/>
              <w:right w:val="nil"/>
            </w:tcBorders>
            <w:shd w:val="clear" w:color="auto" w:fill="auto"/>
            <w:noWrap/>
            <w:vAlign w:val="bottom"/>
          </w:tcPr>
          <w:p w14:paraId="1C37A028" w14:textId="77777777" w:rsidR="00F8299B" w:rsidRPr="002D5B48" w:rsidRDefault="003878E6" w:rsidP="00F8299B">
            <w:pPr>
              <w:rPr>
                <w:sz w:val="20"/>
              </w:rPr>
            </w:pPr>
            <w:r w:rsidRPr="002D5B48">
              <w:rPr>
                <w:sz w:val="20"/>
              </w:rPr>
              <w:t>Grover</w:t>
            </w:r>
            <w:r w:rsidRPr="002D5B48">
              <w:rPr>
                <w:sz w:val="20"/>
              </w:rPr>
              <w:fldChar w:fldCharType="begin"/>
            </w:r>
            <w:r w:rsidRPr="002D5B48">
              <w:rPr>
                <w:sz w:val="20"/>
              </w:rPr>
              <w:instrText xml:space="preserve"> ADDIN ZOTERO_ITEM CSL_CITATION {"citationID":"tS96VAAW","properties":{"formattedCitation":"\\super 23\\nosupersub{}","plainCitation":"23","noteIndex":0},"citationItems":[{"id":420,"uris":["http://zotero.org/users/local/ebh37oKg/items/26K9CWG5"],"itemData":{"id":420,"type":"article-journal","abstract":"Aged haematopoietic stem cells (HSCs) generate more myeloid cells and fewer lymphoid cells compared with young HSCs, contributing to decreased adaptive immunity in aged individuals. However, it is not known how intrinsic changes to HSCs and shifts in the balance between biased HSC subsets each contribute to the altered lineage output. Here, by analysing HSC transcriptomes and HSC function at the single-cell level, we identify increased molecular platelet priming and functional platelet bias as the predominant age-dependent change to HSCs, including a significant increase in a previously unrecognized class of HSCs that exclusively produce platelets. Depletion of HSC platelet programming through loss of the FOG-1 transcription factor is accompanied by increased lymphoid output. Therefore, increased platelet bias may contribute to the age-associated decrease in lymphopoiesis.","container-title":"Nature Communications","DOI":"10.1038/ncomms11075","ISSN":"2041-1723","journalAbbreviation":"Nat Commun","language":"eng","note":"PMID: 27009448\nPMCID: PMC4820843","page":"11075","source":"PubMed","title":"Single-cell RNA sequencing reveals molecular and functional platelet bias of aged haematopoietic stem cells","volume":"7","author":[{"family":"Grover","given":"Amit"},{"family":"Sanjuan-Pla","given":"Alejandra"},{"family":"Thongjuea","given":"Supat"},{"family":"Carrelha","given":"Joana"},{"family":"Giustacchini","given":"Alice"},{"family":"Gambardella","given":"Adriana"},{"family":"Macaulay","given":"Iain"},{"family":"Mancini","given":"Elena"},{"family":"Luis","given":"Tiago C."},{"family":"Mead","given":"Adam"},{"family":"Jacobsen","given":"Sten Eirik W."},{"family":"Nerlov","given":"Claus"}],"issued":{"date-parts":[["2016",3,24]]}}}],"schema":"https://github.com/citation-style-language/schema/raw/master/csl-citation.json"} </w:instrText>
            </w:r>
            <w:r w:rsidRPr="002D5B48">
              <w:rPr>
                <w:sz w:val="20"/>
              </w:rPr>
              <w:fldChar w:fldCharType="separate"/>
            </w:r>
            <w:r w:rsidRPr="002D5B48">
              <w:rPr>
                <w:rFonts w:cs="Calibri"/>
                <w:kern w:val="0"/>
                <w:sz w:val="20"/>
                <w:vertAlign w:val="superscript"/>
              </w:rPr>
              <w:t>23</w:t>
            </w:r>
            <w:r w:rsidRPr="002D5B48">
              <w:rPr>
                <w:sz w:val="20"/>
              </w:rPr>
              <w:fldChar w:fldCharType="end"/>
            </w:r>
          </w:p>
        </w:tc>
        <w:tc>
          <w:tcPr>
            <w:tcW w:w="1325" w:type="dxa"/>
            <w:tcBorders>
              <w:top w:val="nil"/>
              <w:left w:val="nil"/>
              <w:bottom w:val="nil"/>
              <w:right w:val="nil"/>
            </w:tcBorders>
            <w:shd w:val="clear" w:color="auto" w:fill="auto"/>
            <w:noWrap/>
            <w:vAlign w:val="bottom"/>
          </w:tcPr>
          <w:p w14:paraId="1D07E5F1" w14:textId="77777777" w:rsidR="00F8299B" w:rsidRPr="002D5B48" w:rsidRDefault="00F8299B" w:rsidP="00F8299B">
            <w:pPr>
              <w:rPr>
                <w:sz w:val="20"/>
              </w:rPr>
            </w:pPr>
            <w:r w:rsidRPr="002D5B48">
              <w:rPr>
                <w:sz w:val="20"/>
              </w:rPr>
              <w:t>27009448</w:t>
            </w:r>
          </w:p>
        </w:tc>
        <w:tc>
          <w:tcPr>
            <w:tcW w:w="1094" w:type="dxa"/>
            <w:tcBorders>
              <w:top w:val="nil"/>
              <w:left w:val="nil"/>
              <w:bottom w:val="nil"/>
              <w:right w:val="nil"/>
            </w:tcBorders>
            <w:shd w:val="clear" w:color="auto" w:fill="auto"/>
            <w:noWrap/>
            <w:vAlign w:val="bottom"/>
            <w:hideMark/>
          </w:tcPr>
          <w:p w14:paraId="530D05FF" w14:textId="77777777" w:rsidR="00F8299B" w:rsidRPr="002D5B48" w:rsidRDefault="00F8299B" w:rsidP="00F8299B">
            <w:pPr>
              <w:rPr>
                <w:sz w:val="20"/>
              </w:rPr>
            </w:pPr>
            <w:r w:rsidRPr="002D5B48">
              <w:rPr>
                <w:sz w:val="20"/>
              </w:rPr>
              <w:t>SC_RNA</w:t>
            </w:r>
          </w:p>
        </w:tc>
        <w:tc>
          <w:tcPr>
            <w:tcW w:w="1320" w:type="dxa"/>
            <w:tcBorders>
              <w:top w:val="nil"/>
              <w:left w:val="nil"/>
              <w:bottom w:val="nil"/>
              <w:right w:val="nil"/>
            </w:tcBorders>
            <w:shd w:val="clear" w:color="auto" w:fill="auto"/>
            <w:noWrap/>
            <w:vAlign w:val="bottom"/>
            <w:hideMark/>
          </w:tcPr>
          <w:p w14:paraId="35ABF15D" w14:textId="77777777" w:rsidR="00F8299B" w:rsidRPr="002D5B48" w:rsidRDefault="00F8299B" w:rsidP="00F8299B">
            <w:pPr>
              <w:rPr>
                <w:sz w:val="20"/>
              </w:rPr>
            </w:pPr>
            <w:r w:rsidRPr="002D5B48">
              <w:rPr>
                <w:sz w:val="20"/>
              </w:rPr>
              <w:t xml:space="preserve">2-3 </w:t>
            </w:r>
            <w:proofErr w:type="spellStart"/>
            <w:r w:rsidRPr="002D5B48">
              <w:rPr>
                <w:sz w:val="20"/>
              </w:rPr>
              <w:t>mo</w:t>
            </w:r>
            <w:proofErr w:type="spellEnd"/>
          </w:p>
        </w:tc>
        <w:tc>
          <w:tcPr>
            <w:tcW w:w="1200" w:type="dxa"/>
            <w:tcBorders>
              <w:top w:val="nil"/>
              <w:left w:val="nil"/>
              <w:bottom w:val="nil"/>
              <w:right w:val="nil"/>
            </w:tcBorders>
            <w:shd w:val="clear" w:color="auto" w:fill="auto"/>
            <w:noWrap/>
            <w:vAlign w:val="bottom"/>
            <w:hideMark/>
          </w:tcPr>
          <w:p w14:paraId="20573B94" w14:textId="77777777" w:rsidR="00F8299B" w:rsidRPr="002D5B48" w:rsidRDefault="00F8299B" w:rsidP="00F8299B">
            <w:pPr>
              <w:rPr>
                <w:sz w:val="20"/>
              </w:rPr>
            </w:pPr>
            <w:r w:rsidRPr="002D5B48">
              <w:rPr>
                <w:sz w:val="20"/>
              </w:rPr>
              <w:t xml:space="preserve">20-25 </w:t>
            </w:r>
            <w:proofErr w:type="spellStart"/>
            <w:r w:rsidRPr="002D5B48">
              <w:rPr>
                <w:sz w:val="20"/>
              </w:rPr>
              <w:t>mo</w:t>
            </w:r>
            <w:proofErr w:type="spellEnd"/>
          </w:p>
        </w:tc>
        <w:tc>
          <w:tcPr>
            <w:tcW w:w="1665" w:type="dxa"/>
            <w:tcBorders>
              <w:top w:val="nil"/>
              <w:left w:val="nil"/>
              <w:bottom w:val="nil"/>
              <w:right w:val="nil"/>
            </w:tcBorders>
            <w:shd w:val="clear" w:color="auto" w:fill="auto"/>
            <w:noWrap/>
            <w:vAlign w:val="bottom"/>
            <w:hideMark/>
          </w:tcPr>
          <w:p w14:paraId="4D95587C" w14:textId="77777777" w:rsidR="00F8299B" w:rsidRPr="002D5B48" w:rsidRDefault="00F8299B" w:rsidP="00F8299B">
            <w:pPr>
              <w:rPr>
                <w:sz w:val="20"/>
              </w:rPr>
            </w:pPr>
            <w:r w:rsidRPr="002D5B48">
              <w:rPr>
                <w:sz w:val="20"/>
              </w:rPr>
              <w:t>2-3, 20-25</w:t>
            </w:r>
          </w:p>
        </w:tc>
      </w:tr>
      <w:tr w:rsidR="002D5B48" w:rsidRPr="002D5B48" w14:paraId="3E1E3A4A"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72D1D386" w14:textId="6EAC002E" w:rsidR="00F8299B" w:rsidRPr="002D5B48" w:rsidRDefault="00F8299B" w:rsidP="00F8299B">
            <w:pPr>
              <w:rPr>
                <w:sz w:val="20"/>
              </w:rPr>
            </w:pPr>
            <w:r w:rsidRPr="002D5B48">
              <w:rPr>
                <w:sz w:val="20"/>
              </w:rPr>
              <w:t>Kir</w:t>
            </w:r>
            <w:r w:rsidR="00D17638">
              <w:rPr>
                <w:sz w:val="20"/>
              </w:rPr>
              <w:t>s</w:t>
            </w:r>
            <w:r w:rsidRPr="002D5B48">
              <w:rPr>
                <w:sz w:val="20"/>
              </w:rPr>
              <w:t>chner</w:t>
            </w:r>
          </w:p>
        </w:tc>
        <w:tc>
          <w:tcPr>
            <w:tcW w:w="703" w:type="dxa"/>
            <w:tcBorders>
              <w:top w:val="nil"/>
              <w:left w:val="nil"/>
              <w:bottom w:val="nil"/>
              <w:right w:val="nil"/>
            </w:tcBorders>
            <w:shd w:val="clear" w:color="auto" w:fill="auto"/>
            <w:noWrap/>
            <w:vAlign w:val="bottom"/>
            <w:hideMark/>
          </w:tcPr>
          <w:p w14:paraId="76ACB330" w14:textId="77777777" w:rsidR="00F8299B" w:rsidRPr="002D5B48" w:rsidRDefault="00F8299B" w:rsidP="00F8299B">
            <w:pPr>
              <w:rPr>
                <w:sz w:val="20"/>
              </w:rPr>
            </w:pPr>
            <w:r w:rsidRPr="002D5B48">
              <w:rPr>
                <w:sz w:val="20"/>
              </w:rPr>
              <w:t>2017</w:t>
            </w:r>
          </w:p>
        </w:tc>
        <w:tc>
          <w:tcPr>
            <w:tcW w:w="1280" w:type="dxa"/>
            <w:tcBorders>
              <w:top w:val="nil"/>
              <w:left w:val="nil"/>
              <w:bottom w:val="nil"/>
              <w:right w:val="nil"/>
            </w:tcBorders>
            <w:vAlign w:val="bottom"/>
          </w:tcPr>
          <w:p w14:paraId="5A632DD9" w14:textId="77777777" w:rsidR="00F8299B" w:rsidRPr="002D5B48" w:rsidRDefault="00F8299B" w:rsidP="00F8299B">
            <w:pPr>
              <w:rPr>
                <w:b/>
                <w:bCs/>
                <w:sz w:val="20"/>
              </w:rPr>
            </w:pPr>
            <w:r w:rsidRPr="002D5B48">
              <w:rPr>
                <w:b/>
                <w:bCs/>
                <w:sz w:val="20"/>
              </w:rPr>
              <w:t>GSE87631</w:t>
            </w:r>
          </w:p>
        </w:tc>
        <w:tc>
          <w:tcPr>
            <w:tcW w:w="1740" w:type="dxa"/>
            <w:tcBorders>
              <w:top w:val="nil"/>
              <w:left w:val="nil"/>
              <w:bottom w:val="nil"/>
              <w:right w:val="nil"/>
            </w:tcBorders>
            <w:shd w:val="clear" w:color="auto" w:fill="auto"/>
            <w:noWrap/>
            <w:vAlign w:val="bottom"/>
          </w:tcPr>
          <w:p w14:paraId="29E2CFF3" w14:textId="578FCCDC" w:rsidR="00F8299B" w:rsidRPr="002D5B48" w:rsidRDefault="003878E6" w:rsidP="00F8299B">
            <w:pPr>
              <w:rPr>
                <w:sz w:val="20"/>
              </w:rPr>
            </w:pPr>
            <w:r w:rsidRPr="002D5B48">
              <w:rPr>
                <w:sz w:val="20"/>
              </w:rPr>
              <w:t>Kir</w:t>
            </w:r>
            <w:r w:rsidR="00D17638">
              <w:rPr>
                <w:sz w:val="20"/>
              </w:rPr>
              <w:t>s</w:t>
            </w:r>
            <w:r w:rsidRPr="002D5B48">
              <w:rPr>
                <w:sz w:val="20"/>
              </w:rPr>
              <w:t>chner</w:t>
            </w:r>
            <w:r w:rsidRPr="002D5B48">
              <w:rPr>
                <w:sz w:val="20"/>
              </w:rPr>
              <w:fldChar w:fldCharType="begin"/>
            </w:r>
            <w:r w:rsidRPr="002D5B48">
              <w:rPr>
                <w:sz w:val="20"/>
              </w:rPr>
              <w:instrText xml:space="preserve"> ADDIN ZOTERO_ITEM CSL_CITATION {"citationID":"stx4ti9v","properties":{"formattedCitation":"\\super 8\\nosupersub{}","plainCitation":"8","noteIndex":0},"citationItems":[{"id":423,"uris":["http://zotero.org/users/local/ebh37oKg/items/SK9NHYPD"],"itemData":{"id":423,"type":"article-journal","abstract":"Aging of the hematopoietic stem cell (HSC) compartment is characterized by lineage bias and reduced stem cell function, the molecular basis of which is largely unknown. Using single-cell transcriptomics, we identified a distinct subpopulation of old HSCs carrying a p53 signature indicative of stem cell decline alongside pro-proliferative JAK/STAT signaling. To investigate the relationship between JAK/STAT and p53 signaling, we challenged HSCs with a constitutively active form of JAK2 (V617F) and observed an expansion of the p53-positive subpopulation in old mice. Our results reveal cellular heterogeneity in the onset of HSC aging and implicate a role for JAK2V617F-driven proliferation in the p53-mediated functional decline of old HSCs.","container-title":"Cell Reports","DOI":"10.1016/j.celrep.2017.04.074","ISSN":"2211-1247","issue":"8","journalAbbreviation":"Cell Rep","language":"eng","note":"PMID: 28538171\nPMCID: PMC5457484","page":"1503-1511","source":"PubMed","title":"Proliferation Drives Aging-Related Functional Decline in a Subpopulation of the Hematopoietic Stem Cell Compartment","volume":"19","author":[{"family":"Kirschner","given":"Kristina"},{"family":"Chandra","given":"Tamir"},{"family":"Kiselev","given":"Vladimir"},{"family":"Flores-Santa Cruz","given":"David"},{"family":"Macaulay","given":"Iain C."},{"family":"Park","given":"Hyun Jun"},{"family":"Li","given":"Juan"},{"family":"Kent","given":"David G."},{"family":"Kumar","given":"Rupa"},{"family":"Pask","given":"Dean C."},{"family":"Hamilton","given":"Tina L."},{"family":"Hemberg","given":"Martin"},{"family":"Reik","given":"Wolf"},{"family":"Green","given":"Anthony R."}],"issued":{"date-parts":[["2017",5,23]]}}}],"schema":"https://github.com/citation-style-language/schema/raw/master/csl-citation.json"} </w:instrText>
            </w:r>
            <w:r w:rsidRPr="002D5B48">
              <w:rPr>
                <w:sz w:val="20"/>
              </w:rPr>
              <w:fldChar w:fldCharType="separate"/>
            </w:r>
            <w:r w:rsidRPr="002D5B48">
              <w:rPr>
                <w:rFonts w:cs="Calibri"/>
                <w:kern w:val="0"/>
                <w:sz w:val="20"/>
                <w:vertAlign w:val="superscript"/>
              </w:rPr>
              <w:t>8</w:t>
            </w:r>
            <w:r w:rsidRPr="002D5B48">
              <w:rPr>
                <w:sz w:val="20"/>
              </w:rPr>
              <w:fldChar w:fldCharType="end"/>
            </w:r>
          </w:p>
        </w:tc>
        <w:tc>
          <w:tcPr>
            <w:tcW w:w="1325" w:type="dxa"/>
            <w:tcBorders>
              <w:top w:val="nil"/>
              <w:left w:val="nil"/>
              <w:bottom w:val="nil"/>
              <w:right w:val="nil"/>
            </w:tcBorders>
            <w:shd w:val="clear" w:color="auto" w:fill="auto"/>
            <w:noWrap/>
            <w:vAlign w:val="bottom"/>
          </w:tcPr>
          <w:p w14:paraId="7D506940" w14:textId="77777777" w:rsidR="00F8299B" w:rsidRPr="002D5B48" w:rsidRDefault="00F8299B" w:rsidP="00F8299B">
            <w:pPr>
              <w:rPr>
                <w:sz w:val="20"/>
              </w:rPr>
            </w:pPr>
            <w:r w:rsidRPr="002D5B48">
              <w:rPr>
                <w:sz w:val="20"/>
              </w:rPr>
              <w:t>28538171</w:t>
            </w:r>
          </w:p>
        </w:tc>
        <w:tc>
          <w:tcPr>
            <w:tcW w:w="1094" w:type="dxa"/>
            <w:tcBorders>
              <w:top w:val="nil"/>
              <w:left w:val="nil"/>
              <w:bottom w:val="nil"/>
              <w:right w:val="nil"/>
            </w:tcBorders>
            <w:shd w:val="clear" w:color="auto" w:fill="auto"/>
            <w:noWrap/>
            <w:vAlign w:val="bottom"/>
            <w:hideMark/>
          </w:tcPr>
          <w:p w14:paraId="10E2C380" w14:textId="77777777" w:rsidR="00F8299B" w:rsidRPr="002D5B48" w:rsidRDefault="00F8299B" w:rsidP="00F8299B">
            <w:pPr>
              <w:rPr>
                <w:sz w:val="20"/>
              </w:rPr>
            </w:pPr>
            <w:r w:rsidRPr="002D5B48">
              <w:rPr>
                <w:sz w:val="20"/>
              </w:rPr>
              <w:t>SC_RNA</w:t>
            </w:r>
          </w:p>
        </w:tc>
        <w:tc>
          <w:tcPr>
            <w:tcW w:w="1320" w:type="dxa"/>
            <w:tcBorders>
              <w:top w:val="nil"/>
              <w:left w:val="nil"/>
              <w:bottom w:val="nil"/>
              <w:right w:val="nil"/>
            </w:tcBorders>
            <w:shd w:val="clear" w:color="auto" w:fill="auto"/>
            <w:noWrap/>
            <w:vAlign w:val="bottom"/>
            <w:hideMark/>
          </w:tcPr>
          <w:p w14:paraId="6672B3BB" w14:textId="77777777" w:rsidR="00F8299B" w:rsidRPr="002D5B48" w:rsidRDefault="00F8299B" w:rsidP="00F8299B">
            <w:pPr>
              <w:rPr>
                <w:sz w:val="20"/>
              </w:rPr>
            </w:pPr>
          </w:p>
        </w:tc>
        <w:tc>
          <w:tcPr>
            <w:tcW w:w="1200" w:type="dxa"/>
            <w:tcBorders>
              <w:top w:val="nil"/>
              <w:left w:val="nil"/>
              <w:bottom w:val="nil"/>
              <w:right w:val="nil"/>
            </w:tcBorders>
            <w:shd w:val="clear" w:color="auto" w:fill="auto"/>
            <w:noWrap/>
            <w:vAlign w:val="bottom"/>
            <w:hideMark/>
          </w:tcPr>
          <w:p w14:paraId="5965E98B" w14:textId="77777777" w:rsidR="00F8299B" w:rsidRPr="002D5B48" w:rsidRDefault="00F8299B" w:rsidP="00F8299B">
            <w:pPr>
              <w:rPr>
                <w:sz w:val="20"/>
              </w:rPr>
            </w:pPr>
          </w:p>
        </w:tc>
        <w:tc>
          <w:tcPr>
            <w:tcW w:w="1665" w:type="dxa"/>
            <w:tcBorders>
              <w:top w:val="nil"/>
              <w:left w:val="nil"/>
              <w:bottom w:val="nil"/>
              <w:right w:val="nil"/>
            </w:tcBorders>
            <w:shd w:val="clear" w:color="auto" w:fill="auto"/>
            <w:noWrap/>
            <w:vAlign w:val="bottom"/>
            <w:hideMark/>
          </w:tcPr>
          <w:p w14:paraId="35BD66D1" w14:textId="77777777" w:rsidR="00F8299B" w:rsidRPr="002D5B48" w:rsidRDefault="00F8299B" w:rsidP="00F8299B">
            <w:pPr>
              <w:rPr>
                <w:sz w:val="20"/>
              </w:rPr>
            </w:pPr>
            <w:r w:rsidRPr="002D5B48">
              <w:rPr>
                <w:sz w:val="20"/>
              </w:rPr>
              <w:t>unknown</w:t>
            </w:r>
          </w:p>
        </w:tc>
      </w:tr>
      <w:tr w:rsidR="002D5B48" w:rsidRPr="002D5B48" w14:paraId="02A57759"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28AF04F9" w14:textId="77777777" w:rsidR="00F8299B" w:rsidRPr="002D5B48" w:rsidRDefault="003878E6" w:rsidP="00F8299B">
            <w:pPr>
              <w:rPr>
                <w:sz w:val="20"/>
              </w:rPr>
            </w:pPr>
            <w:r w:rsidRPr="002D5B48">
              <w:rPr>
                <w:sz w:val="20"/>
              </w:rPr>
              <w:t>De Boer</w:t>
            </w:r>
          </w:p>
        </w:tc>
        <w:tc>
          <w:tcPr>
            <w:tcW w:w="703" w:type="dxa"/>
            <w:tcBorders>
              <w:top w:val="nil"/>
              <w:left w:val="nil"/>
              <w:bottom w:val="nil"/>
              <w:right w:val="nil"/>
            </w:tcBorders>
            <w:shd w:val="clear" w:color="auto" w:fill="auto"/>
            <w:noWrap/>
            <w:vAlign w:val="bottom"/>
            <w:hideMark/>
          </w:tcPr>
          <w:p w14:paraId="5D5E80FF" w14:textId="42B30058" w:rsidR="00F8299B" w:rsidRPr="002D5B48" w:rsidRDefault="00F8299B" w:rsidP="00F8299B">
            <w:pPr>
              <w:rPr>
                <w:sz w:val="20"/>
              </w:rPr>
            </w:pPr>
            <w:r w:rsidRPr="002D5B48">
              <w:rPr>
                <w:sz w:val="20"/>
              </w:rPr>
              <w:t>201</w:t>
            </w:r>
            <w:r w:rsidR="00D17638">
              <w:rPr>
                <w:sz w:val="20"/>
              </w:rPr>
              <w:t>7</w:t>
            </w:r>
          </w:p>
        </w:tc>
        <w:tc>
          <w:tcPr>
            <w:tcW w:w="1280" w:type="dxa"/>
            <w:tcBorders>
              <w:top w:val="nil"/>
              <w:left w:val="nil"/>
              <w:bottom w:val="nil"/>
              <w:right w:val="nil"/>
            </w:tcBorders>
            <w:vAlign w:val="bottom"/>
          </w:tcPr>
          <w:p w14:paraId="0D87ADDA" w14:textId="77777777" w:rsidR="00F8299B" w:rsidRPr="002D5B48" w:rsidRDefault="00F8299B" w:rsidP="00F8299B">
            <w:pPr>
              <w:rPr>
                <w:b/>
                <w:bCs/>
                <w:sz w:val="20"/>
              </w:rPr>
            </w:pPr>
            <w:r w:rsidRPr="002D5B48">
              <w:rPr>
                <w:b/>
                <w:bCs/>
                <w:sz w:val="20"/>
              </w:rPr>
              <w:t>GSE100428</w:t>
            </w:r>
          </w:p>
        </w:tc>
        <w:tc>
          <w:tcPr>
            <w:tcW w:w="1740" w:type="dxa"/>
            <w:tcBorders>
              <w:top w:val="nil"/>
              <w:left w:val="nil"/>
              <w:bottom w:val="nil"/>
              <w:right w:val="nil"/>
            </w:tcBorders>
            <w:shd w:val="clear" w:color="auto" w:fill="auto"/>
            <w:noWrap/>
            <w:vAlign w:val="bottom"/>
          </w:tcPr>
          <w:p w14:paraId="2925374C" w14:textId="77777777" w:rsidR="00F8299B" w:rsidRPr="002D5B48" w:rsidRDefault="003878E6" w:rsidP="00F8299B">
            <w:pPr>
              <w:rPr>
                <w:sz w:val="20"/>
              </w:rPr>
            </w:pPr>
            <w:r w:rsidRPr="002D5B48">
              <w:rPr>
                <w:sz w:val="20"/>
              </w:rPr>
              <w:t>Mann</w:t>
            </w:r>
            <w:r w:rsidRPr="002D5B48">
              <w:rPr>
                <w:sz w:val="20"/>
              </w:rPr>
              <w:fldChar w:fldCharType="begin"/>
            </w:r>
            <w:r w:rsidRPr="002D5B48">
              <w:rPr>
                <w:sz w:val="20"/>
              </w:rPr>
              <w:instrText xml:space="preserve"> ADDIN ZOTERO_ITEM CSL_CITATION {"citationID":"bfRjNDxs","properties":{"formattedCitation":"\\super 19\\nosupersub{}","plainCitation":"19","noteIndex":0},"citationItems":[{"id":426,"uris":["http://zotero.org/users/local/ebh37oKg/items/ABH5ZUGH"],"itemData":{"id":426,"type":"article-journal","abstract":"Long-term hematopoietic stem cells (LT-HSCs) maintain hematopoietic output throughout an animal's lifespan. However, with age, the balance is disrupted, and LT-HSCs produce a myeloid-biased output, resulting in poor immune responses to infectious challenge and the development of myeloid leukemias. Here, we show that young and aged LT-HSCs respond differently to inflammatory stress, such that aged LT-HSCs produce a cell-intrinsic, myeloid-biased expression program. Using single-cell RNA sequencing (scRNA-seq), we identify a myeloid-biased subset within the LT-HSC population (mLT-HSCs) that is prevalent among aged LT-HSCs. We identify CD61 as a marker of mLT-HSCs and show that CD61-high LT-HSCs are uniquely primed to respond to acute inflammatory challenge. We predict that several transcription factors regulate the mLT-HSCs gene program and show that Klf5, Ikzf1, and Stat3 play an important role in age-related inflammatory myeloid bias. We have therefore identified and isolated an LT-HSC subset that regulates myeloid versus lymphoid balance under inflammatory challenge and with age.","container-title":"Cell Reports","DOI":"10.1016/j.celrep.2018.11.056","ISSN":"2211-1247","issue":"11","journalAbbreviation":"Cell Rep","language":"eng","note":"PMID: 30540934\nPMCID: PMC6424521","page":"2992-3005.e5","source":"PubMed","title":"Heterogeneous Responses of Hematopoietic Stem Cells to Inflammatory Stimuli Are Altered with Age","volume":"25","author":[{"family":"Mann","given":"Mati"},{"family":"Mehta","given":"Arnav"},{"family":"Boer","given":"Carl G.","non-dropping-particle":"de"},{"family":"Kowalczyk","given":"Monika S."},{"family":"Lee","given":"Kevin"},{"family":"Haldeman","given":"Pearce"},{"family":"Rogel","given":"Noga"},{"family":"Knecht","given":"Abigail R."},{"family":"Farouq","given":"Daneyal"},{"family":"Regev","given":"Aviv"},{"family":"Baltimore","given":"David"}],"issued":{"date-parts":[["2018",12,11]]}}}],"schema":"https://github.com/citation-style-language/schema/raw/master/csl-citation.json"} </w:instrText>
            </w:r>
            <w:r w:rsidRPr="002D5B48">
              <w:rPr>
                <w:sz w:val="20"/>
              </w:rPr>
              <w:fldChar w:fldCharType="separate"/>
            </w:r>
            <w:r w:rsidRPr="002D5B48">
              <w:rPr>
                <w:rFonts w:cs="Calibri"/>
                <w:kern w:val="0"/>
                <w:sz w:val="20"/>
                <w:vertAlign w:val="superscript"/>
              </w:rPr>
              <w:t>19</w:t>
            </w:r>
            <w:r w:rsidRPr="002D5B48">
              <w:rPr>
                <w:sz w:val="20"/>
              </w:rPr>
              <w:fldChar w:fldCharType="end"/>
            </w:r>
          </w:p>
        </w:tc>
        <w:tc>
          <w:tcPr>
            <w:tcW w:w="1325" w:type="dxa"/>
            <w:tcBorders>
              <w:top w:val="nil"/>
              <w:left w:val="nil"/>
              <w:bottom w:val="nil"/>
              <w:right w:val="nil"/>
            </w:tcBorders>
            <w:shd w:val="clear" w:color="auto" w:fill="auto"/>
            <w:noWrap/>
            <w:vAlign w:val="bottom"/>
          </w:tcPr>
          <w:p w14:paraId="13C733CE" w14:textId="77777777" w:rsidR="00F8299B" w:rsidRPr="002D5B48" w:rsidRDefault="00F8299B" w:rsidP="00F8299B">
            <w:pPr>
              <w:rPr>
                <w:sz w:val="20"/>
              </w:rPr>
            </w:pPr>
            <w:r w:rsidRPr="002D5B48">
              <w:rPr>
                <w:sz w:val="20"/>
              </w:rPr>
              <w:t>30540934</w:t>
            </w:r>
          </w:p>
        </w:tc>
        <w:tc>
          <w:tcPr>
            <w:tcW w:w="1094" w:type="dxa"/>
            <w:tcBorders>
              <w:top w:val="nil"/>
              <w:left w:val="nil"/>
              <w:bottom w:val="nil"/>
              <w:right w:val="nil"/>
            </w:tcBorders>
            <w:shd w:val="clear" w:color="auto" w:fill="auto"/>
            <w:noWrap/>
            <w:vAlign w:val="bottom"/>
            <w:hideMark/>
          </w:tcPr>
          <w:p w14:paraId="5C1B2D77" w14:textId="77777777" w:rsidR="00F8299B" w:rsidRPr="002D5B48" w:rsidRDefault="00F8299B" w:rsidP="00F8299B">
            <w:pPr>
              <w:rPr>
                <w:sz w:val="20"/>
              </w:rPr>
            </w:pPr>
            <w:r w:rsidRPr="002D5B48">
              <w:rPr>
                <w:sz w:val="20"/>
              </w:rPr>
              <w:t>SC_RNA</w:t>
            </w:r>
          </w:p>
        </w:tc>
        <w:tc>
          <w:tcPr>
            <w:tcW w:w="1320" w:type="dxa"/>
            <w:tcBorders>
              <w:top w:val="nil"/>
              <w:left w:val="nil"/>
              <w:bottom w:val="nil"/>
              <w:right w:val="nil"/>
            </w:tcBorders>
            <w:shd w:val="clear" w:color="auto" w:fill="auto"/>
            <w:noWrap/>
            <w:vAlign w:val="bottom"/>
            <w:hideMark/>
          </w:tcPr>
          <w:p w14:paraId="19AC20F3" w14:textId="77777777" w:rsidR="00F8299B" w:rsidRPr="002D5B48" w:rsidRDefault="00F8299B" w:rsidP="00F8299B">
            <w:pPr>
              <w:rPr>
                <w:sz w:val="20"/>
              </w:rPr>
            </w:pPr>
            <w:r w:rsidRPr="002D5B48">
              <w:rPr>
                <w:sz w:val="20"/>
              </w:rPr>
              <w:t xml:space="preserve">1.8 - 2.7 </w:t>
            </w:r>
            <w:proofErr w:type="spellStart"/>
            <w:r w:rsidRPr="002D5B48">
              <w:rPr>
                <w:sz w:val="20"/>
              </w:rPr>
              <w:t>mo</w:t>
            </w:r>
            <w:proofErr w:type="spellEnd"/>
          </w:p>
        </w:tc>
        <w:tc>
          <w:tcPr>
            <w:tcW w:w="1200" w:type="dxa"/>
            <w:tcBorders>
              <w:top w:val="nil"/>
              <w:left w:val="nil"/>
              <w:bottom w:val="nil"/>
              <w:right w:val="nil"/>
            </w:tcBorders>
            <w:shd w:val="clear" w:color="auto" w:fill="auto"/>
            <w:noWrap/>
            <w:vAlign w:val="bottom"/>
            <w:hideMark/>
          </w:tcPr>
          <w:p w14:paraId="7B78C145" w14:textId="77777777" w:rsidR="00F8299B" w:rsidRPr="002D5B48" w:rsidRDefault="00F8299B" w:rsidP="00F8299B">
            <w:pPr>
              <w:rPr>
                <w:sz w:val="20"/>
              </w:rPr>
            </w:pPr>
            <w:r w:rsidRPr="002D5B48">
              <w:rPr>
                <w:sz w:val="20"/>
              </w:rPr>
              <w:t xml:space="preserve">20-24 </w:t>
            </w:r>
            <w:proofErr w:type="spellStart"/>
            <w:r w:rsidRPr="002D5B48">
              <w:rPr>
                <w:sz w:val="20"/>
              </w:rPr>
              <w:t>mo</w:t>
            </w:r>
            <w:proofErr w:type="spellEnd"/>
          </w:p>
        </w:tc>
        <w:tc>
          <w:tcPr>
            <w:tcW w:w="1665" w:type="dxa"/>
            <w:tcBorders>
              <w:top w:val="nil"/>
              <w:left w:val="nil"/>
              <w:bottom w:val="nil"/>
              <w:right w:val="nil"/>
            </w:tcBorders>
            <w:shd w:val="clear" w:color="auto" w:fill="auto"/>
            <w:noWrap/>
            <w:vAlign w:val="bottom"/>
            <w:hideMark/>
          </w:tcPr>
          <w:p w14:paraId="629B80B4" w14:textId="77777777" w:rsidR="00F8299B" w:rsidRPr="002D5B48" w:rsidRDefault="00F8299B" w:rsidP="00F8299B">
            <w:pPr>
              <w:rPr>
                <w:sz w:val="20"/>
              </w:rPr>
            </w:pPr>
            <w:r w:rsidRPr="002D5B48">
              <w:rPr>
                <w:sz w:val="20"/>
              </w:rPr>
              <w:t>1.8-2.7, 20-24</w:t>
            </w:r>
          </w:p>
        </w:tc>
      </w:tr>
      <w:tr w:rsidR="002D5B48" w:rsidRPr="002D5B48" w14:paraId="4AF56363"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20E051C6" w14:textId="77777777" w:rsidR="00F8299B" w:rsidRPr="002D5B48" w:rsidRDefault="003878E6" w:rsidP="00F8299B">
            <w:pPr>
              <w:rPr>
                <w:sz w:val="20"/>
              </w:rPr>
            </w:pPr>
            <w:proofErr w:type="spellStart"/>
            <w:r w:rsidRPr="002D5B48">
              <w:rPr>
                <w:sz w:val="20"/>
              </w:rPr>
              <w:t>Frenette</w:t>
            </w:r>
            <w:proofErr w:type="spellEnd"/>
          </w:p>
        </w:tc>
        <w:tc>
          <w:tcPr>
            <w:tcW w:w="703" w:type="dxa"/>
            <w:tcBorders>
              <w:top w:val="nil"/>
              <w:left w:val="nil"/>
              <w:bottom w:val="nil"/>
              <w:right w:val="nil"/>
            </w:tcBorders>
            <w:shd w:val="clear" w:color="auto" w:fill="auto"/>
            <w:noWrap/>
            <w:vAlign w:val="bottom"/>
            <w:hideMark/>
          </w:tcPr>
          <w:p w14:paraId="58ADD480" w14:textId="77777777" w:rsidR="00F8299B" w:rsidRPr="002D5B48" w:rsidRDefault="00F8299B" w:rsidP="00F8299B">
            <w:pPr>
              <w:rPr>
                <w:sz w:val="20"/>
              </w:rPr>
            </w:pPr>
            <w:r w:rsidRPr="002D5B48">
              <w:rPr>
                <w:sz w:val="20"/>
              </w:rPr>
              <w:t>2018</w:t>
            </w:r>
          </w:p>
        </w:tc>
        <w:tc>
          <w:tcPr>
            <w:tcW w:w="1280" w:type="dxa"/>
            <w:tcBorders>
              <w:top w:val="nil"/>
              <w:left w:val="nil"/>
              <w:bottom w:val="nil"/>
              <w:right w:val="nil"/>
            </w:tcBorders>
            <w:vAlign w:val="bottom"/>
          </w:tcPr>
          <w:p w14:paraId="1FBE0C7E" w14:textId="77777777" w:rsidR="00F8299B" w:rsidRPr="002D5B48" w:rsidRDefault="00F8299B" w:rsidP="00F8299B">
            <w:pPr>
              <w:rPr>
                <w:b/>
                <w:bCs/>
                <w:sz w:val="20"/>
              </w:rPr>
            </w:pPr>
            <w:r w:rsidRPr="002D5B48">
              <w:rPr>
                <w:b/>
                <w:bCs/>
                <w:sz w:val="20"/>
              </w:rPr>
              <w:t>GSE109546</w:t>
            </w:r>
          </w:p>
        </w:tc>
        <w:tc>
          <w:tcPr>
            <w:tcW w:w="1740" w:type="dxa"/>
            <w:tcBorders>
              <w:top w:val="nil"/>
              <w:left w:val="nil"/>
              <w:bottom w:val="nil"/>
              <w:right w:val="nil"/>
            </w:tcBorders>
            <w:shd w:val="clear" w:color="auto" w:fill="auto"/>
            <w:noWrap/>
            <w:vAlign w:val="bottom"/>
          </w:tcPr>
          <w:p w14:paraId="58F1F704" w14:textId="77777777" w:rsidR="00F8299B" w:rsidRPr="002D5B48" w:rsidRDefault="003878E6" w:rsidP="00F8299B">
            <w:pPr>
              <w:rPr>
                <w:sz w:val="20"/>
              </w:rPr>
            </w:pPr>
            <w:r w:rsidRPr="002D5B48">
              <w:rPr>
                <w:sz w:val="20"/>
              </w:rPr>
              <w:t>Maryanovich</w:t>
            </w:r>
            <w:r w:rsidRPr="002D5B48">
              <w:rPr>
                <w:sz w:val="20"/>
              </w:rPr>
              <w:fldChar w:fldCharType="begin"/>
            </w:r>
            <w:r w:rsidRPr="002D5B48">
              <w:rPr>
                <w:sz w:val="20"/>
              </w:rPr>
              <w:instrText xml:space="preserve"> ADDIN ZOTERO_ITEM CSL_CITATION {"citationID":"YlJWMDjP","properties":{"formattedCitation":"\\super 3\\nosupersub{}","plainCitation":"3","noteIndex":0},"citationItems":[{"id":429,"uris":["http://zotero.org/users/local/ebh37oKg/items/F7M62A48"],"itemData":{"id":429,"type":"article-journal","abstract":"Aging of hematopoietic stem cells (HSCs) is associated with a decline in their regenerative capacity and multilineage differentiation potential, contributing to the development of blood disorders. The bone marrow microenvironment has recently been suggested to influence HSC aging, but the underlying mechanisms remain largely unknown. Here we show that HSC aging critically depends on bone marrow innervation by the sympathetic nervous system (SNS), as loss of SNS nerves or adrenoreceptor β3 signaling in the bone marrow microenvironment of young mice led to premature HSC aging, as evidenced by appearance of HSC phenotypes reminiscent of physiological aging. Strikingly, supplementation of a sympathomimetic acting selectively on adrenoreceptor β3 to old mice significantly rejuvenated the in vivo function of aged HSCs, suggesting that the preservation or restitution of bone marrow SNS innervation during aging may hold the potential for new HSC rejuvenation strategies.","container-title":"Nature Medicine","DOI":"10.1038/s41591-018-0030-x","ISSN":"1546-170X","issue":"6","journalAbbreviation":"Nat Med","language":"eng","note":"PMID: 29736022\nPMCID: PMC6095812","page":"782-791","source":"PubMed","title":"Adrenergic nerve degeneration in bone marrow drives aging of the hematopoietic stem cell niche","volume":"24","author":[{"family":"Maryanovich","given":"Maria"},{"family":"Zahalka","given":"Ali H."},{"family":"Pierce","given":"Halley"},{"family":"Pinho","given":"Sandra"},{"family":"Nakahara","given":"Fumio"},{"family":"Asada","given":"Noboru"},{"family":"Wei","given":"Qiaozhi"},{"family":"Wang","given":"Xizhe"},{"family":"Ciero","given":"Paul"},{"family":"Xu","given":"Jianing"},{"family":"Leftin","given":"Avigdor"},{"family":"Frenette","given":"Paul S."}],"issued":{"date-parts":[["2018",6]]}}}],"schema":"https://github.com/citation-style-language/schema/raw/master/csl-citation.json"} </w:instrText>
            </w:r>
            <w:r w:rsidRPr="002D5B48">
              <w:rPr>
                <w:sz w:val="20"/>
              </w:rPr>
              <w:fldChar w:fldCharType="separate"/>
            </w:r>
            <w:r w:rsidRPr="002D5B48">
              <w:rPr>
                <w:rFonts w:cs="Calibri"/>
                <w:kern w:val="0"/>
                <w:sz w:val="20"/>
                <w:vertAlign w:val="superscript"/>
              </w:rPr>
              <w:t>3</w:t>
            </w:r>
            <w:r w:rsidRPr="002D5B48">
              <w:rPr>
                <w:sz w:val="20"/>
              </w:rPr>
              <w:fldChar w:fldCharType="end"/>
            </w:r>
          </w:p>
        </w:tc>
        <w:tc>
          <w:tcPr>
            <w:tcW w:w="1325" w:type="dxa"/>
            <w:tcBorders>
              <w:top w:val="nil"/>
              <w:left w:val="nil"/>
              <w:bottom w:val="nil"/>
              <w:right w:val="nil"/>
            </w:tcBorders>
            <w:shd w:val="clear" w:color="auto" w:fill="auto"/>
            <w:noWrap/>
            <w:vAlign w:val="bottom"/>
          </w:tcPr>
          <w:p w14:paraId="559E4BF6" w14:textId="77777777" w:rsidR="00F8299B" w:rsidRPr="002D5B48" w:rsidRDefault="00F8299B" w:rsidP="00F8299B">
            <w:pPr>
              <w:rPr>
                <w:sz w:val="20"/>
              </w:rPr>
            </w:pPr>
            <w:r w:rsidRPr="002D5B48">
              <w:rPr>
                <w:sz w:val="20"/>
              </w:rPr>
              <w:t>29736022</w:t>
            </w:r>
          </w:p>
        </w:tc>
        <w:tc>
          <w:tcPr>
            <w:tcW w:w="1094" w:type="dxa"/>
            <w:tcBorders>
              <w:top w:val="nil"/>
              <w:left w:val="nil"/>
              <w:bottom w:val="nil"/>
              <w:right w:val="nil"/>
            </w:tcBorders>
            <w:shd w:val="clear" w:color="auto" w:fill="auto"/>
            <w:noWrap/>
            <w:vAlign w:val="bottom"/>
            <w:hideMark/>
          </w:tcPr>
          <w:p w14:paraId="34D511B5"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6D151176" w14:textId="77777777" w:rsidR="00F8299B" w:rsidRPr="002D5B48" w:rsidRDefault="00F8299B" w:rsidP="00F8299B">
            <w:pPr>
              <w:rPr>
                <w:sz w:val="20"/>
              </w:rPr>
            </w:pPr>
            <w:r w:rsidRPr="002D5B48">
              <w:rPr>
                <w:sz w:val="20"/>
              </w:rPr>
              <w:t xml:space="preserve">1.8-2.3 </w:t>
            </w:r>
            <w:proofErr w:type="spellStart"/>
            <w:r w:rsidRPr="002D5B48">
              <w:rPr>
                <w:sz w:val="20"/>
              </w:rPr>
              <w:t>mo</w:t>
            </w:r>
            <w:proofErr w:type="spellEnd"/>
          </w:p>
        </w:tc>
        <w:tc>
          <w:tcPr>
            <w:tcW w:w="1200" w:type="dxa"/>
            <w:tcBorders>
              <w:top w:val="nil"/>
              <w:left w:val="nil"/>
              <w:bottom w:val="nil"/>
              <w:right w:val="nil"/>
            </w:tcBorders>
            <w:shd w:val="clear" w:color="auto" w:fill="auto"/>
            <w:noWrap/>
            <w:vAlign w:val="bottom"/>
            <w:hideMark/>
          </w:tcPr>
          <w:p w14:paraId="5C4BCB5C" w14:textId="77777777" w:rsidR="00F8299B" w:rsidRPr="002D5B48" w:rsidRDefault="00F8299B" w:rsidP="00F8299B">
            <w:pPr>
              <w:rPr>
                <w:sz w:val="20"/>
              </w:rPr>
            </w:pPr>
            <w:r w:rsidRPr="002D5B48">
              <w:rPr>
                <w:sz w:val="20"/>
              </w:rPr>
              <w:t xml:space="preserve">4.6-5.5 </w:t>
            </w:r>
            <w:proofErr w:type="spellStart"/>
            <w:r w:rsidRPr="002D5B48">
              <w:rPr>
                <w:sz w:val="20"/>
              </w:rPr>
              <w:t>mo</w:t>
            </w:r>
            <w:proofErr w:type="spellEnd"/>
          </w:p>
        </w:tc>
        <w:tc>
          <w:tcPr>
            <w:tcW w:w="1665" w:type="dxa"/>
            <w:tcBorders>
              <w:top w:val="nil"/>
              <w:left w:val="nil"/>
              <w:bottom w:val="nil"/>
              <w:right w:val="nil"/>
            </w:tcBorders>
            <w:shd w:val="clear" w:color="auto" w:fill="auto"/>
            <w:noWrap/>
            <w:vAlign w:val="bottom"/>
            <w:hideMark/>
          </w:tcPr>
          <w:p w14:paraId="62C56D0C" w14:textId="77777777" w:rsidR="00F8299B" w:rsidRPr="002D5B48" w:rsidRDefault="00F8299B" w:rsidP="00F8299B">
            <w:pPr>
              <w:rPr>
                <w:sz w:val="20"/>
              </w:rPr>
            </w:pPr>
            <w:r w:rsidRPr="002D5B48">
              <w:rPr>
                <w:sz w:val="20"/>
              </w:rPr>
              <w:t>1.8-2.3,4.6-5.5</w:t>
            </w:r>
          </w:p>
        </w:tc>
      </w:tr>
      <w:tr w:rsidR="002D5B48" w:rsidRPr="002D5B48" w14:paraId="52754DE0"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42F2BABC" w14:textId="6BF10554" w:rsidR="00F8299B" w:rsidRPr="002D5B48" w:rsidRDefault="00F8299B" w:rsidP="00F8299B">
            <w:pPr>
              <w:rPr>
                <w:sz w:val="20"/>
              </w:rPr>
            </w:pPr>
            <w:r w:rsidRPr="002D5B48">
              <w:rPr>
                <w:sz w:val="20"/>
              </w:rPr>
              <w:t>Kong</w:t>
            </w:r>
          </w:p>
        </w:tc>
        <w:tc>
          <w:tcPr>
            <w:tcW w:w="703" w:type="dxa"/>
            <w:tcBorders>
              <w:top w:val="nil"/>
              <w:left w:val="nil"/>
              <w:bottom w:val="nil"/>
              <w:right w:val="nil"/>
            </w:tcBorders>
            <w:shd w:val="clear" w:color="auto" w:fill="auto"/>
            <w:noWrap/>
            <w:vAlign w:val="bottom"/>
            <w:hideMark/>
          </w:tcPr>
          <w:p w14:paraId="74F29C1B" w14:textId="68210370" w:rsidR="00F8299B" w:rsidRPr="002D5B48" w:rsidRDefault="00F8299B" w:rsidP="00F8299B">
            <w:pPr>
              <w:rPr>
                <w:sz w:val="20"/>
              </w:rPr>
            </w:pPr>
            <w:r w:rsidRPr="002D5B48">
              <w:rPr>
                <w:sz w:val="20"/>
              </w:rPr>
              <w:t>201</w:t>
            </w:r>
            <w:r w:rsidR="00D17638">
              <w:rPr>
                <w:sz w:val="20"/>
              </w:rPr>
              <w:t>9</w:t>
            </w:r>
          </w:p>
        </w:tc>
        <w:tc>
          <w:tcPr>
            <w:tcW w:w="1280" w:type="dxa"/>
            <w:tcBorders>
              <w:top w:val="nil"/>
              <w:left w:val="nil"/>
              <w:bottom w:val="nil"/>
              <w:right w:val="nil"/>
            </w:tcBorders>
            <w:vAlign w:val="bottom"/>
          </w:tcPr>
          <w:p w14:paraId="1A5BA189" w14:textId="77777777" w:rsidR="00F8299B" w:rsidRPr="002D5B48" w:rsidRDefault="00F8299B" w:rsidP="00F8299B">
            <w:pPr>
              <w:rPr>
                <w:b/>
                <w:bCs/>
                <w:sz w:val="20"/>
              </w:rPr>
            </w:pPr>
            <w:r w:rsidRPr="002D5B48">
              <w:rPr>
                <w:b/>
                <w:bCs/>
                <w:sz w:val="20"/>
              </w:rPr>
              <w:t>GSE112769</w:t>
            </w:r>
          </w:p>
        </w:tc>
        <w:tc>
          <w:tcPr>
            <w:tcW w:w="1740" w:type="dxa"/>
            <w:tcBorders>
              <w:top w:val="nil"/>
              <w:left w:val="nil"/>
              <w:bottom w:val="nil"/>
              <w:right w:val="nil"/>
            </w:tcBorders>
            <w:shd w:val="clear" w:color="auto" w:fill="auto"/>
            <w:noWrap/>
            <w:vAlign w:val="bottom"/>
          </w:tcPr>
          <w:p w14:paraId="4850C3A2" w14:textId="77777777" w:rsidR="00F8299B" w:rsidRPr="002D5B48" w:rsidRDefault="003878E6" w:rsidP="00F8299B">
            <w:pPr>
              <w:rPr>
                <w:sz w:val="20"/>
              </w:rPr>
            </w:pPr>
            <w:r w:rsidRPr="002D5B48">
              <w:rPr>
                <w:sz w:val="20"/>
              </w:rPr>
              <w:t>Montecino-Rodrigues</w:t>
            </w:r>
            <w:r w:rsidRPr="002D5B48">
              <w:rPr>
                <w:sz w:val="20"/>
              </w:rPr>
              <w:fldChar w:fldCharType="begin"/>
            </w:r>
            <w:r w:rsidRPr="002D5B48">
              <w:rPr>
                <w:sz w:val="20"/>
              </w:rPr>
              <w:instrText xml:space="preserve"> ADDIN ZOTERO_ITEM CSL_CITATION {"citationID":"oPKUIpMr","properties":{"formattedCitation":"\\super 37\\nosupersub{}","plainCitation":"37","noteIndex":0},"citationItems":[{"id":521,"uris":["http://zotero.org/users/local/ebh37oKg/items/4AJE5LZE"],"itemData":{"id":521,"type":"article-journal","container-title":"Stem Cell Reports","DOI":"10.1016/j.stemcr.2019.01.016","ISSN":"2213-6711","issue":"3","journalAbbreviation":"Stem Cell Reports","language":"English","note":"publisher: Elsevier\nPMID: 30799276","page":"584-596","source":"www.cell.com","title":"Lymphoid-Biased Hematopoietic Stem Cells Are Maintained with Age and Efficiently Generate Lymphoid Progeny","volume":"12","author":[{"family":"Montecino-Rodriguez","given":"Encarnacion"},{"family":"Kong","given":"Ying"},{"family":"Casero","given":"David"},{"family":"Rouault","given":"Adrien"},{"family":"Dorshkind","given":"Kenneth"},{"family":"Pioli","given":"Peter D."}],"issued":{"date-parts":[["2019",3,5]]}}}],"schema":"https://github.com/citation-style-language/schema/raw/master/csl-citation.json"} </w:instrText>
            </w:r>
            <w:r w:rsidRPr="002D5B48">
              <w:rPr>
                <w:sz w:val="20"/>
              </w:rPr>
              <w:fldChar w:fldCharType="separate"/>
            </w:r>
            <w:r w:rsidRPr="002D5B48">
              <w:rPr>
                <w:rFonts w:cs="Calibri"/>
                <w:kern w:val="0"/>
                <w:sz w:val="20"/>
                <w:vertAlign w:val="superscript"/>
              </w:rPr>
              <w:t>37</w:t>
            </w:r>
            <w:r w:rsidRPr="002D5B48">
              <w:rPr>
                <w:sz w:val="20"/>
              </w:rPr>
              <w:fldChar w:fldCharType="end"/>
            </w:r>
          </w:p>
        </w:tc>
        <w:tc>
          <w:tcPr>
            <w:tcW w:w="1325" w:type="dxa"/>
            <w:tcBorders>
              <w:top w:val="nil"/>
              <w:left w:val="nil"/>
              <w:bottom w:val="nil"/>
              <w:right w:val="nil"/>
            </w:tcBorders>
            <w:shd w:val="clear" w:color="auto" w:fill="auto"/>
            <w:noWrap/>
            <w:vAlign w:val="bottom"/>
          </w:tcPr>
          <w:p w14:paraId="5D6E06E6" w14:textId="77777777" w:rsidR="00F8299B" w:rsidRPr="002D5B48" w:rsidRDefault="00F8299B" w:rsidP="00F8299B">
            <w:pPr>
              <w:rPr>
                <w:sz w:val="20"/>
              </w:rPr>
            </w:pPr>
            <w:r w:rsidRPr="002D5B48">
              <w:rPr>
                <w:sz w:val="20"/>
              </w:rPr>
              <w:t>30799276</w:t>
            </w:r>
          </w:p>
        </w:tc>
        <w:tc>
          <w:tcPr>
            <w:tcW w:w="1094" w:type="dxa"/>
            <w:tcBorders>
              <w:top w:val="nil"/>
              <w:left w:val="nil"/>
              <w:bottom w:val="nil"/>
              <w:right w:val="nil"/>
            </w:tcBorders>
            <w:shd w:val="clear" w:color="auto" w:fill="auto"/>
            <w:noWrap/>
            <w:vAlign w:val="bottom"/>
            <w:hideMark/>
          </w:tcPr>
          <w:p w14:paraId="610B98B8"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14EEABA7" w14:textId="77777777" w:rsidR="00F8299B" w:rsidRPr="002D5B48" w:rsidRDefault="00F8299B" w:rsidP="00F8299B">
            <w:pPr>
              <w:rPr>
                <w:sz w:val="20"/>
              </w:rPr>
            </w:pPr>
            <w:r w:rsidRPr="002D5B48">
              <w:rPr>
                <w:sz w:val="20"/>
              </w:rPr>
              <w:t xml:space="preserve">1.8-2.7 </w:t>
            </w:r>
            <w:proofErr w:type="spellStart"/>
            <w:r w:rsidRPr="002D5B48">
              <w:rPr>
                <w:sz w:val="20"/>
              </w:rPr>
              <w:t>mo</w:t>
            </w:r>
            <w:proofErr w:type="spellEnd"/>
          </w:p>
        </w:tc>
        <w:tc>
          <w:tcPr>
            <w:tcW w:w="1200" w:type="dxa"/>
            <w:tcBorders>
              <w:top w:val="nil"/>
              <w:left w:val="nil"/>
              <w:bottom w:val="nil"/>
              <w:right w:val="nil"/>
            </w:tcBorders>
            <w:shd w:val="clear" w:color="auto" w:fill="auto"/>
            <w:noWrap/>
            <w:vAlign w:val="bottom"/>
            <w:hideMark/>
          </w:tcPr>
          <w:p w14:paraId="233BF339" w14:textId="77777777" w:rsidR="00F8299B" w:rsidRPr="002D5B48" w:rsidRDefault="00F8299B" w:rsidP="00F8299B">
            <w:pPr>
              <w:rPr>
                <w:sz w:val="20"/>
              </w:rPr>
            </w:pPr>
            <w:r w:rsidRPr="002D5B48">
              <w:rPr>
                <w:sz w:val="20"/>
              </w:rPr>
              <w:t xml:space="preserve">17-18 </w:t>
            </w:r>
            <w:proofErr w:type="spellStart"/>
            <w:r w:rsidRPr="002D5B48">
              <w:rPr>
                <w:sz w:val="20"/>
              </w:rPr>
              <w:t>mo</w:t>
            </w:r>
            <w:proofErr w:type="spellEnd"/>
          </w:p>
        </w:tc>
        <w:tc>
          <w:tcPr>
            <w:tcW w:w="1665" w:type="dxa"/>
            <w:tcBorders>
              <w:top w:val="nil"/>
              <w:left w:val="nil"/>
              <w:bottom w:val="nil"/>
              <w:right w:val="nil"/>
            </w:tcBorders>
            <w:shd w:val="clear" w:color="auto" w:fill="auto"/>
            <w:noWrap/>
            <w:vAlign w:val="bottom"/>
            <w:hideMark/>
          </w:tcPr>
          <w:p w14:paraId="4DEE851B" w14:textId="77777777" w:rsidR="00F8299B" w:rsidRPr="002D5B48" w:rsidRDefault="00F8299B" w:rsidP="00F8299B">
            <w:pPr>
              <w:rPr>
                <w:sz w:val="20"/>
              </w:rPr>
            </w:pPr>
          </w:p>
        </w:tc>
      </w:tr>
      <w:tr w:rsidR="002D5B48" w:rsidRPr="002D5B48" w14:paraId="5163BBC0"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793967E2" w14:textId="18664C86" w:rsidR="00F8299B" w:rsidRPr="002D5B48" w:rsidRDefault="00F8299B" w:rsidP="00F8299B">
            <w:pPr>
              <w:rPr>
                <w:sz w:val="20"/>
              </w:rPr>
            </w:pPr>
            <w:proofErr w:type="spellStart"/>
            <w:r w:rsidRPr="002D5B48">
              <w:rPr>
                <w:sz w:val="20"/>
              </w:rPr>
              <w:t>Mulaw</w:t>
            </w:r>
            <w:proofErr w:type="spellEnd"/>
          </w:p>
        </w:tc>
        <w:tc>
          <w:tcPr>
            <w:tcW w:w="703" w:type="dxa"/>
            <w:tcBorders>
              <w:top w:val="nil"/>
              <w:left w:val="nil"/>
              <w:bottom w:val="nil"/>
              <w:right w:val="nil"/>
            </w:tcBorders>
            <w:shd w:val="clear" w:color="auto" w:fill="auto"/>
            <w:noWrap/>
            <w:vAlign w:val="bottom"/>
            <w:hideMark/>
          </w:tcPr>
          <w:p w14:paraId="2A533D51" w14:textId="77777777" w:rsidR="00F8299B" w:rsidRPr="002D5B48" w:rsidRDefault="00F8299B" w:rsidP="00F8299B">
            <w:pPr>
              <w:rPr>
                <w:sz w:val="20"/>
              </w:rPr>
            </w:pPr>
            <w:r w:rsidRPr="002D5B48">
              <w:rPr>
                <w:sz w:val="20"/>
              </w:rPr>
              <w:t>2018</w:t>
            </w:r>
          </w:p>
        </w:tc>
        <w:tc>
          <w:tcPr>
            <w:tcW w:w="1280" w:type="dxa"/>
            <w:tcBorders>
              <w:top w:val="nil"/>
              <w:left w:val="nil"/>
              <w:bottom w:val="nil"/>
              <w:right w:val="nil"/>
            </w:tcBorders>
            <w:vAlign w:val="bottom"/>
          </w:tcPr>
          <w:p w14:paraId="56641BC6" w14:textId="77777777" w:rsidR="00F8299B" w:rsidRPr="002D5B48" w:rsidRDefault="00F8299B" w:rsidP="00F8299B">
            <w:pPr>
              <w:rPr>
                <w:sz w:val="20"/>
              </w:rPr>
            </w:pPr>
            <w:r w:rsidRPr="002D5B48">
              <w:rPr>
                <w:sz w:val="20"/>
              </w:rPr>
              <w:t>GSE119466</w:t>
            </w:r>
          </w:p>
        </w:tc>
        <w:tc>
          <w:tcPr>
            <w:tcW w:w="1740" w:type="dxa"/>
            <w:tcBorders>
              <w:top w:val="nil"/>
              <w:left w:val="nil"/>
              <w:bottom w:val="nil"/>
              <w:right w:val="nil"/>
            </w:tcBorders>
            <w:shd w:val="clear" w:color="auto" w:fill="auto"/>
            <w:noWrap/>
            <w:vAlign w:val="bottom"/>
          </w:tcPr>
          <w:p w14:paraId="598A627B" w14:textId="77777777" w:rsidR="00F8299B" w:rsidRPr="002D5B48" w:rsidRDefault="003878E6" w:rsidP="00F8299B">
            <w:pPr>
              <w:rPr>
                <w:sz w:val="20"/>
              </w:rPr>
            </w:pPr>
            <w:r w:rsidRPr="002D5B48">
              <w:rPr>
                <w:sz w:val="20"/>
              </w:rPr>
              <w:t>Grigoryan</w:t>
            </w:r>
            <w:r w:rsidRPr="002D5B48">
              <w:rPr>
                <w:sz w:val="20"/>
              </w:rPr>
              <w:fldChar w:fldCharType="begin"/>
            </w:r>
            <w:r w:rsidRPr="002D5B48">
              <w:rPr>
                <w:sz w:val="20"/>
              </w:rPr>
              <w:instrText xml:space="preserve"> ADDIN ZOTERO_ITEM CSL_CITATION {"citationID":"Q2Ev1jry","properties":{"formattedCitation":"\\super 38\\nosupersub{}","plainCitation":"38","noteIndex":0},"citationItems":[{"id":524,"uris":["http://zotero.org/users/local/ebh37oKg/items/6C2ZRK78"],"itemData":{"id":524,"type":"article-journal","abstract":"Background\nThe decline of hematopoietic stem cell (HSC) function upon aging contributes to aging-associated immune remodeling and leukemia pathogenesis. Aged HSCs show changes to their epigenome, such as alterations in DNA methylation and histone methylation and acetylation landscapes. We previously showed a correlation between high Cdc42 activity in aged HSCs and the loss of intranuclear epigenetic polarity, or epipolarity, as indicated by the specific distribution of H4K16ac.\n\nResults\nHere, we show that not all histone modifications display a polar localization and that a reduction in H4K16ac amount and loss of epipolarity are specific to aged HSCs. Increasing the levels of H4K16ac is not sufficient to restore polarity in aged HSCs and the restoration of HSC function. The changes in H4K16ac upon aging and rejuvenation of HSCs are correlated with a change in chromosome 11 architecture and alterations in nuclear volume and shape. Surprisingly, by taking advantage of knockout mouse models, we demonstrate that increased Cdc42 activity levels correlate with the repression of the nuclear envelope protein LaminA/C, which controls chromosome 11 distribution, H4K16ac polarity, and nuclear volume and shape in aged HSCs.\n\nConclusions\nCollectively, our data show that chromatin architecture changes in aged stem cells are reversible by decreasing the levels of Cdc42 activity, revealing an unanticipated way to pharmacologically target LaminA/C expression and revert alterations of the epigenetic architecture in aged HSCs.\n\nElectronic supplementary material\nThe online version of this article (10.1186/s13059-018-1557-3) contains supplementary material, which is available to authorized users.","container-title":"Genome Biology","DOI":"10.1186/s13059-018-1557-3","ISSN":"1474-7596","journalAbbreviation":"Genome Biol","note":"PMID: 30404662\nPMCID: PMC6223039","page":"189","source":"PubMed Central","title":"LaminA/C regulates epigenetic and chromatin architecture changes upon aging of hematopoietic stem cells","volume":"19","author":[{"family":"Grigoryan","given":"Ani"},{"family":"Guidi","given":"Novella"},{"family":"Senger","given":"Katharina"},{"family":"Liehr","given":"Thomas"},{"family":"Soller","given":"Karin"},{"family":"Marka","given":"Gina"},{"family":"Vollmer","given":"Angelika"},{"family":"Markaki","given":"Yolanda"},{"family":"Leonhardt","given":"Heinrich"},{"family":"Buske","given":"Christian"},{"family":"Lipka","given":"Daniel B."},{"family":"Plass","given":"Christoph"},{"family":"Zheng","given":"Yi"},{"family":"Mulaw","given":"Medhanie A."},{"family":"Geiger","given":"Hartmut"},{"family":"Florian","given":"Maria Carolina"}],"issued":{"date-parts":[["2018",11,7]]}}}],"schema":"https://github.com/citation-style-language/schema/raw/master/csl-citation.json"} </w:instrText>
            </w:r>
            <w:r w:rsidRPr="002D5B48">
              <w:rPr>
                <w:sz w:val="20"/>
              </w:rPr>
              <w:fldChar w:fldCharType="separate"/>
            </w:r>
            <w:r w:rsidRPr="002D5B48">
              <w:rPr>
                <w:rFonts w:cs="Calibri"/>
                <w:kern w:val="0"/>
                <w:sz w:val="20"/>
                <w:vertAlign w:val="superscript"/>
              </w:rPr>
              <w:t>38</w:t>
            </w:r>
            <w:r w:rsidRPr="002D5B48">
              <w:rPr>
                <w:sz w:val="20"/>
              </w:rPr>
              <w:fldChar w:fldCharType="end"/>
            </w:r>
          </w:p>
        </w:tc>
        <w:tc>
          <w:tcPr>
            <w:tcW w:w="1325" w:type="dxa"/>
            <w:tcBorders>
              <w:top w:val="nil"/>
              <w:left w:val="nil"/>
              <w:bottom w:val="nil"/>
              <w:right w:val="nil"/>
            </w:tcBorders>
            <w:shd w:val="clear" w:color="auto" w:fill="auto"/>
            <w:noWrap/>
            <w:vAlign w:val="bottom"/>
          </w:tcPr>
          <w:p w14:paraId="2CF0E393" w14:textId="77777777" w:rsidR="00F8299B" w:rsidRPr="002D5B48" w:rsidRDefault="00F8299B" w:rsidP="00F8299B">
            <w:pPr>
              <w:rPr>
                <w:sz w:val="20"/>
              </w:rPr>
            </w:pPr>
            <w:r w:rsidRPr="002D5B48">
              <w:rPr>
                <w:sz w:val="20"/>
              </w:rPr>
              <w:t>30404662</w:t>
            </w:r>
          </w:p>
        </w:tc>
        <w:tc>
          <w:tcPr>
            <w:tcW w:w="1094" w:type="dxa"/>
            <w:tcBorders>
              <w:top w:val="nil"/>
              <w:left w:val="nil"/>
              <w:bottom w:val="nil"/>
              <w:right w:val="nil"/>
            </w:tcBorders>
            <w:shd w:val="clear" w:color="auto" w:fill="auto"/>
            <w:noWrap/>
            <w:vAlign w:val="bottom"/>
            <w:hideMark/>
          </w:tcPr>
          <w:p w14:paraId="30573E8B"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1E07208E" w14:textId="77777777" w:rsidR="00F8299B" w:rsidRPr="002D5B48" w:rsidRDefault="00F8299B" w:rsidP="00F8299B">
            <w:pPr>
              <w:rPr>
                <w:sz w:val="20"/>
              </w:rPr>
            </w:pPr>
            <w:r w:rsidRPr="002D5B48">
              <w:rPr>
                <w:sz w:val="20"/>
              </w:rPr>
              <w:t xml:space="preserve">2-4 </w:t>
            </w:r>
            <w:proofErr w:type="spellStart"/>
            <w:r w:rsidRPr="002D5B48">
              <w:rPr>
                <w:sz w:val="20"/>
              </w:rPr>
              <w:t>mo</w:t>
            </w:r>
            <w:proofErr w:type="spellEnd"/>
          </w:p>
        </w:tc>
        <w:tc>
          <w:tcPr>
            <w:tcW w:w="1200" w:type="dxa"/>
            <w:tcBorders>
              <w:top w:val="nil"/>
              <w:left w:val="nil"/>
              <w:bottom w:val="nil"/>
              <w:right w:val="nil"/>
            </w:tcBorders>
            <w:shd w:val="clear" w:color="auto" w:fill="auto"/>
            <w:noWrap/>
            <w:vAlign w:val="bottom"/>
            <w:hideMark/>
          </w:tcPr>
          <w:p w14:paraId="1278BB0F" w14:textId="77777777" w:rsidR="00F8299B" w:rsidRPr="002D5B48" w:rsidRDefault="00F8299B" w:rsidP="00F8299B">
            <w:pPr>
              <w:rPr>
                <w:sz w:val="20"/>
              </w:rPr>
            </w:pPr>
            <w:r w:rsidRPr="002D5B48">
              <w:rPr>
                <w:sz w:val="20"/>
              </w:rPr>
              <w:t xml:space="preserve">20-26 </w:t>
            </w:r>
            <w:proofErr w:type="spellStart"/>
            <w:r w:rsidRPr="002D5B48">
              <w:rPr>
                <w:sz w:val="20"/>
              </w:rPr>
              <w:t>mo</w:t>
            </w:r>
            <w:proofErr w:type="spellEnd"/>
          </w:p>
        </w:tc>
        <w:tc>
          <w:tcPr>
            <w:tcW w:w="1665" w:type="dxa"/>
            <w:tcBorders>
              <w:top w:val="nil"/>
              <w:left w:val="nil"/>
              <w:bottom w:val="nil"/>
              <w:right w:val="nil"/>
            </w:tcBorders>
            <w:shd w:val="clear" w:color="auto" w:fill="auto"/>
            <w:noWrap/>
            <w:vAlign w:val="bottom"/>
            <w:hideMark/>
          </w:tcPr>
          <w:p w14:paraId="3CACEF43" w14:textId="77777777" w:rsidR="00F8299B" w:rsidRPr="002D5B48" w:rsidRDefault="00F8299B" w:rsidP="00F8299B">
            <w:pPr>
              <w:rPr>
                <w:sz w:val="20"/>
              </w:rPr>
            </w:pPr>
          </w:p>
        </w:tc>
      </w:tr>
      <w:tr w:rsidR="002D5B48" w:rsidRPr="002D5B48" w14:paraId="7815A5EC"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7A26897E" w14:textId="27925E76" w:rsidR="00F8299B" w:rsidRPr="002D5B48" w:rsidRDefault="00F8299B" w:rsidP="00F8299B">
            <w:pPr>
              <w:rPr>
                <w:sz w:val="20"/>
              </w:rPr>
            </w:pPr>
            <w:r w:rsidRPr="002D5B48">
              <w:rPr>
                <w:sz w:val="20"/>
              </w:rPr>
              <w:t>Lazare</w:t>
            </w:r>
          </w:p>
        </w:tc>
        <w:tc>
          <w:tcPr>
            <w:tcW w:w="703" w:type="dxa"/>
            <w:tcBorders>
              <w:top w:val="nil"/>
              <w:left w:val="nil"/>
              <w:bottom w:val="nil"/>
              <w:right w:val="nil"/>
            </w:tcBorders>
            <w:shd w:val="clear" w:color="auto" w:fill="auto"/>
            <w:noWrap/>
            <w:vAlign w:val="bottom"/>
            <w:hideMark/>
          </w:tcPr>
          <w:p w14:paraId="33759153" w14:textId="558DC6DD" w:rsidR="00F8299B" w:rsidRPr="002D5B48" w:rsidRDefault="00F8299B" w:rsidP="00F8299B">
            <w:pPr>
              <w:rPr>
                <w:sz w:val="20"/>
              </w:rPr>
            </w:pPr>
            <w:r w:rsidRPr="002D5B48">
              <w:rPr>
                <w:sz w:val="20"/>
              </w:rPr>
              <w:t>20</w:t>
            </w:r>
            <w:r w:rsidR="00D17638">
              <w:rPr>
                <w:sz w:val="20"/>
              </w:rPr>
              <w:t>20</w:t>
            </w:r>
          </w:p>
        </w:tc>
        <w:tc>
          <w:tcPr>
            <w:tcW w:w="1280" w:type="dxa"/>
            <w:tcBorders>
              <w:top w:val="nil"/>
              <w:left w:val="nil"/>
              <w:bottom w:val="nil"/>
              <w:right w:val="nil"/>
            </w:tcBorders>
            <w:vAlign w:val="bottom"/>
          </w:tcPr>
          <w:p w14:paraId="4054DC04" w14:textId="77777777" w:rsidR="00F8299B" w:rsidRPr="002D5B48" w:rsidRDefault="00F8299B" w:rsidP="00F8299B">
            <w:pPr>
              <w:rPr>
                <w:b/>
                <w:bCs/>
                <w:sz w:val="20"/>
              </w:rPr>
            </w:pPr>
            <w:r w:rsidRPr="002D5B48">
              <w:rPr>
                <w:b/>
                <w:bCs/>
                <w:sz w:val="20"/>
              </w:rPr>
              <w:t>GSE128050</w:t>
            </w:r>
          </w:p>
        </w:tc>
        <w:tc>
          <w:tcPr>
            <w:tcW w:w="1740" w:type="dxa"/>
            <w:tcBorders>
              <w:top w:val="nil"/>
              <w:left w:val="nil"/>
              <w:bottom w:val="nil"/>
              <w:right w:val="nil"/>
            </w:tcBorders>
            <w:shd w:val="clear" w:color="auto" w:fill="auto"/>
            <w:noWrap/>
            <w:vAlign w:val="bottom"/>
          </w:tcPr>
          <w:p w14:paraId="12896E81" w14:textId="77777777" w:rsidR="00F8299B" w:rsidRPr="002D5B48" w:rsidRDefault="003878E6" w:rsidP="00F8299B">
            <w:pPr>
              <w:rPr>
                <w:sz w:val="20"/>
              </w:rPr>
            </w:pPr>
            <w:r w:rsidRPr="002D5B48">
              <w:rPr>
                <w:sz w:val="20"/>
              </w:rPr>
              <w:t>Renders</w:t>
            </w:r>
            <w:r w:rsidRPr="002D5B48">
              <w:rPr>
                <w:sz w:val="20"/>
              </w:rPr>
              <w:fldChar w:fldCharType="begin"/>
            </w:r>
            <w:r w:rsidRPr="002D5B48">
              <w:rPr>
                <w:sz w:val="20"/>
              </w:rPr>
              <w:instrText xml:space="preserve"> ADDIN ZOTERO_ITEM CSL_CITATION {"citationID":"dFPz9vxB","properties":{"formattedCitation":"\\super 39\\nosupersub{}","plainCitation":"39","noteIndex":0},"citationItems":[{"id":432,"uris":["http://zotero.org/users/local/ebh37oKg/items/47MAWB4G"],"itemData":{"id":432,"type":"article-journal","abstract":"Haematopoietic stem cells (HSCs) are characterized by their self-renewal potential associated to dormancy. Here we identify the cell surface receptor neogenin-1 as specifically expressed in dormant HSCs. Loss of neogenin-1 initially leads to increased HSC expansion but subsequently to loss of self-renewal and premature exhaustion in vivo. Its ligand netrin-1 induces Egr1 expression and maintains quiescence and function of cultured HSCs in a Neo1 dependent manner. Produced by arteriolar endothelial and periarteriolar stromal cells, conditional netrin-1 deletion in the bone marrow niche reduces HSC numbers, quiescence and self-renewal, while overexpression increases quiescence in vivo. Ageing associated bone marrow remodelling leads to the decline of netrin-1 expression in niches and a compensatory but reversible upregulation of neogenin-1 on HSCs. Our study suggests that niche produced netrin-1 preserves HSC quiescence and self-renewal via neogenin-1 function. Decline of netrin-1 production during ageing leads to the gradual decrease of Neo1 mediated HSC self-renewal.","container-title":"Nature Communications","DOI":"10.1038/s41467-020-20801-0","ISSN":"2041-1723","issue":"1","journalAbbreviation":"Nat Commun","language":"eng","note":"PMID: 33504783\nPMCID: PMC7840807","page":"608","source":"PubMed","title":"Niche derived netrin-1 regulates hematopoietic stem cell dormancy via its receptor neogenin-1","volume":"12","author":[{"family":"Renders","given":"Simon"},{"family":"Svendsen","given":"Arthur Flohr"},{"family":"Panten","given":"Jasper"},{"family":"Rama","given":"Nicolas"},{"family":"Maryanovich","given":"Maria"},{"family":"Sommerkamp","given":"Pia"},{"family":"Ladel","given":"Luisa"},{"family":"Redavid","given":"Anna Rita"},{"family":"Gibert","given":"Benjamin"},{"family":"Lazare","given":"Seka"},{"family":"Ducarouge","given":"Benjamin"},{"family":"Schönberger","given":"Katharina"},{"family":"Narr","given":"Andreas"},{"family":"Tourbez","given":"Manon"},{"family":"Dethmers-Ausema","given":"Bertien"},{"family":"Zwart","given":"Erik"},{"family":"Hotz-Wagenblatt","given":"Agnes"},{"family":"Zhang","given":"Dachuan"},{"family":"Korn","given":"Claudia"},{"family":"Zeisberger","given":"Petra"},{"family":"Przybylla","given":"Adriana"},{"family":"Sohn","given":"Markus"},{"family":"Mendez-Ferrer","given":"Simon"},{"family":"Heikenwälder","given":"Mathias"},{"family":"Brune","given":"Maik"},{"family":"Klimmeck","given":"Daniel"},{"family":"Bystrykh","given":"Leonid"},{"family":"Frenette","given":"Paul S."},{"family":"Mehlen","given":"Patrick"},{"family":"Haan","given":"Gerald","non-dropping-particle":"de"},{"family":"Cabezas-Wallscheid","given":"Nina"},{"family":"Trumpp","given":"Andreas"}],"issued":{"date-parts":[["2021",1,27]]}}}],"schema":"https://github.com/citation-style-language/schema/raw/master/csl-citation.json"} </w:instrText>
            </w:r>
            <w:r w:rsidRPr="002D5B48">
              <w:rPr>
                <w:sz w:val="20"/>
              </w:rPr>
              <w:fldChar w:fldCharType="separate"/>
            </w:r>
            <w:r w:rsidRPr="002D5B48">
              <w:rPr>
                <w:rFonts w:cs="Calibri"/>
                <w:kern w:val="0"/>
                <w:sz w:val="20"/>
                <w:vertAlign w:val="superscript"/>
              </w:rPr>
              <w:t>39</w:t>
            </w:r>
            <w:r w:rsidRPr="002D5B48">
              <w:rPr>
                <w:sz w:val="20"/>
              </w:rPr>
              <w:fldChar w:fldCharType="end"/>
            </w:r>
          </w:p>
        </w:tc>
        <w:tc>
          <w:tcPr>
            <w:tcW w:w="1325" w:type="dxa"/>
            <w:tcBorders>
              <w:top w:val="nil"/>
              <w:left w:val="nil"/>
              <w:bottom w:val="nil"/>
              <w:right w:val="nil"/>
            </w:tcBorders>
            <w:shd w:val="clear" w:color="auto" w:fill="auto"/>
            <w:noWrap/>
            <w:vAlign w:val="bottom"/>
          </w:tcPr>
          <w:p w14:paraId="3D6117AA" w14:textId="77777777" w:rsidR="00F8299B" w:rsidRPr="002D5B48" w:rsidRDefault="00F8299B" w:rsidP="00F8299B">
            <w:pPr>
              <w:rPr>
                <w:sz w:val="20"/>
              </w:rPr>
            </w:pPr>
            <w:r w:rsidRPr="002D5B48">
              <w:rPr>
                <w:sz w:val="20"/>
              </w:rPr>
              <w:t>33504783</w:t>
            </w:r>
          </w:p>
        </w:tc>
        <w:tc>
          <w:tcPr>
            <w:tcW w:w="1094" w:type="dxa"/>
            <w:tcBorders>
              <w:top w:val="nil"/>
              <w:left w:val="nil"/>
              <w:bottom w:val="nil"/>
              <w:right w:val="nil"/>
            </w:tcBorders>
            <w:shd w:val="clear" w:color="auto" w:fill="auto"/>
            <w:noWrap/>
            <w:vAlign w:val="bottom"/>
            <w:hideMark/>
          </w:tcPr>
          <w:p w14:paraId="50D5B591"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31A3493A" w14:textId="77777777" w:rsidR="00F8299B" w:rsidRPr="002D5B48" w:rsidRDefault="00F8299B" w:rsidP="00F8299B">
            <w:pPr>
              <w:rPr>
                <w:sz w:val="20"/>
              </w:rPr>
            </w:pPr>
            <w:r w:rsidRPr="002D5B48">
              <w:rPr>
                <w:sz w:val="20"/>
              </w:rPr>
              <w:t xml:space="preserve">4-5 </w:t>
            </w:r>
            <w:proofErr w:type="spellStart"/>
            <w:r w:rsidRPr="002D5B48">
              <w:rPr>
                <w:sz w:val="20"/>
              </w:rPr>
              <w:t>mo</w:t>
            </w:r>
            <w:proofErr w:type="spellEnd"/>
          </w:p>
        </w:tc>
        <w:tc>
          <w:tcPr>
            <w:tcW w:w="1200" w:type="dxa"/>
            <w:tcBorders>
              <w:top w:val="nil"/>
              <w:left w:val="nil"/>
              <w:bottom w:val="nil"/>
              <w:right w:val="nil"/>
            </w:tcBorders>
            <w:shd w:val="clear" w:color="auto" w:fill="auto"/>
            <w:noWrap/>
            <w:vAlign w:val="bottom"/>
            <w:hideMark/>
          </w:tcPr>
          <w:p w14:paraId="603D0FD5" w14:textId="77777777" w:rsidR="00F8299B" w:rsidRPr="002D5B48" w:rsidRDefault="00F8299B" w:rsidP="00F8299B">
            <w:pPr>
              <w:rPr>
                <w:sz w:val="20"/>
              </w:rPr>
            </w:pPr>
            <w:r w:rsidRPr="002D5B48">
              <w:rPr>
                <w:sz w:val="20"/>
              </w:rPr>
              <w:t xml:space="preserve">20-24 </w:t>
            </w:r>
            <w:proofErr w:type="spellStart"/>
            <w:r w:rsidRPr="002D5B48">
              <w:rPr>
                <w:sz w:val="20"/>
              </w:rPr>
              <w:t>mo</w:t>
            </w:r>
            <w:proofErr w:type="spellEnd"/>
          </w:p>
        </w:tc>
        <w:tc>
          <w:tcPr>
            <w:tcW w:w="1665" w:type="dxa"/>
            <w:tcBorders>
              <w:top w:val="nil"/>
              <w:left w:val="nil"/>
              <w:bottom w:val="nil"/>
              <w:right w:val="nil"/>
            </w:tcBorders>
            <w:shd w:val="clear" w:color="auto" w:fill="auto"/>
            <w:noWrap/>
            <w:vAlign w:val="bottom"/>
            <w:hideMark/>
          </w:tcPr>
          <w:p w14:paraId="21954F73" w14:textId="77777777" w:rsidR="00F8299B" w:rsidRPr="002D5B48" w:rsidRDefault="00F8299B" w:rsidP="00F8299B">
            <w:pPr>
              <w:rPr>
                <w:sz w:val="20"/>
              </w:rPr>
            </w:pPr>
          </w:p>
        </w:tc>
      </w:tr>
      <w:tr w:rsidR="002D5B48" w:rsidRPr="002D5B48" w14:paraId="279F88B6"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718B42F2" w14:textId="353EAE08" w:rsidR="00F8299B" w:rsidRPr="002D5B48" w:rsidRDefault="00F8299B" w:rsidP="00F8299B">
            <w:pPr>
              <w:rPr>
                <w:sz w:val="20"/>
              </w:rPr>
            </w:pPr>
            <w:r w:rsidRPr="002D5B48">
              <w:rPr>
                <w:sz w:val="20"/>
              </w:rPr>
              <w:t>Young</w:t>
            </w:r>
          </w:p>
        </w:tc>
        <w:tc>
          <w:tcPr>
            <w:tcW w:w="703" w:type="dxa"/>
            <w:tcBorders>
              <w:top w:val="nil"/>
              <w:left w:val="nil"/>
              <w:bottom w:val="nil"/>
              <w:right w:val="nil"/>
            </w:tcBorders>
            <w:shd w:val="clear" w:color="auto" w:fill="auto"/>
            <w:noWrap/>
            <w:vAlign w:val="bottom"/>
            <w:hideMark/>
          </w:tcPr>
          <w:p w14:paraId="069433A1" w14:textId="77777777" w:rsidR="00F8299B" w:rsidRPr="002D5B48" w:rsidRDefault="00F8299B" w:rsidP="00F8299B">
            <w:pPr>
              <w:rPr>
                <w:sz w:val="20"/>
              </w:rPr>
            </w:pPr>
            <w:r w:rsidRPr="002D5B48">
              <w:rPr>
                <w:sz w:val="20"/>
              </w:rPr>
              <w:t>2020</w:t>
            </w:r>
          </w:p>
        </w:tc>
        <w:tc>
          <w:tcPr>
            <w:tcW w:w="1280" w:type="dxa"/>
            <w:tcBorders>
              <w:top w:val="nil"/>
              <w:left w:val="nil"/>
              <w:bottom w:val="nil"/>
              <w:right w:val="nil"/>
            </w:tcBorders>
            <w:vAlign w:val="bottom"/>
          </w:tcPr>
          <w:p w14:paraId="7E8D68BF" w14:textId="77777777" w:rsidR="00F8299B" w:rsidRPr="002D5B48" w:rsidRDefault="00F8299B" w:rsidP="00F8299B">
            <w:pPr>
              <w:rPr>
                <w:b/>
                <w:bCs/>
                <w:sz w:val="20"/>
              </w:rPr>
            </w:pPr>
            <w:r w:rsidRPr="002D5B48">
              <w:rPr>
                <w:b/>
                <w:bCs/>
                <w:sz w:val="20"/>
              </w:rPr>
              <w:t>GSE151333</w:t>
            </w:r>
          </w:p>
        </w:tc>
        <w:tc>
          <w:tcPr>
            <w:tcW w:w="1740" w:type="dxa"/>
            <w:tcBorders>
              <w:top w:val="nil"/>
              <w:left w:val="nil"/>
              <w:bottom w:val="nil"/>
              <w:right w:val="nil"/>
            </w:tcBorders>
            <w:shd w:val="clear" w:color="auto" w:fill="auto"/>
            <w:noWrap/>
            <w:vAlign w:val="bottom"/>
          </w:tcPr>
          <w:p w14:paraId="11F86F9C" w14:textId="395F5691" w:rsidR="00F8299B" w:rsidRPr="002D5B48" w:rsidRDefault="002D5B48" w:rsidP="00F8299B">
            <w:pPr>
              <w:rPr>
                <w:sz w:val="20"/>
              </w:rPr>
            </w:pPr>
            <w:r w:rsidRPr="002D5B48">
              <w:rPr>
                <w:sz w:val="20"/>
              </w:rPr>
              <w:t>Young</w:t>
            </w:r>
            <w:r w:rsidRPr="002D5B48">
              <w:rPr>
                <w:sz w:val="20"/>
              </w:rPr>
              <w:fldChar w:fldCharType="begin"/>
            </w:r>
            <w:r w:rsidRPr="002D5B48">
              <w:rPr>
                <w:sz w:val="20"/>
              </w:rPr>
              <w:instrText xml:space="preserve"> ADDIN ZOTERO_ITEM CSL_CITATION {"citationID":"HgB7cst6","properties":{"formattedCitation":"\\super 22\\nosupersub{}","plainCitation":"22","noteIndex":0},"citationItems":[{"id":468,"uris":["http://zotero.org/users/local/ebh37oKg/items/ASLVY2CU"],"itemData":{"id":468,"type":"article-journal","container-title":"Cell Stem Cell","DOI":"10.1016/j.stem.2021.03.017","ISSN":"1934-5909, 1875-9777","issue":"8","journalAbbreviation":"Cell Stem Cell","language":"English","note":"publisher: Elsevier\nPMID: 33848471","page":"1473-1482.e7","source":"www.cell.com","title":"Decline in IGF1 in the bone marrow microenvironment initiates hematopoietic stem cell aging","volume":"28","author":[{"family":"Young","given":"Kira"},{"family":"Eudy","given":"Elizabeth"},{"family":"Bell","given":"Rebecca"},{"family":"Loberg","given":"Matthew A."},{"family":"Stearns","given":"Tim"},{"family":"Sharma","given":"Devyani"},{"family":"Velten","given":"Lars"},{"family":"Haas","given":"Simon"},{"family":"Filippi","given":"Marie-Dominique"},{"family":"Trowbridge","given":"Jennifer J."}],"issued":{"date-parts":[["2021",8,5]]}}}],"schema":"https://github.com/citation-style-language/schema/raw/master/csl-citation.json"} </w:instrText>
            </w:r>
            <w:r w:rsidRPr="002D5B48">
              <w:rPr>
                <w:sz w:val="20"/>
              </w:rPr>
              <w:fldChar w:fldCharType="separate"/>
            </w:r>
            <w:r w:rsidRPr="002D5B48">
              <w:rPr>
                <w:rFonts w:cs="Calibri"/>
                <w:kern w:val="0"/>
                <w:sz w:val="20"/>
                <w:vertAlign w:val="superscript"/>
              </w:rPr>
              <w:t>22</w:t>
            </w:r>
            <w:r w:rsidRPr="002D5B48">
              <w:rPr>
                <w:sz w:val="20"/>
              </w:rPr>
              <w:fldChar w:fldCharType="end"/>
            </w:r>
          </w:p>
        </w:tc>
        <w:tc>
          <w:tcPr>
            <w:tcW w:w="1325" w:type="dxa"/>
            <w:tcBorders>
              <w:top w:val="nil"/>
              <w:left w:val="nil"/>
              <w:bottom w:val="nil"/>
              <w:right w:val="nil"/>
            </w:tcBorders>
            <w:shd w:val="clear" w:color="auto" w:fill="auto"/>
            <w:noWrap/>
            <w:vAlign w:val="bottom"/>
          </w:tcPr>
          <w:p w14:paraId="02DE6FD8" w14:textId="77777777" w:rsidR="00F8299B" w:rsidRPr="002D5B48" w:rsidRDefault="00F8299B" w:rsidP="00F8299B">
            <w:pPr>
              <w:rPr>
                <w:sz w:val="20"/>
              </w:rPr>
            </w:pPr>
            <w:r w:rsidRPr="002D5B48">
              <w:rPr>
                <w:sz w:val="20"/>
              </w:rPr>
              <w:t>33848471</w:t>
            </w:r>
          </w:p>
        </w:tc>
        <w:tc>
          <w:tcPr>
            <w:tcW w:w="1094" w:type="dxa"/>
            <w:tcBorders>
              <w:top w:val="nil"/>
              <w:left w:val="nil"/>
              <w:bottom w:val="nil"/>
              <w:right w:val="nil"/>
            </w:tcBorders>
            <w:shd w:val="clear" w:color="auto" w:fill="auto"/>
            <w:noWrap/>
            <w:vAlign w:val="bottom"/>
            <w:hideMark/>
          </w:tcPr>
          <w:p w14:paraId="2A755F7A"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73DC9307" w14:textId="77777777" w:rsidR="00F8299B" w:rsidRPr="002D5B48" w:rsidRDefault="00F8299B" w:rsidP="00F8299B">
            <w:pPr>
              <w:rPr>
                <w:sz w:val="20"/>
              </w:rPr>
            </w:pPr>
            <w:r w:rsidRPr="002D5B48">
              <w:rPr>
                <w:sz w:val="20"/>
              </w:rPr>
              <w:t>2</w:t>
            </w:r>
          </w:p>
        </w:tc>
        <w:tc>
          <w:tcPr>
            <w:tcW w:w="1200" w:type="dxa"/>
            <w:tcBorders>
              <w:top w:val="nil"/>
              <w:left w:val="nil"/>
              <w:bottom w:val="nil"/>
              <w:right w:val="nil"/>
            </w:tcBorders>
            <w:shd w:val="clear" w:color="auto" w:fill="auto"/>
            <w:noWrap/>
            <w:vAlign w:val="bottom"/>
            <w:hideMark/>
          </w:tcPr>
          <w:p w14:paraId="70015DDD" w14:textId="77777777" w:rsidR="00F8299B" w:rsidRPr="002D5B48" w:rsidRDefault="00F8299B" w:rsidP="00F8299B">
            <w:pPr>
              <w:rPr>
                <w:sz w:val="20"/>
              </w:rPr>
            </w:pPr>
            <w:r w:rsidRPr="002D5B48">
              <w:rPr>
                <w:sz w:val="20"/>
              </w:rPr>
              <w:t>22</w:t>
            </w:r>
          </w:p>
        </w:tc>
        <w:tc>
          <w:tcPr>
            <w:tcW w:w="1665" w:type="dxa"/>
            <w:tcBorders>
              <w:top w:val="nil"/>
              <w:left w:val="nil"/>
              <w:bottom w:val="nil"/>
              <w:right w:val="nil"/>
            </w:tcBorders>
            <w:shd w:val="clear" w:color="auto" w:fill="auto"/>
            <w:noWrap/>
            <w:vAlign w:val="bottom"/>
            <w:hideMark/>
          </w:tcPr>
          <w:p w14:paraId="7F7ADDE5" w14:textId="77777777" w:rsidR="00F8299B" w:rsidRPr="002D5B48" w:rsidRDefault="00F8299B" w:rsidP="00F8299B">
            <w:pPr>
              <w:rPr>
                <w:sz w:val="20"/>
              </w:rPr>
            </w:pPr>
            <w:r w:rsidRPr="002D5B48">
              <w:rPr>
                <w:sz w:val="20"/>
              </w:rPr>
              <w:t>2,12,22</w:t>
            </w:r>
          </w:p>
        </w:tc>
      </w:tr>
      <w:tr w:rsidR="00FF028D" w:rsidRPr="002D5B48" w14:paraId="08E255E7" w14:textId="77777777" w:rsidTr="00FF028D">
        <w:trPr>
          <w:trHeight w:val="320"/>
        </w:trPr>
        <w:tc>
          <w:tcPr>
            <w:tcW w:w="1818" w:type="dxa"/>
            <w:gridSpan w:val="2"/>
            <w:tcBorders>
              <w:top w:val="nil"/>
              <w:left w:val="nil"/>
              <w:bottom w:val="nil"/>
              <w:right w:val="nil"/>
            </w:tcBorders>
            <w:shd w:val="clear" w:color="auto" w:fill="auto"/>
            <w:noWrap/>
            <w:vAlign w:val="bottom"/>
            <w:hideMark/>
          </w:tcPr>
          <w:p w14:paraId="03C1B950" w14:textId="77777777" w:rsidR="00FF028D" w:rsidRPr="002D5B48" w:rsidRDefault="00FF028D" w:rsidP="00E407A3">
            <w:pPr>
              <w:rPr>
                <w:sz w:val="20"/>
              </w:rPr>
            </w:pPr>
            <w:r w:rsidRPr="002D5B48">
              <w:rPr>
                <w:sz w:val="20"/>
              </w:rPr>
              <w:t>Young</w:t>
            </w:r>
          </w:p>
        </w:tc>
        <w:tc>
          <w:tcPr>
            <w:tcW w:w="703" w:type="dxa"/>
            <w:tcBorders>
              <w:top w:val="nil"/>
              <w:left w:val="nil"/>
              <w:bottom w:val="nil"/>
              <w:right w:val="nil"/>
            </w:tcBorders>
            <w:shd w:val="clear" w:color="auto" w:fill="auto"/>
            <w:noWrap/>
            <w:vAlign w:val="bottom"/>
            <w:hideMark/>
          </w:tcPr>
          <w:p w14:paraId="39EED86D" w14:textId="77777777" w:rsidR="00FF028D" w:rsidRPr="002D5B48" w:rsidRDefault="00FF028D" w:rsidP="00E407A3">
            <w:pPr>
              <w:rPr>
                <w:sz w:val="20"/>
              </w:rPr>
            </w:pPr>
            <w:r w:rsidRPr="002D5B48">
              <w:rPr>
                <w:sz w:val="20"/>
              </w:rPr>
              <w:t>202</w:t>
            </w:r>
            <w:r>
              <w:rPr>
                <w:sz w:val="20"/>
              </w:rPr>
              <w:t>0</w:t>
            </w:r>
          </w:p>
        </w:tc>
        <w:tc>
          <w:tcPr>
            <w:tcW w:w="1280" w:type="dxa"/>
            <w:tcBorders>
              <w:top w:val="nil"/>
              <w:left w:val="nil"/>
              <w:bottom w:val="nil"/>
              <w:right w:val="nil"/>
            </w:tcBorders>
            <w:vAlign w:val="bottom"/>
          </w:tcPr>
          <w:p w14:paraId="1AF1A770" w14:textId="77777777" w:rsidR="00FF028D" w:rsidRPr="002D5B48" w:rsidRDefault="00FF028D" w:rsidP="00E407A3">
            <w:pPr>
              <w:rPr>
                <w:sz w:val="20"/>
              </w:rPr>
            </w:pPr>
            <w:r w:rsidRPr="002D5B48">
              <w:rPr>
                <w:sz w:val="20"/>
              </w:rPr>
              <w:t>GSE144934</w:t>
            </w:r>
          </w:p>
        </w:tc>
        <w:tc>
          <w:tcPr>
            <w:tcW w:w="1740" w:type="dxa"/>
            <w:tcBorders>
              <w:top w:val="nil"/>
              <w:left w:val="nil"/>
              <w:bottom w:val="nil"/>
              <w:right w:val="nil"/>
            </w:tcBorders>
            <w:shd w:val="clear" w:color="auto" w:fill="auto"/>
            <w:noWrap/>
            <w:vAlign w:val="bottom"/>
          </w:tcPr>
          <w:p w14:paraId="43B1455C" w14:textId="77777777" w:rsidR="00FF028D" w:rsidRPr="002D5B48" w:rsidRDefault="00FF028D" w:rsidP="00E407A3">
            <w:pPr>
              <w:rPr>
                <w:sz w:val="20"/>
              </w:rPr>
            </w:pPr>
            <w:r>
              <w:rPr>
                <w:sz w:val="20"/>
              </w:rPr>
              <w:t>Young</w:t>
            </w:r>
          </w:p>
        </w:tc>
        <w:tc>
          <w:tcPr>
            <w:tcW w:w="1325" w:type="dxa"/>
            <w:tcBorders>
              <w:top w:val="nil"/>
              <w:left w:val="nil"/>
              <w:bottom w:val="nil"/>
              <w:right w:val="nil"/>
            </w:tcBorders>
            <w:shd w:val="clear" w:color="auto" w:fill="auto"/>
            <w:noWrap/>
            <w:vAlign w:val="bottom"/>
          </w:tcPr>
          <w:p w14:paraId="02BEB3D1" w14:textId="77777777" w:rsidR="00FF028D" w:rsidRPr="002D5B48" w:rsidRDefault="00FF028D" w:rsidP="00E407A3">
            <w:pPr>
              <w:rPr>
                <w:sz w:val="20"/>
              </w:rPr>
            </w:pPr>
            <w:r w:rsidRPr="00FA0BED">
              <w:rPr>
                <w:sz w:val="20"/>
              </w:rPr>
              <w:t>33848471</w:t>
            </w:r>
          </w:p>
        </w:tc>
        <w:tc>
          <w:tcPr>
            <w:tcW w:w="1094" w:type="dxa"/>
            <w:tcBorders>
              <w:top w:val="nil"/>
              <w:left w:val="nil"/>
              <w:bottom w:val="nil"/>
              <w:right w:val="nil"/>
            </w:tcBorders>
            <w:shd w:val="clear" w:color="auto" w:fill="auto"/>
            <w:noWrap/>
            <w:vAlign w:val="bottom"/>
            <w:hideMark/>
          </w:tcPr>
          <w:p w14:paraId="690500C9" w14:textId="77777777" w:rsidR="00FF028D" w:rsidRPr="002D5B48" w:rsidRDefault="00FF028D" w:rsidP="00E407A3">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7FFC1122" w14:textId="77777777" w:rsidR="00FF028D" w:rsidRPr="002D5B48" w:rsidRDefault="00FF028D" w:rsidP="00E407A3">
            <w:pPr>
              <w:rPr>
                <w:sz w:val="20"/>
              </w:rPr>
            </w:pPr>
          </w:p>
        </w:tc>
        <w:tc>
          <w:tcPr>
            <w:tcW w:w="1200" w:type="dxa"/>
            <w:tcBorders>
              <w:top w:val="nil"/>
              <w:left w:val="nil"/>
              <w:bottom w:val="nil"/>
              <w:right w:val="nil"/>
            </w:tcBorders>
            <w:shd w:val="clear" w:color="auto" w:fill="auto"/>
            <w:noWrap/>
            <w:vAlign w:val="bottom"/>
            <w:hideMark/>
          </w:tcPr>
          <w:p w14:paraId="042A4EB3" w14:textId="77777777" w:rsidR="00FF028D" w:rsidRPr="002D5B48" w:rsidRDefault="00FF028D" w:rsidP="00E407A3">
            <w:pPr>
              <w:rPr>
                <w:sz w:val="20"/>
              </w:rPr>
            </w:pPr>
          </w:p>
        </w:tc>
        <w:tc>
          <w:tcPr>
            <w:tcW w:w="1665" w:type="dxa"/>
            <w:tcBorders>
              <w:top w:val="nil"/>
              <w:left w:val="nil"/>
              <w:bottom w:val="nil"/>
              <w:right w:val="nil"/>
            </w:tcBorders>
            <w:shd w:val="clear" w:color="auto" w:fill="auto"/>
            <w:noWrap/>
            <w:vAlign w:val="bottom"/>
            <w:hideMark/>
          </w:tcPr>
          <w:p w14:paraId="6619DA8E" w14:textId="77777777" w:rsidR="00FF028D" w:rsidRPr="002D5B48" w:rsidRDefault="00FF028D" w:rsidP="00E407A3">
            <w:pPr>
              <w:rPr>
                <w:sz w:val="20"/>
              </w:rPr>
            </w:pPr>
            <w:r w:rsidRPr="002D5B48">
              <w:rPr>
                <w:sz w:val="20"/>
              </w:rPr>
              <w:t>young, mid-aged</w:t>
            </w:r>
          </w:p>
        </w:tc>
      </w:tr>
      <w:tr w:rsidR="002D5B48" w:rsidRPr="002D5B48" w14:paraId="7C25534A"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2E4C84F6" w14:textId="40A74897" w:rsidR="00F8299B" w:rsidRPr="002D5B48" w:rsidRDefault="00F8299B" w:rsidP="00F8299B">
            <w:pPr>
              <w:rPr>
                <w:sz w:val="20"/>
              </w:rPr>
            </w:pPr>
            <w:r w:rsidRPr="002D5B48">
              <w:rPr>
                <w:sz w:val="20"/>
              </w:rPr>
              <w:t>Itokawa</w:t>
            </w:r>
          </w:p>
        </w:tc>
        <w:tc>
          <w:tcPr>
            <w:tcW w:w="703" w:type="dxa"/>
            <w:tcBorders>
              <w:top w:val="nil"/>
              <w:left w:val="nil"/>
              <w:bottom w:val="nil"/>
              <w:right w:val="nil"/>
            </w:tcBorders>
            <w:shd w:val="clear" w:color="auto" w:fill="auto"/>
            <w:noWrap/>
            <w:vAlign w:val="bottom"/>
            <w:hideMark/>
          </w:tcPr>
          <w:p w14:paraId="489598D9" w14:textId="77777777" w:rsidR="00F8299B" w:rsidRPr="002D5B48" w:rsidRDefault="00F8299B" w:rsidP="00F8299B">
            <w:pPr>
              <w:rPr>
                <w:sz w:val="20"/>
              </w:rPr>
            </w:pPr>
            <w:r w:rsidRPr="002D5B48">
              <w:rPr>
                <w:sz w:val="20"/>
              </w:rPr>
              <w:t>2020</w:t>
            </w:r>
          </w:p>
        </w:tc>
        <w:tc>
          <w:tcPr>
            <w:tcW w:w="1280" w:type="dxa"/>
            <w:tcBorders>
              <w:top w:val="nil"/>
              <w:left w:val="nil"/>
              <w:bottom w:val="nil"/>
              <w:right w:val="nil"/>
            </w:tcBorders>
            <w:vAlign w:val="bottom"/>
          </w:tcPr>
          <w:p w14:paraId="2E15A19D" w14:textId="77777777" w:rsidR="00F8299B" w:rsidRPr="002D5B48" w:rsidRDefault="00F8299B" w:rsidP="00F8299B">
            <w:pPr>
              <w:rPr>
                <w:b/>
                <w:bCs/>
                <w:sz w:val="20"/>
              </w:rPr>
            </w:pPr>
            <w:r w:rsidRPr="002D5B48">
              <w:rPr>
                <w:b/>
                <w:bCs/>
                <w:sz w:val="20"/>
              </w:rPr>
              <w:t>GSE162607</w:t>
            </w:r>
          </w:p>
        </w:tc>
        <w:tc>
          <w:tcPr>
            <w:tcW w:w="1740" w:type="dxa"/>
            <w:tcBorders>
              <w:top w:val="nil"/>
              <w:left w:val="nil"/>
              <w:bottom w:val="nil"/>
              <w:right w:val="nil"/>
            </w:tcBorders>
            <w:shd w:val="clear" w:color="auto" w:fill="auto"/>
            <w:noWrap/>
            <w:vAlign w:val="bottom"/>
          </w:tcPr>
          <w:p w14:paraId="0EE5C347" w14:textId="77777777" w:rsidR="00F8299B" w:rsidRPr="002D5B48" w:rsidRDefault="003878E6" w:rsidP="00F8299B">
            <w:pPr>
              <w:rPr>
                <w:sz w:val="20"/>
              </w:rPr>
            </w:pPr>
            <w:r w:rsidRPr="002D5B48">
              <w:rPr>
                <w:sz w:val="20"/>
              </w:rPr>
              <w:t>Itokawa</w:t>
            </w:r>
            <w:r w:rsidRPr="002D5B48">
              <w:rPr>
                <w:sz w:val="20"/>
              </w:rPr>
              <w:fldChar w:fldCharType="begin"/>
            </w:r>
            <w:r w:rsidRPr="002D5B48">
              <w:rPr>
                <w:sz w:val="20"/>
              </w:rPr>
              <w:instrText xml:space="preserve"> ADDIN ZOTERO_ITEM CSL_CITATION {"citationID":"f5IIMHm5","properties":{"formattedCitation":"\\super 17\\nosupersub{}","plainCitation":"17","noteIndex":0},"citationItems":[{"id":360,"uris":["http://zotero.org/users/local/ebh37oKg/items/TE2W2PRB"],"itemData":{"id":360,"type":"article-journal","abstract":"Hematopoietic stem cells (HSCs) exhibit considerable cell-intrinsic changes with age. Here, we present an integrated analysis of transcriptome and chromatin accessibility of aged HSCs and downstream progenitors. Alterations in chromatin accessibility preferentially take place in HSCs with aging, which gradually resolve with differentiation. Differentially open accessible regions (open DARs) in aged HSCs are enriched for enhancers and show enrichment of binding motifs of the STAT, ATF, and CNC family transcription factors that are activated in response to external stresses. Genes linked to open DARs show significantly higher levels of basal expression and their expression reaches significantly higher peaks after cytokine stimulation in aged HSCs than in young HSCs, suggesting that open DARs contribute to augmented transcriptional responses under stress conditions. However, a short-term stress challenge that mimics infection is not sufficient to induce persistent chromatin accessibility changes in young HSCs. These results indicate that the ongoing and/or history of exposure to external stresses may be epigenetically inscribed in HSCs to augment their responses to external stimuli.","container-title":"Nature Communications","DOI":"10.1038/s41467-022-30440-2","ISSN":"2041-1723","issue":"1","journalAbbreviation":"Nat Commun","language":"en","license":"2022 The Author(s)","note":"number: 1\npublisher: Nature Publishing Group","page":"2691","source":"www.nature.com","title":"Epigenetic traits inscribed in chromatin accessibility in aged hematopoietic stem cells","volume":"13","author":[{"family":"Itokawa","given":"Naoki"},{"family":"Oshima","given":"Motohiko"},{"family":"Koide","given":"Shuhei"},{"family":"Takayama","given":"Naoya"},{"family":"Kuribayashi","given":"Wakako"},{"family":"Nakajima-Takagi","given":"Yaeko"},{"family":"Aoyama","given":"Kazumasa"},{"family":"Yamazaki","given":"Satoshi"},{"family":"Yamaguchi","given":"Kiyoshi"},{"family":"Furukawa","given":"Yoichi"},{"family":"Eto","given":"Koji"},{"family":"Iwama","given":"Atsushi"}],"issued":{"date-parts":[["2022",5,16]]}}}],"schema":"https://github.com/citation-style-language/schema/raw/master/csl-citation.json"} </w:instrText>
            </w:r>
            <w:r w:rsidRPr="002D5B48">
              <w:rPr>
                <w:sz w:val="20"/>
              </w:rPr>
              <w:fldChar w:fldCharType="separate"/>
            </w:r>
            <w:r w:rsidRPr="002D5B48">
              <w:rPr>
                <w:rFonts w:cs="Calibri"/>
                <w:kern w:val="0"/>
                <w:sz w:val="20"/>
                <w:vertAlign w:val="superscript"/>
              </w:rPr>
              <w:t>17</w:t>
            </w:r>
            <w:r w:rsidRPr="002D5B48">
              <w:rPr>
                <w:sz w:val="20"/>
              </w:rPr>
              <w:fldChar w:fldCharType="end"/>
            </w:r>
          </w:p>
        </w:tc>
        <w:tc>
          <w:tcPr>
            <w:tcW w:w="1325" w:type="dxa"/>
            <w:tcBorders>
              <w:top w:val="nil"/>
              <w:left w:val="nil"/>
              <w:bottom w:val="nil"/>
              <w:right w:val="nil"/>
            </w:tcBorders>
            <w:shd w:val="clear" w:color="auto" w:fill="auto"/>
            <w:noWrap/>
            <w:vAlign w:val="bottom"/>
          </w:tcPr>
          <w:p w14:paraId="1F8139F6" w14:textId="77777777" w:rsidR="00F8299B" w:rsidRPr="002D5B48" w:rsidRDefault="00F8299B" w:rsidP="00F8299B">
            <w:pPr>
              <w:rPr>
                <w:sz w:val="20"/>
              </w:rPr>
            </w:pPr>
            <w:r w:rsidRPr="002D5B48">
              <w:rPr>
                <w:sz w:val="20"/>
              </w:rPr>
              <w:t>35577813</w:t>
            </w:r>
          </w:p>
        </w:tc>
        <w:tc>
          <w:tcPr>
            <w:tcW w:w="1094" w:type="dxa"/>
            <w:tcBorders>
              <w:top w:val="nil"/>
              <w:left w:val="nil"/>
              <w:bottom w:val="nil"/>
              <w:right w:val="nil"/>
            </w:tcBorders>
            <w:shd w:val="clear" w:color="auto" w:fill="auto"/>
            <w:noWrap/>
            <w:vAlign w:val="bottom"/>
            <w:hideMark/>
          </w:tcPr>
          <w:p w14:paraId="3B994A90"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02CE58FF" w14:textId="77777777" w:rsidR="00F8299B" w:rsidRPr="002D5B48" w:rsidRDefault="00F8299B" w:rsidP="00F8299B">
            <w:pPr>
              <w:rPr>
                <w:sz w:val="20"/>
              </w:rPr>
            </w:pPr>
            <w:r w:rsidRPr="002D5B48">
              <w:rPr>
                <w:sz w:val="20"/>
              </w:rPr>
              <w:t>2.3</w:t>
            </w:r>
          </w:p>
        </w:tc>
        <w:tc>
          <w:tcPr>
            <w:tcW w:w="1200" w:type="dxa"/>
            <w:tcBorders>
              <w:top w:val="nil"/>
              <w:left w:val="nil"/>
              <w:bottom w:val="nil"/>
              <w:right w:val="nil"/>
            </w:tcBorders>
            <w:shd w:val="clear" w:color="auto" w:fill="auto"/>
            <w:noWrap/>
            <w:vAlign w:val="bottom"/>
            <w:hideMark/>
          </w:tcPr>
          <w:p w14:paraId="4138EA94" w14:textId="77777777" w:rsidR="00F8299B" w:rsidRPr="002D5B48" w:rsidRDefault="00F8299B" w:rsidP="00F8299B">
            <w:pPr>
              <w:rPr>
                <w:sz w:val="20"/>
              </w:rPr>
            </w:pPr>
            <w:r w:rsidRPr="002D5B48">
              <w:rPr>
                <w:sz w:val="20"/>
              </w:rPr>
              <w:t>20</w:t>
            </w:r>
          </w:p>
        </w:tc>
        <w:tc>
          <w:tcPr>
            <w:tcW w:w="1665" w:type="dxa"/>
            <w:tcBorders>
              <w:top w:val="nil"/>
              <w:left w:val="nil"/>
              <w:bottom w:val="nil"/>
              <w:right w:val="nil"/>
            </w:tcBorders>
            <w:shd w:val="clear" w:color="auto" w:fill="auto"/>
            <w:noWrap/>
            <w:vAlign w:val="bottom"/>
            <w:hideMark/>
          </w:tcPr>
          <w:p w14:paraId="3F8C1599" w14:textId="77777777" w:rsidR="00F8299B" w:rsidRPr="002D5B48" w:rsidRDefault="00F8299B" w:rsidP="00F8299B">
            <w:pPr>
              <w:rPr>
                <w:sz w:val="20"/>
              </w:rPr>
            </w:pPr>
            <w:r w:rsidRPr="002D5B48">
              <w:rPr>
                <w:sz w:val="20"/>
              </w:rPr>
              <w:t>2.3, 20</w:t>
            </w:r>
          </w:p>
        </w:tc>
      </w:tr>
      <w:tr w:rsidR="002D5B48" w:rsidRPr="002D5B48" w14:paraId="0E395A9F"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3EF92D60" w14:textId="6FDB2C03" w:rsidR="00F8299B" w:rsidRPr="002D5B48" w:rsidRDefault="00F8299B" w:rsidP="00F8299B">
            <w:pPr>
              <w:rPr>
                <w:sz w:val="20"/>
              </w:rPr>
            </w:pPr>
            <w:r w:rsidRPr="002D5B48">
              <w:rPr>
                <w:sz w:val="20"/>
              </w:rPr>
              <w:t>Mansel</w:t>
            </w:r>
            <w:r w:rsidR="007B3FE4">
              <w:rPr>
                <w:sz w:val="20"/>
              </w:rPr>
              <w:t>l</w:t>
            </w:r>
          </w:p>
        </w:tc>
        <w:tc>
          <w:tcPr>
            <w:tcW w:w="703" w:type="dxa"/>
            <w:tcBorders>
              <w:top w:val="nil"/>
              <w:left w:val="nil"/>
              <w:bottom w:val="nil"/>
              <w:right w:val="nil"/>
            </w:tcBorders>
            <w:shd w:val="clear" w:color="auto" w:fill="auto"/>
            <w:noWrap/>
            <w:vAlign w:val="bottom"/>
            <w:hideMark/>
          </w:tcPr>
          <w:p w14:paraId="784EA080" w14:textId="77777777" w:rsidR="00F8299B" w:rsidRPr="002D5B48" w:rsidRDefault="00F8299B" w:rsidP="00F8299B">
            <w:pPr>
              <w:rPr>
                <w:sz w:val="20"/>
              </w:rPr>
            </w:pPr>
            <w:r w:rsidRPr="002D5B48">
              <w:rPr>
                <w:sz w:val="20"/>
              </w:rPr>
              <w:t>2020</w:t>
            </w:r>
          </w:p>
        </w:tc>
        <w:tc>
          <w:tcPr>
            <w:tcW w:w="1280" w:type="dxa"/>
            <w:tcBorders>
              <w:top w:val="nil"/>
              <w:left w:val="nil"/>
              <w:bottom w:val="nil"/>
              <w:right w:val="nil"/>
            </w:tcBorders>
            <w:vAlign w:val="bottom"/>
          </w:tcPr>
          <w:p w14:paraId="7B704C87" w14:textId="77777777" w:rsidR="00F8299B" w:rsidRPr="002D5B48" w:rsidRDefault="00F8299B" w:rsidP="00F8299B">
            <w:pPr>
              <w:rPr>
                <w:b/>
                <w:bCs/>
                <w:sz w:val="20"/>
              </w:rPr>
            </w:pPr>
            <w:r w:rsidRPr="002D5B48">
              <w:rPr>
                <w:b/>
                <w:bCs/>
                <w:sz w:val="20"/>
              </w:rPr>
              <w:t>GSE156807</w:t>
            </w:r>
          </w:p>
        </w:tc>
        <w:tc>
          <w:tcPr>
            <w:tcW w:w="1740" w:type="dxa"/>
            <w:tcBorders>
              <w:top w:val="nil"/>
              <w:left w:val="nil"/>
              <w:bottom w:val="nil"/>
              <w:right w:val="nil"/>
            </w:tcBorders>
            <w:shd w:val="clear" w:color="auto" w:fill="auto"/>
            <w:noWrap/>
            <w:vAlign w:val="bottom"/>
          </w:tcPr>
          <w:p w14:paraId="1E34C4F7" w14:textId="3063F745" w:rsidR="00F8299B" w:rsidRPr="002D5B48" w:rsidRDefault="007B3FE4" w:rsidP="00F8299B">
            <w:pPr>
              <w:rPr>
                <w:sz w:val="20"/>
              </w:rPr>
            </w:pPr>
            <w:r>
              <w:rPr>
                <w:sz w:val="20"/>
              </w:rPr>
              <w:t>Mansell</w:t>
            </w:r>
          </w:p>
        </w:tc>
        <w:tc>
          <w:tcPr>
            <w:tcW w:w="1325" w:type="dxa"/>
            <w:tcBorders>
              <w:top w:val="nil"/>
              <w:left w:val="nil"/>
              <w:bottom w:val="nil"/>
              <w:right w:val="nil"/>
            </w:tcBorders>
            <w:shd w:val="clear" w:color="auto" w:fill="auto"/>
            <w:noWrap/>
            <w:vAlign w:val="bottom"/>
          </w:tcPr>
          <w:p w14:paraId="6974FD30" w14:textId="46602C35" w:rsidR="00F8299B" w:rsidRPr="002D5B48" w:rsidRDefault="007B3FE4" w:rsidP="00F8299B">
            <w:pPr>
              <w:rPr>
                <w:sz w:val="20"/>
              </w:rPr>
            </w:pPr>
            <w:r w:rsidRPr="007B3FE4">
              <w:rPr>
                <w:sz w:val="20"/>
              </w:rPr>
              <w:t>33086034</w:t>
            </w:r>
          </w:p>
        </w:tc>
        <w:tc>
          <w:tcPr>
            <w:tcW w:w="1094" w:type="dxa"/>
            <w:tcBorders>
              <w:top w:val="nil"/>
              <w:left w:val="nil"/>
              <w:bottom w:val="nil"/>
              <w:right w:val="nil"/>
            </w:tcBorders>
            <w:shd w:val="clear" w:color="auto" w:fill="auto"/>
            <w:noWrap/>
            <w:vAlign w:val="bottom"/>
            <w:hideMark/>
          </w:tcPr>
          <w:p w14:paraId="482202E3"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5BD5A03F" w14:textId="77777777" w:rsidR="00F8299B" w:rsidRPr="002D5B48" w:rsidRDefault="00F8299B" w:rsidP="00F8299B">
            <w:pPr>
              <w:rPr>
                <w:sz w:val="20"/>
              </w:rPr>
            </w:pPr>
          </w:p>
        </w:tc>
        <w:tc>
          <w:tcPr>
            <w:tcW w:w="1200" w:type="dxa"/>
            <w:tcBorders>
              <w:top w:val="nil"/>
              <w:left w:val="nil"/>
              <w:bottom w:val="nil"/>
              <w:right w:val="nil"/>
            </w:tcBorders>
            <w:shd w:val="clear" w:color="auto" w:fill="auto"/>
            <w:noWrap/>
            <w:vAlign w:val="bottom"/>
            <w:hideMark/>
          </w:tcPr>
          <w:p w14:paraId="2D716C4D" w14:textId="77777777" w:rsidR="00F8299B" w:rsidRPr="002D5B48" w:rsidRDefault="00F8299B" w:rsidP="00F8299B">
            <w:pPr>
              <w:rPr>
                <w:sz w:val="20"/>
              </w:rPr>
            </w:pPr>
          </w:p>
        </w:tc>
        <w:tc>
          <w:tcPr>
            <w:tcW w:w="1665" w:type="dxa"/>
            <w:tcBorders>
              <w:top w:val="nil"/>
              <w:left w:val="nil"/>
              <w:bottom w:val="nil"/>
              <w:right w:val="nil"/>
            </w:tcBorders>
            <w:shd w:val="clear" w:color="auto" w:fill="auto"/>
            <w:noWrap/>
            <w:vAlign w:val="bottom"/>
            <w:hideMark/>
          </w:tcPr>
          <w:p w14:paraId="73549086" w14:textId="77777777" w:rsidR="00F8299B" w:rsidRPr="002D5B48" w:rsidRDefault="00F8299B" w:rsidP="00F8299B">
            <w:pPr>
              <w:rPr>
                <w:sz w:val="20"/>
              </w:rPr>
            </w:pPr>
            <w:r w:rsidRPr="002D5B48">
              <w:rPr>
                <w:sz w:val="20"/>
              </w:rPr>
              <w:t>unknown</w:t>
            </w:r>
          </w:p>
        </w:tc>
      </w:tr>
      <w:tr w:rsidR="002D5B48" w:rsidRPr="002D5B48" w14:paraId="74F5C90B"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495635A4" w14:textId="77777777" w:rsidR="00F8299B" w:rsidRPr="002D5B48" w:rsidRDefault="00F8299B" w:rsidP="00F8299B">
            <w:pPr>
              <w:rPr>
                <w:sz w:val="20"/>
              </w:rPr>
            </w:pPr>
            <w:r w:rsidRPr="002D5B48">
              <w:rPr>
                <w:sz w:val="20"/>
              </w:rPr>
              <w:t>Quinn</w:t>
            </w:r>
          </w:p>
        </w:tc>
        <w:tc>
          <w:tcPr>
            <w:tcW w:w="703" w:type="dxa"/>
            <w:tcBorders>
              <w:top w:val="nil"/>
              <w:left w:val="nil"/>
              <w:bottom w:val="nil"/>
              <w:right w:val="nil"/>
            </w:tcBorders>
            <w:shd w:val="clear" w:color="auto" w:fill="auto"/>
            <w:noWrap/>
            <w:vAlign w:val="bottom"/>
            <w:hideMark/>
          </w:tcPr>
          <w:p w14:paraId="0B54B10B" w14:textId="3B12EAB2" w:rsidR="00F8299B" w:rsidRPr="002D5B48" w:rsidRDefault="00F8299B" w:rsidP="00F8299B">
            <w:pPr>
              <w:rPr>
                <w:sz w:val="20"/>
              </w:rPr>
            </w:pPr>
            <w:r w:rsidRPr="002D5B48">
              <w:rPr>
                <w:sz w:val="20"/>
              </w:rPr>
              <w:t>202</w:t>
            </w:r>
            <w:r w:rsidR="007B3FE4">
              <w:rPr>
                <w:sz w:val="20"/>
              </w:rPr>
              <w:t>2</w:t>
            </w:r>
          </w:p>
        </w:tc>
        <w:tc>
          <w:tcPr>
            <w:tcW w:w="1280" w:type="dxa"/>
            <w:tcBorders>
              <w:top w:val="nil"/>
              <w:left w:val="nil"/>
              <w:bottom w:val="nil"/>
              <w:right w:val="nil"/>
            </w:tcBorders>
            <w:vAlign w:val="bottom"/>
          </w:tcPr>
          <w:p w14:paraId="4B18AC04" w14:textId="77777777" w:rsidR="00F8299B" w:rsidRPr="002D5B48" w:rsidRDefault="00F8299B" w:rsidP="00F8299B">
            <w:pPr>
              <w:rPr>
                <w:sz w:val="20"/>
              </w:rPr>
            </w:pPr>
            <w:r w:rsidRPr="002D5B48">
              <w:rPr>
                <w:sz w:val="20"/>
              </w:rPr>
              <w:t>GSE165695</w:t>
            </w:r>
          </w:p>
        </w:tc>
        <w:tc>
          <w:tcPr>
            <w:tcW w:w="1740" w:type="dxa"/>
            <w:tcBorders>
              <w:top w:val="nil"/>
              <w:left w:val="nil"/>
              <w:bottom w:val="nil"/>
              <w:right w:val="nil"/>
            </w:tcBorders>
            <w:shd w:val="clear" w:color="auto" w:fill="auto"/>
            <w:noWrap/>
            <w:vAlign w:val="bottom"/>
          </w:tcPr>
          <w:p w14:paraId="0C8BF810" w14:textId="2DE8C601" w:rsidR="00F8299B" w:rsidRPr="002D5B48" w:rsidRDefault="00FA0BED" w:rsidP="00F8299B">
            <w:pPr>
              <w:rPr>
                <w:sz w:val="20"/>
              </w:rPr>
            </w:pPr>
            <w:r>
              <w:rPr>
                <w:sz w:val="20"/>
              </w:rPr>
              <w:t>Wendorff</w:t>
            </w:r>
          </w:p>
        </w:tc>
        <w:tc>
          <w:tcPr>
            <w:tcW w:w="1325" w:type="dxa"/>
            <w:tcBorders>
              <w:top w:val="nil"/>
              <w:left w:val="nil"/>
              <w:bottom w:val="nil"/>
              <w:right w:val="nil"/>
            </w:tcBorders>
            <w:shd w:val="clear" w:color="auto" w:fill="auto"/>
            <w:noWrap/>
            <w:vAlign w:val="bottom"/>
          </w:tcPr>
          <w:p w14:paraId="70B832C9" w14:textId="1E671760" w:rsidR="00F8299B" w:rsidRPr="002D5B48" w:rsidRDefault="00FA0BED" w:rsidP="00F8299B">
            <w:pPr>
              <w:rPr>
                <w:sz w:val="20"/>
              </w:rPr>
            </w:pPr>
            <w:r w:rsidRPr="00FA0BED">
              <w:rPr>
                <w:sz w:val="20"/>
              </w:rPr>
              <w:t>37118089</w:t>
            </w:r>
          </w:p>
        </w:tc>
        <w:tc>
          <w:tcPr>
            <w:tcW w:w="1094" w:type="dxa"/>
            <w:tcBorders>
              <w:top w:val="nil"/>
              <w:left w:val="nil"/>
              <w:bottom w:val="nil"/>
              <w:right w:val="nil"/>
            </w:tcBorders>
            <w:shd w:val="clear" w:color="auto" w:fill="auto"/>
            <w:noWrap/>
            <w:vAlign w:val="bottom"/>
            <w:hideMark/>
          </w:tcPr>
          <w:p w14:paraId="658132F7"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288D27F1" w14:textId="77777777" w:rsidR="00F8299B" w:rsidRPr="002D5B48" w:rsidRDefault="00F8299B" w:rsidP="00F8299B">
            <w:pPr>
              <w:rPr>
                <w:sz w:val="20"/>
              </w:rPr>
            </w:pPr>
            <w:r w:rsidRPr="002D5B48">
              <w:rPr>
                <w:sz w:val="20"/>
              </w:rPr>
              <w:t>3.6</w:t>
            </w:r>
          </w:p>
        </w:tc>
        <w:tc>
          <w:tcPr>
            <w:tcW w:w="1200" w:type="dxa"/>
            <w:tcBorders>
              <w:top w:val="nil"/>
              <w:left w:val="nil"/>
              <w:bottom w:val="nil"/>
              <w:right w:val="nil"/>
            </w:tcBorders>
            <w:shd w:val="clear" w:color="auto" w:fill="auto"/>
            <w:noWrap/>
            <w:vAlign w:val="bottom"/>
            <w:hideMark/>
          </w:tcPr>
          <w:p w14:paraId="4A4205D8" w14:textId="77777777" w:rsidR="00F8299B" w:rsidRPr="002D5B48" w:rsidRDefault="00F8299B" w:rsidP="00F8299B">
            <w:pPr>
              <w:rPr>
                <w:sz w:val="20"/>
              </w:rPr>
            </w:pPr>
            <w:r w:rsidRPr="002D5B48">
              <w:rPr>
                <w:sz w:val="20"/>
              </w:rPr>
              <w:t>24</w:t>
            </w:r>
          </w:p>
        </w:tc>
        <w:tc>
          <w:tcPr>
            <w:tcW w:w="1665" w:type="dxa"/>
            <w:tcBorders>
              <w:top w:val="nil"/>
              <w:left w:val="nil"/>
              <w:bottom w:val="nil"/>
              <w:right w:val="nil"/>
            </w:tcBorders>
            <w:shd w:val="clear" w:color="auto" w:fill="auto"/>
            <w:noWrap/>
            <w:vAlign w:val="bottom"/>
            <w:hideMark/>
          </w:tcPr>
          <w:p w14:paraId="61E6F945" w14:textId="77777777" w:rsidR="00F8299B" w:rsidRPr="002D5B48" w:rsidRDefault="00F8299B" w:rsidP="00F8299B">
            <w:pPr>
              <w:rPr>
                <w:sz w:val="20"/>
              </w:rPr>
            </w:pPr>
            <w:r w:rsidRPr="002D5B48">
              <w:rPr>
                <w:sz w:val="20"/>
              </w:rPr>
              <w:t>3.6, 24</w:t>
            </w:r>
          </w:p>
        </w:tc>
      </w:tr>
      <w:tr w:rsidR="002D5B48" w:rsidRPr="002D5B48" w14:paraId="7A0D3C49"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59048C28" w14:textId="36643B50" w:rsidR="00F8299B" w:rsidRPr="002D5B48" w:rsidRDefault="00F8299B" w:rsidP="00F8299B">
            <w:pPr>
              <w:rPr>
                <w:sz w:val="20"/>
              </w:rPr>
            </w:pPr>
            <w:proofErr w:type="spellStart"/>
            <w:r w:rsidRPr="002D5B48">
              <w:rPr>
                <w:sz w:val="20"/>
              </w:rPr>
              <w:t>Kotovnyuk</w:t>
            </w:r>
            <w:proofErr w:type="spellEnd"/>
          </w:p>
        </w:tc>
        <w:tc>
          <w:tcPr>
            <w:tcW w:w="703" w:type="dxa"/>
            <w:tcBorders>
              <w:top w:val="nil"/>
              <w:left w:val="nil"/>
              <w:bottom w:val="nil"/>
              <w:right w:val="nil"/>
            </w:tcBorders>
            <w:shd w:val="clear" w:color="auto" w:fill="auto"/>
            <w:noWrap/>
            <w:vAlign w:val="bottom"/>
            <w:hideMark/>
          </w:tcPr>
          <w:p w14:paraId="1E81B3EC" w14:textId="77777777" w:rsidR="00F8299B" w:rsidRPr="002D5B48" w:rsidRDefault="00F8299B" w:rsidP="00F8299B">
            <w:pPr>
              <w:rPr>
                <w:sz w:val="20"/>
              </w:rPr>
            </w:pPr>
            <w:r w:rsidRPr="002D5B48">
              <w:rPr>
                <w:sz w:val="20"/>
              </w:rPr>
              <w:t>2021</w:t>
            </w:r>
          </w:p>
        </w:tc>
        <w:tc>
          <w:tcPr>
            <w:tcW w:w="1280" w:type="dxa"/>
            <w:tcBorders>
              <w:top w:val="nil"/>
              <w:left w:val="nil"/>
              <w:bottom w:val="nil"/>
              <w:right w:val="nil"/>
            </w:tcBorders>
            <w:vAlign w:val="bottom"/>
          </w:tcPr>
          <w:p w14:paraId="70E032F5" w14:textId="77777777" w:rsidR="00F8299B" w:rsidRPr="002D5B48" w:rsidRDefault="00F8299B" w:rsidP="00F8299B">
            <w:pPr>
              <w:rPr>
                <w:b/>
                <w:bCs/>
                <w:sz w:val="20"/>
              </w:rPr>
            </w:pPr>
            <w:r w:rsidRPr="002D5B48">
              <w:rPr>
                <w:b/>
                <w:bCs/>
                <w:sz w:val="20"/>
              </w:rPr>
              <w:t>GSE163503</w:t>
            </w:r>
          </w:p>
        </w:tc>
        <w:tc>
          <w:tcPr>
            <w:tcW w:w="1740" w:type="dxa"/>
            <w:tcBorders>
              <w:top w:val="nil"/>
              <w:left w:val="nil"/>
              <w:bottom w:val="nil"/>
              <w:right w:val="nil"/>
            </w:tcBorders>
            <w:shd w:val="clear" w:color="auto" w:fill="auto"/>
            <w:noWrap/>
            <w:vAlign w:val="bottom"/>
          </w:tcPr>
          <w:p w14:paraId="640FD31E" w14:textId="77777777" w:rsidR="00F8299B" w:rsidRPr="002D5B48" w:rsidRDefault="00222F0F" w:rsidP="00F8299B">
            <w:pPr>
              <w:rPr>
                <w:sz w:val="20"/>
              </w:rPr>
            </w:pPr>
            <w:r w:rsidRPr="002D5B48">
              <w:rPr>
                <w:sz w:val="20"/>
              </w:rPr>
              <w:t>Kotovnyuk</w:t>
            </w:r>
            <w:r w:rsidRPr="002D5B48">
              <w:rPr>
                <w:sz w:val="20"/>
              </w:rPr>
              <w:fldChar w:fldCharType="begin"/>
            </w:r>
            <w:r w:rsidRPr="002D5B48">
              <w:rPr>
                <w:sz w:val="20"/>
              </w:rPr>
              <w:instrText xml:space="preserve"> ADDIN ZOTERO_ITEM CSL_CITATION {"citationID":"K2vzu29g","properties":{"formattedCitation":"\\super 9\\nosupersub{}","plainCitation":"9","noteIndex":0},"citationItems":[{"id":471,"uris":["http://zotero.org/users/local/ebh37oKg/items/LHP2PXR6"],"itemData":{"id":471,"type":"article-journal","abstract":"Aging is associated with impaired hematopoietic and immune function caused in part by decreased fitness in the hematopoietic stem cell (HSC) population and an increased myeloid differentiation bias. The reasons for this aging-associated HSC impairment are incompletely understood. Here we demonstrate that older specific pathogen free (SPF) wild-type (WT) mice in contrast to young SPF mice produce more interleukin-1a and interleukin-1b (IL-1a/b) in steady-state bone marrow (BM), with most of the IL-1a/b being derived from myeloid BM cells. Furthermore, blood from steady-state older SPF WT mice contains higher levels of microbe-associated molecular patterns, specifically TLR4 and TLR8 ligands. In addition, BM myeloid cells from older mice produce more IL-1b in vitro, and older mice show higher and more durable IL-1a/b responses upon stimulation with lipopolysaccharide in vivo. To test whether HSC aging is driven by IL-1a/b, we evaluated HSCs from IL-1 receptor 1 (IL-1R1) knockout (KO) mice. Indeed, older HSCs from IL-1R1KO mice show significantly mitigated aging-associated inflammatory signatures. Moreover, HSCs from older IL-1R1KO and from germ-free mice maintain unbiased lymphomyeloid hematopoietic differentiation upon transplantation, thus resembling this functionality of young HSCs. Importantly, in vivo antibiotic suppression of microbiota or pharmacologic blockade of IL-1 signaling in older WT mice was similarly sufficient to reverse myeloid-biased output of their HSC populations. Collectively, our data define the microbiome/IL-1/IL-1R1 axis as a key, self-sustaining and also therapeutically partially reversible driver of HSC inflammaging.","container-title":"Blood","DOI":"10.1182/blood.2021011570","ISSN":"1528-0020","issue":"1","journalAbbreviation":"Blood","language":"eng","note":"PMID: 34525198","page":"44-58","source":"PubMed","title":"IL-1 mediates microbiome-induced inflammaging of hematopoietic stem cells in mice","volume":"139","author":[{"family":"Kovtonyuk","given":"Larisa V."},{"family":"Caiado","given":"Francisco"},{"family":"Garcia-Martin","given":"Santiago"},{"family":"Manz","given":"Eva-Maria"},{"family":"Helbling","given":"Patrick"},{"family":"Takizawa","given":"Hitoshi"},{"family":"Boettcher","given":"Steffen"},{"family":"Al-Shahrour","given":"Fatima"},{"family":"Nombela-Arrieta","given":"Cesar"},{"family":"Slack","given":"Emma"},{"family":"Manz","given":"Markus G."}],"issued":{"date-parts":[["2022",1,6]]}}}],"schema":"https://github.com/citation-style-language/schema/raw/master/csl-citation.json"} </w:instrText>
            </w:r>
            <w:r w:rsidRPr="002D5B48">
              <w:rPr>
                <w:sz w:val="20"/>
              </w:rPr>
              <w:fldChar w:fldCharType="separate"/>
            </w:r>
            <w:r w:rsidRPr="002D5B48">
              <w:rPr>
                <w:rFonts w:cs="Calibri"/>
                <w:kern w:val="0"/>
                <w:sz w:val="20"/>
                <w:vertAlign w:val="superscript"/>
              </w:rPr>
              <w:t>9</w:t>
            </w:r>
            <w:r w:rsidRPr="002D5B48">
              <w:rPr>
                <w:sz w:val="20"/>
              </w:rPr>
              <w:fldChar w:fldCharType="end"/>
            </w:r>
          </w:p>
        </w:tc>
        <w:tc>
          <w:tcPr>
            <w:tcW w:w="1325" w:type="dxa"/>
            <w:tcBorders>
              <w:top w:val="nil"/>
              <w:left w:val="nil"/>
              <w:bottom w:val="nil"/>
              <w:right w:val="nil"/>
            </w:tcBorders>
            <w:shd w:val="clear" w:color="auto" w:fill="auto"/>
            <w:noWrap/>
            <w:vAlign w:val="bottom"/>
          </w:tcPr>
          <w:p w14:paraId="4E231850" w14:textId="77777777" w:rsidR="00F8299B" w:rsidRPr="002D5B48" w:rsidRDefault="00F8299B" w:rsidP="00F8299B">
            <w:pPr>
              <w:rPr>
                <w:sz w:val="20"/>
              </w:rPr>
            </w:pPr>
            <w:r w:rsidRPr="002D5B48">
              <w:rPr>
                <w:sz w:val="20"/>
              </w:rPr>
              <w:t>34525198</w:t>
            </w:r>
          </w:p>
        </w:tc>
        <w:tc>
          <w:tcPr>
            <w:tcW w:w="1094" w:type="dxa"/>
            <w:tcBorders>
              <w:top w:val="nil"/>
              <w:left w:val="nil"/>
              <w:bottom w:val="nil"/>
              <w:right w:val="nil"/>
            </w:tcBorders>
            <w:shd w:val="clear" w:color="auto" w:fill="auto"/>
            <w:noWrap/>
            <w:vAlign w:val="bottom"/>
            <w:hideMark/>
          </w:tcPr>
          <w:p w14:paraId="33689CEA"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4F588D68" w14:textId="77777777" w:rsidR="00F8299B" w:rsidRPr="002D5B48" w:rsidRDefault="00F8299B" w:rsidP="00F8299B">
            <w:pPr>
              <w:rPr>
                <w:sz w:val="20"/>
              </w:rPr>
            </w:pPr>
            <w:r w:rsidRPr="002D5B48">
              <w:rPr>
                <w:sz w:val="20"/>
              </w:rPr>
              <w:t xml:space="preserve">2 </w:t>
            </w:r>
            <w:proofErr w:type="spellStart"/>
            <w:r w:rsidRPr="002D5B48">
              <w:rPr>
                <w:sz w:val="20"/>
              </w:rPr>
              <w:t>mo</w:t>
            </w:r>
            <w:proofErr w:type="spellEnd"/>
          </w:p>
        </w:tc>
        <w:tc>
          <w:tcPr>
            <w:tcW w:w="1200" w:type="dxa"/>
            <w:tcBorders>
              <w:top w:val="nil"/>
              <w:left w:val="nil"/>
              <w:bottom w:val="nil"/>
              <w:right w:val="nil"/>
            </w:tcBorders>
            <w:shd w:val="clear" w:color="auto" w:fill="auto"/>
            <w:noWrap/>
            <w:vAlign w:val="bottom"/>
            <w:hideMark/>
          </w:tcPr>
          <w:p w14:paraId="1335A4CD" w14:textId="77777777" w:rsidR="00F8299B" w:rsidRPr="002D5B48" w:rsidRDefault="00F8299B" w:rsidP="00F8299B">
            <w:pPr>
              <w:rPr>
                <w:sz w:val="20"/>
              </w:rPr>
            </w:pPr>
            <w:r w:rsidRPr="002D5B48">
              <w:rPr>
                <w:sz w:val="20"/>
              </w:rPr>
              <w:t xml:space="preserve">24 </w:t>
            </w:r>
            <w:proofErr w:type="spellStart"/>
            <w:r w:rsidRPr="002D5B48">
              <w:rPr>
                <w:sz w:val="20"/>
              </w:rPr>
              <w:t>mo</w:t>
            </w:r>
            <w:proofErr w:type="spellEnd"/>
          </w:p>
        </w:tc>
        <w:tc>
          <w:tcPr>
            <w:tcW w:w="1665" w:type="dxa"/>
            <w:tcBorders>
              <w:top w:val="nil"/>
              <w:left w:val="nil"/>
              <w:bottom w:val="nil"/>
              <w:right w:val="nil"/>
            </w:tcBorders>
            <w:shd w:val="clear" w:color="auto" w:fill="auto"/>
            <w:noWrap/>
            <w:vAlign w:val="bottom"/>
            <w:hideMark/>
          </w:tcPr>
          <w:p w14:paraId="0C001408" w14:textId="77777777" w:rsidR="00F8299B" w:rsidRPr="002D5B48" w:rsidRDefault="00F8299B" w:rsidP="00F8299B">
            <w:pPr>
              <w:rPr>
                <w:sz w:val="20"/>
              </w:rPr>
            </w:pPr>
            <w:r w:rsidRPr="002D5B48">
              <w:rPr>
                <w:sz w:val="20"/>
              </w:rPr>
              <w:t>2, 12, 24</w:t>
            </w:r>
          </w:p>
        </w:tc>
      </w:tr>
      <w:tr w:rsidR="002D5B48" w:rsidRPr="002D5B48" w14:paraId="54C1B14C"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68CEC45D" w14:textId="77777777" w:rsidR="00F8299B" w:rsidRPr="002D5B48" w:rsidRDefault="00F8299B" w:rsidP="00F8299B">
            <w:pPr>
              <w:rPr>
                <w:sz w:val="20"/>
              </w:rPr>
            </w:pPr>
            <w:r w:rsidRPr="002D5B48">
              <w:rPr>
                <w:sz w:val="20"/>
              </w:rPr>
              <w:t>Jiya</w:t>
            </w:r>
          </w:p>
        </w:tc>
        <w:tc>
          <w:tcPr>
            <w:tcW w:w="703" w:type="dxa"/>
            <w:tcBorders>
              <w:top w:val="nil"/>
              <w:left w:val="nil"/>
              <w:bottom w:val="nil"/>
              <w:right w:val="nil"/>
            </w:tcBorders>
            <w:shd w:val="clear" w:color="auto" w:fill="auto"/>
            <w:noWrap/>
            <w:vAlign w:val="bottom"/>
            <w:hideMark/>
          </w:tcPr>
          <w:p w14:paraId="5F5009C3" w14:textId="77777777" w:rsidR="00F8299B" w:rsidRPr="002D5B48" w:rsidRDefault="00F8299B" w:rsidP="00F8299B">
            <w:pPr>
              <w:rPr>
                <w:sz w:val="20"/>
              </w:rPr>
            </w:pPr>
            <w:r w:rsidRPr="002D5B48">
              <w:rPr>
                <w:sz w:val="20"/>
              </w:rPr>
              <w:t>2022</w:t>
            </w:r>
          </w:p>
        </w:tc>
        <w:tc>
          <w:tcPr>
            <w:tcW w:w="1280" w:type="dxa"/>
            <w:tcBorders>
              <w:top w:val="nil"/>
              <w:left w:val="nil"/>
              <w:bottom w:val="nil"/>
              <w:right w:val="nil"/>
            </w:tcBorders>
            <w:vAlign w:val="bottom"/>
          </w:tcPr>
          <w:p w14:paraId="1C935FD9" w14:textId="77777777" w:rsidR="00F8299B" w:rsidRPr="002D5B48" w:rsidRDefault="00F8299B" w:rsidP="00F8299B">
            <w:pPr>
              <w:rPr>
                <w:sz w:val="20"/>
              </w:rPr>
            </w:pPr>
            <w:r w:rsidRPr="002D5B48">
              <w:rPr>
                <w:sz w:val="20"/>
              </w:rPr>
              <w:t>GSE212480</w:t>
            </w:r>
          </w:p>
        </w:tc>
        <w:tc>
          <w:tcPr>
            <w:tcW w:w="1740" w:type="dxa"/>
            <w:tcBorders>
              <w:top w:val="nil"/>
              <w:left w:val="nil"/>
              <w:bottom w:val="nil"/>
              <w:right w:val="nil"/>
            </w:tcBorders>
            <w:shd w:val="clear" w:color="auto" w:fill="auto"/>
            <w:noWrap/>
            <w:vAlign w:val="bottom"/>
          </w:tcPr>
          <w:p w14:paraId="5CD0D1C9" w14:textId="77777777" w:rsidR="00F8299B" w:rsidRPr="002D5B48" w:rsidRDefault="00F8299B" w:rsidP="00F8299B">
            <w:pPr>
              <w:rPr>
                <w:sz w:val="20"/>
              </w:rPr>
            </w:pPr>
          </w:p>
        </w:tc>
        <w:tc>
          <w:tcPr>
            <w:tcW w:w="1325" w:type="dxa"/>
            <w:tcBorders>
              <w:top w:val="nil"/>
              <w:left w:val="nil"/>
              <w:bottom w:val="nil"/>
              <w:right w:val="nil"/>
            </w:tcBorders>
            <w:shd w:val="clear" w:color="auto" w:fill="auto"/>
            <w:noWrap/>
            <w:vAlign w:val="bottom"/>
          </w:tcPr>
          <w:p w14:paraId="520CF093" w14:textId="77777777" w:rsidR="00F8299B" w:rsidRPr="002D5B48" w:rsidRDefault="00F8299B" w:rsidP="00F8299B">
            <w:pPr>
              <w:rPr>
                <w:sz w:val="20"/>
              </w:rPr>
            </w:pPr>
          </w:p>
        </w:tc>
        <w:tc>
          <w:tcPr>
            <w:tcW w:w="1094" w:type="dxa"/>
            <w:tcBorders>
              <w:top w:val="nil"/>
              <w:left w:val="nil"/>
              <w:bottom w:val="nil"/>
              <w:right w:val="nil"/>
            </w:tcBorders>
            <w:shd w:val="clear" w:color="auto" w:fill="auto"/>
            <w:noWrap/>
            <w:vAlign w:val="bottom"/>
            <w:hideMark/>
          </w:tcPr>
          <w:p w14:paraId="55760819" w14:textId="77777777" w:rsidR="00F8299B" w:rsidRPr="002D5B48" w:rsidRDefault="00F8299B" w:rsidP="00F8299B">
            <w:pPr>
              <w:rPr>
                <w:sz w:val="20"/>
              </w:rPr>
            </w:pPr>
            <w:r w:rsidRPr="002D5B48">
              <w:rPr>
                <w:sz w:val="20"/>
              </w:rPr>
              <w:t>SC_RNA</w:t>
            </w:r>
          </w:p>
        </w:tc>
        <w:tc>
          <w:tcPr>
            <w:tcW w:w="1320" w:type="dxa"/>
            <w:tcBorders>
              <w:top w:val="nil"/>
              <w:left w:val="nil"/>
              <w:bottom w:val="nil"/>
              <w:right w:val="nil"/>
            </w:tcBorders>
            <w:shd w:val="clear" w:color="auto" w:fill="auto"/>
            <w:noWrap/>
            <w:vAlign w:val="bottom"/>
            <w:hideMark/>
          </w:tcPr>
          <w:p w14:paraId="2C2198F9" w14:textId="77777777" w:rsidR="00F8299B" w:rsidRPr="002D5B48" w:rsidRDefault="00F8299B" w:rsidP="00F8299B">
            <w:pPr>
              <w:rPr>
                <w:sz w:val="20"/>
              </w:rPr>
            </w:pPr>
          </w:p>
        </w:tc>
        <w:tc>
          <w:tcPr>
            <w:tcW w:w="1200" w:type="dxa"/>
            <w:tcBorders>
              <w:top w:val="nil"/>
              <w:left w:val="nil"/>
              <w:bottom w:val="nil"/>
              <w:right w:val="nil"/>
            </w:tcBorders>
            <w:shd w:val="clear" w:color="auto" w:fill="auto"/>
            <w:noWrap/>
            <w:vAlign w:val="bottom"/>
            <w:hideMark/>
          </w:tcPr>
          <w:p w14:paraId="1FF665E5" w14:textId="77777777" w:rsidR="00F8299B" w:rsidRPr="002D5B48" w:rsidRDefault="00F8299B" w:rsidP="00F8299B">
            <w:pPr>
              <w:rPr>
                <w:sz w:val="20"/>
              </w:rPr>
            </w:pPr>
            <w:r w:rsidRPr="002D5B48">
              <w:rPr>
                <w:sz w:val="20"/>
              </w:rPr>
              <w:t>30</w:t>
            </w:r>
          </w:p>
        </w:tc>
        <w:tc>
          <w:tcPr>
            <w:tcW w:w="1665" w:type="dxa"/>
            <w:tcBorders>
              <w:top w:val="nil"/>
              <w:left w:val="nil"/>
              <w:bottom w:val="nil"/>
              <w:right w:val="nil"/>
            </w:tcBorders>
            <w:shd w:val="clear" w:color="auto" w:fill="auto"/>
            <w:noWrap/>
            <w:vAlign w:val="bottom"/>
            <w:hideMark/>
          </w:tcPr>
          <w:p w14:paraId="4AAFC913" w14:textId="77777777" w:rsidR="00F8299B" w:rsidRPr="002D5B48" w:rsidRDefault="00F8299B" w:rsidP="00F8299B">
            <w:pPr>
              <w:rPr>
                <w:sz w:val="20"/>
              </w:rPr>
            </w:pPr>
          </w:p>
        </w:tc>
      </w:tr>
      <w:tr w:rsidR="002D5B48" w:rsidRPr="002D5B48" w14:paraId="41111B3D"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25BB90D2" w14:textId="5FC28368" w:rsidR="00F8299B" w:rsidRPr="002D5B48" w:rsidRDefault="00FA0BED" w:rsidP="00F8299B">
            <w:pPr>
              <w:rPr>
                <w:sz w:val="20"/>
              </w:rPr>
            </w:pPr>
            <w:r>
              <w:rPr>
                <w:sz w:val="20"/>
              </w:rPr>
              <w:t>Meng</w:t>
            </w:r>
          </w:p>
        </w:tc>
        <w:tc>
          <w:tcPr>
            <w:tcW w:w="703" w:type="dxa"/>
            <w:tcBorders>
              <w:top w:val="nil"/>
              <w:left w:val="nil"/>
              <w:bottom w:val="nil"/>
              <w:right w:val="nil"/>
            </w:tcBorders>
            <w:shd w:val="clear" w:color="auto" w:fill="auto"/>
            <w:noWrap/>
            <w:vAlign w:val="bottom"/>
            <w:hideMark/>
          </w:tcPr>
          <w:p w14:paraId="27AF8475" w14:textId="44381754" w:rsidR="00F8299B" w:rsidRPr="002D5B48" w:rsidRDefault="00F8299B" w:rsidP="00F8299B">
            <w:pPr>
              <w:rPr>
                <w:sz w:val="20"/>
              </w:rPr>
            </w:pPr>
            <w:r w:rsidRPr="002D5B48">
              <w:rPr>
                <w:sz w:val="20"/>
              </w:rPr>
              <w:t>202</w:t>
            </w:r>
            <w:r w:rsidR="00FA0BED">
              <w:rPr>
                <w:sz w:val="20"/>
              </w:rPr>
              <w:t>3</w:t>
            </w:r>
          </w:p>
        </w:tc>
        <w:tc>
          <w:tcPr>
            <w:tcW w:w="1280" w:type="dxa"/>
            <w:tcBorders>
              <w:top w:val="nil"/>
              <w:left w:val="nil"/>
              <w:bottom w:val="nil"/>
              <w:right w:val="nil"/>
            </w:tcBorders>
            <w:vAlign w:val="bottom"/>
          </w:tcPr>
          <w:p w14:paraId="137950E0" w14:textId="77777777" w:rsidR="00F8299B" w:rsidRPr="002D5B48" w:rsidRDefault="00F8299B" w:rsidP="00F8299B">
            <w:pPr>
              <w:rPr>
                <w:b/>
                <w:bCs/>
                <w:sz w:val="20"/>
              </w:rPr>
            </w:pPr>
            <w:r w:rsidRPr="002D5B48">
              <w:rPr>
                <w:b/>
                <w:bCs/>
                <w:sz w:val="20"/>
              </w:rPr>
              <w:t>GSE219092</w:t>
            </w:r>
          </w:p>
        </w:tc>
        <w:tc>
          <w:tcPr>
            <w:tcW w:w="1740" w:type="dxa"/>
            <w:tcBorders>
              <w:top w:val="nil"/>
              <w:left w:val="nil"/>
              <w:bottom w:val="nil"/>
              <w:right w:val="nil"/>
            </w:tcBorders>
            <w:shd w:val="clear" w:color="auto" w:fill="auto"/>
            <w:noWrap/>
            <w:vAlign w:val="bottom"/>
          </w:tcPr>
          <w:p w14:paraId="30206915" w14:textId="77777777" w:rsidR="00F8299B" w:rsidRPr="002D5B48" w:rsidRDefault="00222F0F" w:rsidP="00F8299B">
            <w:pPr>
              <w:rPr>
                <w:sz w:val="20"/>
              </w:rPr>
            </w:pPr>
            <w:r w:rsidRPr="002D5B48">
              <w:rPr>
                <w:sz w:val="20"/>
              </w:rPr>
              <w:t>Meng</w:t>
            </w:r>
            <w:r w:rsidRPr="002D5B48">
              <w:rPr>
                <w:sz w:val="20"/>
              </w:rPr>
              <w:fldChar w:fldCharType="begin"/>
            </w:r>
            <w:r w:rsidRPr="002D5B48">
              <w:rPr>
                <w:sz w:val="20"/>
              </w:rPr>
              <w:instrText xml:space="preserve"> ADDIN ZOTERO_ITEM CSL_CITATION {"citationID":"3QPoLexg","properties":{"formattedCitation":"\\super 40\\nosupersub{}","plainCitation":"40","noteIndex":0},"citationItems":[{"id":530,"uris":["http://zotero.org/users/local/ebh37oKg/items/3BTJJJ2M"],"itemData":{"id":530,"type":"article-journal","abstract":"Haematopoietic stem cells (HSCs) are multipotent, but individual HSCs can show restricted lineage output in vivo. Currently, the molecular mechanisms and physiological role of HSC fate restriction remain unknown. Here we show that lymphoid fate is epigenetically but not transcriptionally primed in HSCs. In multi-lineage HSCs that produce lymphocytes, lymphoid-specific upstream regulatory elements (LymUREs) but not promoters are preferentially accessible compared with platelet-biased HSCs that do not produce lymphoid cell types, providing transcriptionally silent lymphoid lineage priming. Runx3 is preferentially expressed in multi-lineage HSCs, and reinstating Runx3 expression increases LymURE accessibility and lymphoid-primed multipotent progenitor 4 (MPP4) output in old, platelet-biased HSCs. In contrast, platelet-biased HSCs show elevated levels of epigenetic platelet-lineage priming and give rise to MPP2 progenitors with molecular platelet bias. These MPP2 progenitors generate platelets with faster kinetics and through a more direct cellular pathway compared with MPP2s derived from multi-lineage HSCs. Epigenetic programming therefore predicts both fate restriction and differentiation kinetics in HSCs.","container-title":"Nature Cell Biology","DOI":"10.1038/s41556-023-01137-5","ISSN":"1476-4679","issue":"6","journalAbbreviation":"Nat Cell Biol","language":"eng","note":"PMID: 37127714","page":"812-822","source":"PubMed","title":"Epigenetic programming defines haematopoietic stem cell fate restriction","volume":"25","author":[{"family":"Meng","given":"Yiran"},{"family":"Carrelha","given":"Joana"},{"family":"Drissen","given":"Roy"},{"family":"Ren","given":"Xiying"},{"family":"Zhang","given":"Bowen"},{"family":"Gambardella","given":"Adriana"},{"family":"Valletta","given":"Simona"},{"family":"Thongjuea","given":"Supat"},{"family":"Jacobsen","given":"Sten Eirik"},{"family":"Nerlov","given":"Claus"}],"issued":{"date-parts":[["2023",6]]}}}],"schema":"https://github.com/citation-style-language/schema/raw/master/csl-citation.json"} </w:instrText>
            </w:r>
            <w:r w:rsidRPr="002D5B48">
              <w:rPr>
                <w:sz w:val="20"/>
              </w:rPr>
              <w:fldChar w:fldCharType="separate"/>
            </w:r>
            <w:r w:rsidRPr="002D5B48">
              <w:rPr>
                <w:rFonts w:cs="Calibri"/>
                <w:kern w:val="0"/>
                <w:sz w:val="20"/>
                <w:vertAlign w:val="superscript"/>
              </w:rPr>
              <w:t>40</w:t>
            </w:r>
            <w:r w:rsidRPr="002D5B48">
              <w:rPr>
                <w:sz w:val="20"/>
              </w:rPr>
              <w:fldChar w:fldCharType="end"/>
            </w:r>
          </w:p>
        </w:tc>
        <w:tc>
          <w:tcPr>
            <w:tcW w:w="1325" w:type="dxa"/>
            <w:tcBorders>
              <w:top w:val="nil"/>
              <w:left w:val="nil"/>
              <w:bottom w:val="nil"/>
              <w:right w:val="nil"/>
            </w:tcBorders>
            <w:shd w:val="clear" w:color="auto" w:fill="auto"/>
            <w:noWrap/>
            <w:vAlign w:val="bottom"/>
          </w:tcPr>
          <w:p w14:paraId="666C1DF2" w14:textId="77777777" w:rsidR="00F8299B" w:rsidRPr="002D5B48" w:rsidRDefault="00F8299B" w:rsidP="00F8299B">
            <w:pPr>
              <w:rPr>
                <w:sz w:val="20"/>
              </w:rPr>
            </w:pPr>
            <w:r w:rsidRPr="002D5B48">
              <w:rPr>
                <w:sz w:val="20"/>
              </w:rPr>
              <w:t>37127714</w:t>
            </w:r>
          </w:p>
        </w:tc>
        <w:tc>
          <w:tcPr>
            <w:tcW w:w="1094" w:type="dxa"/>
            <w:tcBorders>
              <w:top w:val="nil"/>
              <w:left w:val="nil"/>
              <w:bottom w:val="nil"/>
              <w:right w:val="nil"/>
            </w:tcBorders>
            <w:shd w:val="clear" w:color="auto" w:fill="auto"/>
            <w:noWrap/>
            <w:vAlign w:val="bottom"/>
            <w:hideMark/>
          </w:tcPr>
          <w:p w14:paraId="5CC5CC84"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2B43CA9B" w14:textId="77777777" w:rsidR="00F8299B" w:rsidRPr="002D5B48" w:rsidRDefault="00F8299B" w:rsidP="00F8299B">
            <w:pPr>
              <w:rPr>
                <w:sz w:val="20"/>
              </w:rPr>
            </w:pPr>
            <w:r w:rsidRPr="002D5B48">
              <w:rPr>
                <w:sz w:val="20"/>
              </w:rPr>
              <w:t>2</w:t>
            </w:r>
          </w:p>
        </w:tc>
        <w:tc>
          <w:tcPr>
            <w:tcW w:w="1200" w:type="dxa"/>
            <w:tcBorders>
              <w:top w:val="nil"/>
              <w:left w:val="nil"/>
              <w:bottom w:val="nil"/>
              <w:right w:val="nil"/>
            </w:tcBorders>
            <w:shd w:val="clear" w:color="auto" w:fill="auto"/>
            <w:noWrap/>
            <w:vAlign w:val="bottom"/>
            <w:hideMark/>
          </w:tcPr>
          <w:p w14:paraId="62C0704D" w14:textId="77777777" w:rsidR="00F8299B" w:rsidRPr="002D5B48" w:rsidRDefault="00F8299B" w:rsidP="00F8299B">
            <w:pPr>
              <w:rPr>
                <w:sz w:val="20"/>
              </w:rPr>
            </w:pPr>
            <w:r w:rsidRPr="002D5B48">
              <w:rPr>
                <w:sz w:val="20"/>
              </w:rPr>
              <w:t>24</w:t>
            </w:r>
          </w:p>
        </w:tc>
        <w:tc>
          <w:tcPr>
            <w:tcW w:w="1665" w:type="dxa"/>
            <w:tcBorders>
              <w:top w:val="nil"/>
              <w:left w:val="nil"/>
              <w:bottom w:val="nil"/>
              <w:right w:val="nil"/>
            </w:tcBorders>
            <w:shd w:val="clear" w:color="auto" w:fill="auto"/>
            <w:noWrap/>
            <w:vAlign w:val="bottom"/>
            <w:hideMark/>
          </w:tcPr>
          <w:p w14:paraId="0BA12B91" w14:textId="77777777" w:rsidR="00F8299B" w:rsidRPr="002D5B48" w:rsidRDefault="00F8299B" w:rsidP="00F8299B">
            <w:pPr>
              <w:rPr>
                <w:sz w:val="20"/>
              </w:rPr>
            </w:pPr>
          </w:p>
        </w:tc>
      </w:tr>
      <w:tr w:rsidR="002D5B48" w:rsidRPr="002D5B48" w14:paraId="35FB1223"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484ECA87" w14:textId="77777777" w:rsidR="00F8299B" w:rsidRPr="002D5B48" w:rsidRDefault="00222F0F" w:rsidP="00F8299B">
            <w:pPr>
              <w:rPr>
                <w:sz w:val="20"/>
              </w:rPr>
            </w:pPr>
            <w:r w:rsidRPr="002D5B48">
              <w:rPr>
                <w:sz w:val="20"/>
              </w:rPr>
              <w:t xml:space="preserve">Von </w:t>
            </w:r>
            <w:proofErr w:type="spellStart"/>
            <w:r w:rsidRPr="002D5B48">
              <w:rPr>
                <w:sz w:val="20"/>
              </w:rPr>
              <w:t>Eyss</w:t>
            </w:r>
            <w:proofErr w:type="spellEnd"/>
          </w:p>
        </w:tc>
        <w:tc>
          <w:tcPr>
            <w:tcW w:w="703" w:type="dxa"/>
            <w:tcBorders>
              <w:top w:val="nil"/>
              <w:left w:val="nil"/>
              <w:bottom w:val="nil"/>
              <w:right w:val="nil"/>
            </w:tcBorders>
            <w:shd w:val="clear" w:color="auto" w:fill="auto"/>
            <w:noWrap/>
            <w:vAlign w:val="bottom"/>
            <w:hideMark/>
          </w:tcPr>
          <w:p w14:paraId="11BC6EF1" w14:textId="77777777" w:rsidR="00F8299B" w:rsidRPr="002D5B48" w:rsidRDefault="00F8299B" w:rsidP="00F8299B">
            <w:pPr>
              <w:rPr>
                <w:sz w:val="20"/>
              </w:rPr>
            </w:pPr>
            <w:r w:rsidRPr="002D5B48">
              <w:rPr>
                <w:sz w:val="20"/>
              </w:rPr>
              <w:t>2022</w:t>
            </w:r>
          </w:p>
        </w:tc>
        <w:tc>
          <w:tcPr>
            <w:tcW w:w="1280" w:type="dxa"/>
            <w:tcBorders>
              <w:top w:val="nil"/>
              <w:left w:val="nil"/>
              <w:bottom w:val="nil"/>
              <w:right w:val="nil"/>
            </w:tcBorders>
            <w:vAlign w:val="bottom"/>
          </w:tcPr>
          <w:p w14:paraId="04F8DB7C" w14:textId="77777777" w:rsidR="00F8299B" w:rsidRPr="002D5B48" w:rsidRDefault="00F8299B" w:rsidP="00F8299B">
            <w:pPr>
              <w:rPr>
                <w:b/>
                <w:bCs/>
                <w:sz w:val="20"/>
              </w:rPr>
            </w:pPr>
            <w:r w:rsidRPr="002D5B48">
              <w:rPr>
                <w:b/>
                <w:bCs/>
                <w:sz w:val="20"/>
              </w:rPr>
              <w:t>GSE157455</w:t>
            </w:r>
          </w:p>
        </w:tc>
        <w:tc>
          <w:tcPr>
            <w:tcW w:w="1740" w:type="dxa"/>
            <w:tcBorders>
              <w:top w:val="nil"/>
              <w:left w:val="nil"/>
              <w:bottom w:val="nil"/>
              <w:right w:val="nil"/>
            </w:tcBorders>
            <w:shd w:val="clear" w:color="auto" w:fill="auto"/>
            <w:noWrap/>
            <w:vAlign w:val="bottom"/>
          </w:tcPr>
          <w:p w14:paraId="5A08E5E8" w14:textId="77777777" w:rsidR="00F8299B" w:rsidRPr="002D5B48" w:rsidRDefault="00222F0F" w:rsidP="00F8299B">
            <w:pPr>
              <w:rPr>
                <w:sz w:val="20"/>
              </w:rPr>
            </w:pPr>
            <w:r w:rsidRPr="002D5B48">
              <w:rPr>
                <w:sz w:val="20"/>
              </w:rPr>
              <w:t>Kim</w:t>
            </w:r>
            <w:r w:rsidRPr="002D5B48">
              <w:rPr>
                <w:sz w:val="20"/>
              </w:rPr>
              <w:fldChar w:fldCharType="begin"/>
            </w:r>
            <w:r w:rsidRPr="002D5B48">
              <w:rPr>
                <w:sz w:val="20"/>
              </w:rPr>
              <w:instrText xml:space="preserve"> ADDIN ZOTERO_ITEM CSL_CITATION {"citationID":"GF2GoGJx","properties":{"formattedCitation":"\\super 41\\nosupersub{}","plainCitation":"41","noteIndex":0},"citationItems":[{"id":533,"uris":["http://zotero.org/users/local/ebh37oKg/items/8QQHAKXM"],"itemData":{"id":533,"type":"article-journal","abstract":"Specific functions of the immune system are essential to protect us from infections caused by pathogens such as viruses and bacteria. However, as we age, the immune system shows a functional decline that can be attributed in large part to age-associated defects in hematopoietic stem cells (HSCs)—the cells at the apex of the immune cell hierarchy. Here, we find that the Hippo pathway coactivator TAZ is potently induced in old HSCs and protects these cells from functional decline. We identify Clca3a1 as a TAZ-induced gene that allows us to trace TAZ activity in vivo. Using CLCA3A1 as a marker, we can isolate “young-like” HSCs from old mice. Mechanistically, Taz acts as coactivator of PU.1 and to some extent counteracts the gradual loss of PU.1 expression during HSC aging. Our work thus uncovers an essential role for Taz in a previously undescribed fail-safe mechanism in aging HSCs., Immune system function declines with age, a consequence of defects in hematopoietic stem cells (HSCs). Here the authors show that TAZ buffers age-related loss of PU.1 activity to maintain HSC functionality and identify the surface protein Clca3a1 as a marker of “young-like” HSCs, even in old mice.","container-title":"Nature Communications","DOI":"10.1038/s41467-022-32970-1","ISSN":"2041-1723","journalAbbreviation":"Nat Commun","note":"PMID: 36057685\nPMCID: PMC9440927","page":"5187","source":"PubMed Central","title":"Taz protects hematopoietic stem cells from an aging-dependent decrease in PU.1 activity","volume":"13","author":[{"family":"Kim","given":"Kyung Mok"},{"family":"Mura-Meszaros","given":"Anna"},{"family":"Tollot","given":"Marie"},{"family":"Krishnan","given":"Murali Shyam"},{"family":"Gründl","given":"Marco"},{"family":"Neubert","given":"Laura"},{"family":"Groth","given":"Marco"},{"family":"Rodriguez-Fraticelli","given":"Alejo"},{"family":"Svendsen","given":"Arthur Flohr"},{"family":"Campaner","given":"Stefano"},{"family":"Andreas","given":"Nico"},{"family":"Kamradt","given":"Thomas"},{"family":"Hoffmann","given":"Steve"},{"family":"Camargo","given":"Fernando D."},{"family":"Heidel","given":"Florian H."},{"family":"Bystrykh","given":"Leonid V."},{"family":"Haan","given":"Gerald","non-dropping-particle":"de"},{"family":"Eyss","given":"Björn","non-dropping-particle":"von"}],"issued":{"date-parts":[["2022",9,3]]}}}],"schema":"https://github.com/citation-style-language/schema/raw/master/csl-citation.json"} </w:instrText>
            </w:r>
            <w:r w:rsidRPr="002D5B48">
              <w:rPr>
                <w:sz w:val="20"/>
              </w:rPr>
              <w:fldChar w:fldCharType="separate"/>
            </w:r>
            <w:r w:rsidRPr="002D5B48">
              <w:rPr>
                <w:rFonts w:cs="Calibri"/>
                <w:kern w:val="0"/>
                <w:sz w:val="20"/>
                <w:vertAlign w:val="superscript"/>
              </w:rPr>
              <w:t>41</w:t>
            </w:r>
            <w:r w:rsidRPr="002D5B48">
              <w:rPr>
                <w:sz w:val="20"/>
              </w:rPr>
              <w:fldChar w:fldCharType="end"/>
            </w:r>
          </w:p>
        </w:tc>
        <w:tc>
          <w:tcPr>
            <w:tcW w:w="1325" w:type="dxa"/>
            <w:tcBorders>
              <w:top w:val="nil"/>
              <w:left w:val="nil"/>
              <w:bottom w:val="nil"/>
              <w:right w:val="nil"/>
            </w:tcBorders>
            <w:shd w:val="clear" w:color="auto" w:fill="auto"/>
            <w:noWrap/>
            <w:vAlign w:val="bottom"/>
          </w:tcPr>
          <w:p w14:paraId="2268E886" w14:textId="77777777" w:rsidR="00F8299B" w:rsidRPr="002D5B48" w:rsidRDefault="00F8299B" w:rsidP="00F8299B">
            <w:pPr>
              <w:rPr>
                <w:sz w:val="20"/>
              </w:rPr>
            </w:pPr>
            <w:r w:rsidRPr="002D5B48">
              <w:rPr>
                <w:sz w:val="20"/>
              </w:rPr>
              <w:t>36057685</w:t>
            </w:r>
          </w:p>
        </w:tc>
        <w:tc>
          <w:tcPr>
            <w:tcW w:w="1094" w:type="dxa"/>
            <w:tcBorders>
              <w:top w:val="nil"/>
              <w:left w:val="nil"/>
              <w:bottom w:val="nil"/>
              <w:right w:val="nil"/>
            </w:tcBorders>
            <w:shd w:val="clear" w:color="auto" w:fill="auto"/>
            <w:noWrap/>
            <w:vAlign w:val="bottom"/>
            <w:hideMark/>
          </w:tcPr>
          <w:p w14:paraId="2DAD1E18"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65684826" w14:textId="77777777" w:rsidR="00F8299B" w:rsidRPr="002D5B48" w:rsidRDefault="00F8299B" w:rsidP="00F8299B">
            <w:pPr>
              <w:rPr>
                <w:sz w:val="20"/>
              </w:rPr>
            </w:pPr>
            <w:r w:rsidRPr="002D5B48">
              <w:rPr>
                <w:sz w:val="20"/>
              </w:rPr>
              <w:t xml:space="preserve">3-5 </w:t>
            </w:r>
            <w:proofErr w:type="spellStart"/>
            <w:r w:rsidRPr="002D5B48">
              <w:rPr>
                <w:sz w:val="20"/>
              </w:rPr>
              <w:t>mo</w:t>
            </w:r>
            <w:proofErr w:type="spellEnd"/>
          </w:p>
        </w:tc>
        <w:tc>
          <w:tcPr>
            <w:tcW w:w="1200" w:type="dxa"/>
            <w:tcBorders>
              <w:top w:val="nil"/>
              <w:left w:val="nil"/>
              <w:bottom w:val="nil"/>
              <w:right w:val="nil"/>
            </w:tcBorders>
            <w:shd w:val="clear" w:color="auto" w:fill="auto"/>
            <w:noWrap/>
            <w:vAlign w:val="bottom"/>
            <w:hideMark/>
          </w:tcPr>
          <w:p w14:paraId="6CA4B3F1" w14:textId="77777777" w:rsidR="00F8299B" w:rsidRPr="002D5B48" w:rsidRDefault="00F8299B" w:rsidP="00F8299B">
            <w:pPr>
              <w:rPr>
                <w:sz w:val="20"/>
              </w:rPr>
            </w:pPr>
            <w:r w:rsidRPr="002D5B48">
              <w:rPr>
                <w:sz w:val="20"/>
              </w:rPr>
              <w:t xml:space="preserve">22-28 </w:t>
            </w:r>
            <w:proofErr w:type="spellStart"/>
            <w:r w:rsidRPr="002D5B48">
              <w:rPr>
                <w:sz w:val="20"/>
              </w:rPr>
              <w:t>mo</w:t>
            </w:r>
            <w:proofErr w:type="spellEnd"/>
          </w:p>
        </w:tc>
        <w:tc>
          <w:tcPr>
            <w:tcW w:w="1665" w:type="dxa"/>
            <w:tcBorders>
              <w:top w:val="nil"/>
              <w:left w:val="nil"/>
              <w:bottom w:val="nil"/>
              <w:right w:val="nil"/>
            </w:tcBorders>
            <w:shd w:val="clear" w:color="auto" w:fill="auto"/>
            <w:noWrap/>
            <w:vAlign w:val="bottom"/>
            <w:hideMark/>
          </w:tcPr>
          <w:p w14:paraId="0598121A" w14:textId="77777777" w:rsidR="00F8299B" w:rsidRPr="002D5B48" w:rsidRDefault="00F8299B" w:rsidP="00F8299B">
            <w:pPr>
              <w:rPr>
                <w:sz w:val="20"/>
              </w:rPr>
            </w:pPr>
            <w:r w:rsidRPr="002D5B48">
              <w:rPr>
                <w:sz w:val="20"/>
              </w:rPr>
              <w:t>2-5, 22-28</w:t>
            </w:r>
          </w:p>
        </w:tc>
      </w:tr>
      <w:tr w:rsidR="002D5B48" w:rsidRPr="002D5B48" w14:paraId="01B38895"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7BF3A65F" w14:textId="3E443139" w:rsidR="00F8299B" w:rsidRPr="002D5B48" w:rsidRDefault="00F8299B" w:rsidP="00F8299B">
            <w:pPr>
              <w:rPr>
                <w:sz w:val="20"/>
              </w:rPr>
            </w:pPr>
            <w:r w:rsidRPr="002D5B48">
              <w:rPr>
                <w:sz w:val="20"/>
              </w:rPr>
              <w:t>Wang</w:t>
            </w:r>
          </w:p>
        </w:tc>
        <w:tc>
          <w:tcPr>
            <w:tcW w:w="703" w:type="dxa"/>
            <w:tcBorders>
              <w:top w:val="nil"/>
              <w:left w:val="nil"/>
              <w:bottom w:val="nil"/>
              <w:right w:val="nil"/>
            </w:tcBorders>
            <w:shd w:val="clear" w:color="auto" w:fill="auto"/>
            <w:noWrap/>
            <w:vAlign w:val="bottom"/>
            <w:hideMark/>
          </w:tcPr>
          <w:p w14:paraId="4D428CA9" w14:textId="77777777" w:rsidR="00F8299B" w:rsidRPr="002D5B48" w:rsidRDefault="00F8299B" w:rsidP="00F8299B">
            <w:pPr>
              <w:rPr>
                <w:sz w:val="20"/>
              </w:rPr>
            </w:pPr>
            <w:r w:rsidRPr="002D5B48">
              <w:rPr>
                <w:sz w:val="20"/>
              </w:rPr>
              <w:t>2022</w:t>
            </w:r>
          </w:p>
        </w:tc>
        <w:tc>
          <w:tcPr>
            <w:tcW w:w="1280" w:type="dxa"/>
            <w:tcBorders>
              <w:top w:val="nil"/>
              <w:left w:val="nil"/>
              <w:bottom w:val="nil"/>
              <w:right w:val="nil"/>
            </w:tcBorders>
            <w:vAlign w:val="bottom"/>
          </w:tcPr>
          <w:p w14:paraId="0D1B1CDE" w14:textId="77777777" w:rsidR="00F8299B" w:rsidRPr="002D5B48" w:rsidRDefault="00F8299B" w:rsidP="00F8299B">
            <w:pPr>
              <w:rPr>
                <w:sz w:val="20"/>
              </w:rPr>
            </w:pPr>
            <w:r w:rsidRPr="002D5B48">
              <w:rPr>
                <w:sz w:val="20"/>
              </w:rPr>
              <w:t>GSE169387</w:t>
            </w:r>
          </w:p>
        </w:tc>
        <w:tc>
          <w:tcPr>
            <w:tcW w:w="1740" w:type="dxa"/>
            <w:tcBorders>
              <w:top w:val="nil"/>
              <w:left w:val="nil"/>
              <w:bottom w:val="nil"/>
              <w:right w:val="nil"/>
            </w:tcBorders>
            <w:shd w:val="clear" w:color="auto" w:fill="auto"/>
            <w:noWrap/>
            <w:vAlign w:val="bottom"/>
          </w:tcPr>
          <w:p w14:paraId="642F3295" w14:textId="77777777" w:rsidR="00F8299B" w:rsidRPr="002D5B48" w:rsidRDefault="00222F0F" w:rsidP="00F8299B">
            <w:pPr>
              <w:rPr>
                <w:sz w:val="20"/>
              </w:rPr>
            </w:pPr>
            <w:r w:rsidRPr="002D5B48">
              <w:rPr>
                <w:sz w:val="20"/>
              </w:rPr>
              <w:t>Wang</w:t>
            </w:r>
            <w:r w:rsidRPr="002D5B48">
              <w:rPr>
                <w:sz w:val="20"/>
              </w:rPr>
              <w:fldChar w:fldCharType="begin"/>
            </w:r>
            <w:r w:rsidRPr="002D5B48">
              <w:rPr>
                <w:sz w:val="20"/>
              </w:rPr>
              <w:instrText xml:space="preserve"> ADDIN ZOTERO_ITEM CSL_CITATION {"citationID":"Xi1yq2UO","properties":{"formattedCitation":"\\super 11\\nosupersub{}","plainCitation":"11","noteIndex":0},"citationItems":[{"id":441,"uris":["http://zotero.org/users/local/ebh37oKg/items/MFK2A6FN"],"itemData":{"id":441,"type":"article-journal","abstract":"Aging of hematopoietic stem cells (HSCs) is linked to various blood disorders and malignancies. SIRT1 has been implicated in healthy aging, but its role in HSC aging is poorly understood. Surprisingly, we found that Sirt1 knockout improved the maintenance of quiescence of aging HSCs and their functionality as well as mouse survival in serial bone marrow transplantation (BMT) recipients. The majority of secondary and tertiary BMT recipients of aging wild type donor cells developed B/myeloid mixed phenotype acute leukemia (MPAL), which was markedly inhibited by Sirt1 knockout. SIRT1 inhibition also reduced the growth and survival of human B/myeloid MPAL cells. Sirt1 knockout suppressed global gene activation in old HSCs, prominently the genes regulating protein synthesis and oxidative metabolism, which may involve multiple downstream transcriptional factors. Our results demonstrate an unexpected role of SIRT1 in promoting HSC aging and age-dependent MPAL and suggest SIRT1 may be a new therapeutic target for modulating functions of aging HSCs and treatment of MPAL., Studies employing serial bone marrow transplantation in mice show that Sirt1 knockout improves quiescence maintenance and function of aging hematopoietic stem cells. Sirt1 loss also prevents the development of age-dependent B/myeloid mixed phenotype acute leukemia.","container-title":"Communications Biology","DOI":"10.1038/s42003-022-03340-w","ISSN":"2399-3642","journalAbbreviation":"Commun Biol","note":"PMID: 35484199\nPMCID: PMC9051098","page":"396","source":"PubMed Central","title":"Loss of SIRT1 inhibits hematopoietic stem cell aging and age-dependent mixed phenotype acute leukemia","volume":"5","author":[{"family":"Wang","given":"Zhiqiang"},{"family":"Zhang","given":"Chunxiao"},{"family":"Warden","given":"Charles David"},{"family":"Liu","given":"Zheng"},{"family":"Yuan","given":"Yate-Ching"},{"family":"Guo","given":"Chao"},{"family":"Wang","given":"Charles"},{"family":"Wang","given":"Jinhui"},{"family":"Wu","given":"Xiwei"},{"family":"Ermel","given":"Richard"},{"family":"Vonderfecht","given":"Steven L."},{"family":"Wang","given":"Xiuli"},{"family":"Brown","given":"Christine"},{"family":"Forman","given":"Stephen"},{"family":"Yang","given":"Yaling"},{"family":"James You","given":"M."},{"family":"Chen","given":"WenYong"}],"issued":{"date-parts":[["2022",4,28]]}}}],"schema":"https://github.com/citation-style-language/schema/raw/master/csl-citation.json"} </w:instrText>
            </w:r>
            <w:r w:rsidRPr="002D5B48">
              <w:rPr>
                <w:sz w:val="20"/>
              </w:rPr>
              <w:fldChar w:fldCharType="separate"/>
            </w:r>
            <w:r w:rsidRPr="002D5B48">
              <w:rPr>
                <w:rFonts w:cs="Calibri"/>
                <w:kern w:val="0"/>
                <w:sz w:val="20"/>
                <w:vertAlign w:val="superscript"/>
              </w:rPr>
              <w:t>11</w:t>
            </w:r>
            <w:r w:rsidRPr="002D5B48">
              <w:rPr>
                <w:sz w:val="20"/>
              </w:rPr>
              <w:fldChar w:fldCharType="end"/>
            </w:r>
          </w:p>
        </w:tc>
        <w:tc>
          <w:tcPr>
            <w:tcW w:w="1325" w:type="dxa"/>
            <w:tcBorders>
              <w:top w:val="nil"/>
              <w:left w:val="nil"/>
              <w:bottom w:val="nil"/>
              <w:right w:val="nil"/>
            </w:tcBorders>
            <w:shd w:val="clear" w:color="auto" w:fill="auto"/>
            <w:noWrap/>
            <w:vAlign w:val="bottom"/>
          </w:tcPr>
          <w:p w14:paraId="01B47857" w14:textId="77777777" w:rsidR="00F8299B" w:rsidRPr="002D5B48" w:rsidRDefault="00F8299B" w:rsidP="00F8299B">
            <w:pPr>
              <w:rPr>
                <w:sz w:val="20"/>
              </w:rPr>
            </w:pPr>
            <w:r w:rsidRPr="002D5B48">
              <w:rPr>
                <w:sz w:val="20"/>
              </w:rPr>
              <w:t>35484199</w:t>
            </w:r>
          </w:p>
        </w:tc>
        <w:tc>
          <w:tcPr>
            <w:tcW w:w="1094" w:type="dxa"/>
            <w:tcBorders>
              <w:top w:val="nil"/>
              <w:left w:val="nil"/>
              <w:bottom w:val="nil"/>
              <w:right w:val="nil"/>
            </w:tcBorders>
            <w:shd w:val="clear" w:color="auto" w:fill="auto"/>
            <w:noWrap/>
            <w:vAlign w:val="bottom"/>
            <w:hideMark/>
          </w:tcPr>
          <w:p w14:paraId="03795EE7" w14:textId="77777777" w:rsidR="00F8299B" w:rsidRPr="002D5B48" w:rsidRDefault="00F8299B" w:rsidP="00F8299B">
            <w:pPr>
              <w:rPr>
                <w:sz w:val="20"/>
              </w:rPr>
            </w:pPr>
            <w:proofErr w:type="spellStart"/>
            <w:r w:rsidRPr="002D5B48">
              <w:rPr>
                <w:sz w:val="20"/>
              </w:rPr>
              <w:t>ExpArray</w:t>
            </w:r>
            <w:proofErr w:type="spellEnd"/>
          </w:p>
        </w:tc>
        <w:tc>
          <w:tcPr>
            <w:tcW w:w="1320" w:type="dxa"/>
            <w:tcBorders>
              <w:top w:val="nil"/>
              <w:left w:val="nil"/>
              <w:bottom w:val="nil"/>
              <w:right w:val="nil"/>
            </w:tcBorders>
            <w:shd w:val="clear" w:color="auto" w:fill="auto"/>
            <w:noWrap/>
            <w:vAlign w:val="bottom"/>
            <w:hideMark/>
          </w:tcPr>
          <w:p w14:paraId="623A675C" w14:textId="77777777" w:rsidR="00F8299B" w:rsidRPr="002D5B48" w:rsidRDefault="00F8299B" w:rsidP="00F8299B">
            <w:pPr>
              <w:rPr>
                <w:sz w:val="20"/>
              </w:rPr>
            </w:pPr>
          </w:p>
        </w:tc>
        <w:tc>
          <w:tcPr>
            <w:tcW w:w="1200" w:type="dxa"/>
            <w:tcBorders>
              <w:top w:val="nil"/>
              <w:left w:val="nil"/>
              <w:bottom w:val="nil"/>
              <w:right w:val="nil"/>
            </w:tcBorders>
            <w:shd w:val="clear" w:color="auto" w:fill="auto"/>
            <w:noWrap/>
            <w:vAlign w:val="bottom"/>
            <w:hideMark/>
          </w:tcPr>
          <w:p w14:paraId="759C2208" w14:textId="77777777" w:rsidR="00F8299B" w:rsidRPr="002D5B48" w:rsidRDefault="00F8299B" w:rsidP="00F8299B">
            <w:pPr>
              <w:rPr>
                <w:sz w:val="20"/>
              </w:rPr>
            </w:pPr>
          </w:p>
        </w:tc>
        <w:tc>
          <w:tcPr>
            <w:tcW w:w="1665" w:type="dxa"/>
            <w:tcBorders>
              <w:top w:val="nil"/>
              <w:left w:val="nil"/>
              <w:bottom w:val="nil"/>
              <w:right w:val="nil"/>
            </w:tcBorders>
            <w:shd w:val="clear" w:color="auto" w:fill="auto"/>
            <w:noWrap/>
            <w:vAlign w:val="bottom"/>
            <w:hideMark/>
          </w:tcPr>
          <w:p w14:paraId="01D273DD" w14:textId="77777777" w:rsidR="00F8299B" w:rsidRPr="002D5B48" w:rsidRDefault="00F8299B" w:rsidP="00F8299B">
            <w:pPr>
              <w:rPr>
                <w:sz w:val="20"/>
              </w:rPr>
            </w:pPr>
            <w:r w:rsidRPr="002D5B48">
              <w:rPr>
                <w:sz w:val="20"/>
              </w:rPr>
              <w:t>unknown</w:t>
            </w:r>
          </w:p>
        </w:tc>
      </w:tr>
      <w:tr w:rsidR="002D5B48" w:rsidRPr="002D5B48" w14:paraId="4C1BC6F9"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5F8B5E72" w14:textId="59212448" w:rsidR="00F8299B" w:rsidRPr="002D5B48" w:rsidRDefault="00F8299B" w:rsidP="00F8299B">
            <w:pPr>
              <w:rPr>
                <w:sz w:val="20"/>
              </w:rPr>
            </w:pPr>
            <w:r w:rsidRPr="002D5B48">
              <w:rPr>
                <w:sz w:val="20"/>
              </w:rPr>
              <w:t>Ali</w:t>
            </w:r>
          </w:p>
        </w:tc>
        <w:tc>
          <w:tcPr>
            <w:tcW w:w="703" w:type="dxa"/>
            <w:tcBorders>
              <w:top w:val="nil"/>
              <w:left w:val="nil"/>
              <w:bottom w:val="nil"/>
              <w:right w:val="nil"/>
            </w:tcBorders>
            <w:shd w:val="clear" w:color="auto" w:fill="auto"/>
            <w:noWrap/>
            <w:vAlign w:val="bottom"/>
            <w:hideMark/>
          </w:tcPr>
          <w:p w14:paraId="00B33399" w14:textId="77777777" w:rsidR="00F8299B" w:rsidRPr="002D5B48" w:rsidRDefault="00F8299B" w:rsidP="00F8299B">
            <w:pPr>
              <w:rPr>
                <w:sz w:val="20"/>
              </w:rPr>
            </w:pPr>
            <w:r w:rsidRPr="002D5B48">
              <w:rPr>
                <w:sz w:val="20"/>
              </w:rPr>
              <w:t>2022</w:t>
            </w:r>
          </w:p>
        </w:tc>
        <w:tc>
          <w:tcPr>
            <w:tcW w:w="1280" w:type="dxa"/>
            <w:tcBorders>
              <w:top w:val="nil"/>
              <w:left w:val="nil"/>
              <w:bottom w:val="nil"/>
              <w:right w:val="nil"/>
            </w:tcBorders>
            <w:vAlign w:val="bottom"/>
          </w:tcPr>
          <w:p w14:paraId="75CF2DE6" w14:textId="77777777" w:rsidR="00F8299B" w:rsidRPr="002D5B48" w:rsidRDefault="00F8299B" w:rsidP="00F8299B">
            <w:pPr>
              <w:rPr>
                <w:b/>
                <w:bCs/>
                <w:sz w:val="20"/>
              </w:rPr>
            </w:pPr>
            <w:r w:rsidRPr="002D5B48">
              <w:rPr>
                <w:b/>
                <w:bCs/>
                <w:sz w:val="20"/>
              </w:rPr>
              <w:t>GSE197070</w:t>
            </w:r>
          </w:p>
        </w:tc>
        <w:tc>
          <w:tcPr>
            <w:tcW w:w="1740" w:type="dxa"/>
            <w:tcBorders>
              <w:top w:val="nil"/>
              <w:left w:val="nil"/>
              <w:bottom w:val="nil"/>
              <w:right w:val="nil"/>
            </w:tcBorders>
            <w:shd w:val="clear" w:color="auto" w:fill="auto"/>
            <w:noWrap/>
            <w:vAlign w:val="bottom"/>
          </w:tcPr>
          <w:p w14:paraId="2820CF09" w14:textId="77777777" w:rsidR="00F8299B" w:rsidRPr="002D5B48" w:rsidRDefault="00222F0F" w:rsidP="00F8299B">
            <w:pPr>
              <w:rPr>
                <w:sz w:val="20"/>
              </w:rPr>
            </w:pPr>
            <w:r w:rsidRPr="002D5B48">
              <w:rPr>
                <w:sz w:val="20"/>
              </w:rPr>
              <w:t>Montserrat-Vazquez</w:t>
            </w:r>
            <w:r w:rsidRPr="002D5B48">
              <w:rPr>
                <w:sz w:val="20"/>
              </w:rPr>
              <w:fldChar w:fldCharType="begin"/>
            </w:r>
            <w:r w:rsidRPr="002D5B48">
              <w:rPr>
                <w:sz w:val="20"/>
              </w:rPr>
              <w:instrText xml:space="preserve"> ADDIN ZOTERO_ITEM CSL_CITATION {"citationID":"5k08UOZZ","properties":{"formattedCitation":"\\super 42\\nosupersub{}","plainCitation":"42","noteIndex":0},"citationItems":[{"id":536,"uris":["http://zotero.org/users/local/ebh37oKg/items/GRSXE56X"],"itemData":{"id":536,"type":"article-journal","abstract":"One goal of regenerative medicine is to rejuvenate tissues and extend lifespan by restoring the function of endogenous aged stem cells. However, evidence that somatic stem cells can be targeted in vivo to extend lifespan is still lacking. Here, we demonstrate that after a short systemic treatment with a specific inhibitor of the small RhoGTPase Cdc42 (CASIN), transplanting aged hematopoietic stem cells (HSCs) from treated mice is sufficient to extend the healthspan and lifespan of aged immunocompromised mice without additional treatment. In detail, we show that systemic CASIN treatment improves strength and endurance of aged mice by increasing the myogenic regenerative potential of aged skeletal muscle stem cells. Further, we show that CASIN modifies niche localization and H4K16ac polarity of HSCs in vivo. Single-cell profiling reveals changes in HSC transcriptome, which underlie enhanced lymphoid and regenerative capacity in serial transplantation assays. Overall, we provide proof-of-concept evidence that a short systemic treatment to decrease Cdc42 activity improves the regenerative capacity of different endogenous aged stem cells in vivo, and that rejuvenated HSCs exert a broad systemic effect sufficient to extend murine health- and lifespan.","container-title":"NPJ Regenerative Medicine","DOI":"10.1038/s41536-022-00275-y","ISSN":"2057-3995","journalAbbreviation":"NPJ Regen Med","note":"PMID: 36581635\nPMCID: PMC9800381","page":"78","source":"PubMed Central","title":"Transplanting rejuvenated blood stem cells extends lifespan of aged immunocompromised mice","volume":"7","author":[{"family":"Montserrat-Vazquez","given":"Sara"},{"family":"Ali","given":"Noelle J."},{"family":"Matteini","given":"Francesca"},{"family":"Lozano","given":"Javier"},{"family":"Zhaowei","given":"Tu"},{"family":"Mejia-Ramirez","given":"Eva"},{"family":"Marka","given":"Gina"},{"family":"Vollmer","given":"Angelika"},{"family":"Soller","given":"Karin"},{"family":"Sacma","given":"Mehmet"},{"family":"Sakk","given":"Vadim"},{"family":"Mularoni","given":"Loris"},{"family":"Mallm","given":"Jan Philipp"},{"family":"Plass","given":"Mireya"},{"family":"Zheng","given":"Yi"},{"family":"Geiger","given":"Hartmut"},{"family":"Florian","given":"M. Carolina"}],"issued":{"date-parts":[["2022",12,29]]}}}],"schema":"https://github.com/citation-style-language/schema/raw/master/csl-citation.json"} </w:instrText>
            </w:r>
            <w:r w:rsidRPr="002D5B48">
              <w:rPr>
                <w:sz w:val="20"/>
              </w:rPr>
              <w:fldChar w:fldCharType="separate"/>
            </w:r>
            <w:r w:rsidRPr="002D5B48">
              <w:rPr>
                <w:rFonts w:cs="Calibri"/>
                <w:kern w:val="0"/>
                <w:sz w:val="20"/>
                <w:vertAlign w:val="superscript"/>
              </w:rPr>
              <w:t>42</w:t>
            </w:r>
            <w:r w:rsidRPr="002D5B48">
              <w:rPr>
                <w:sz w:val="20"/>
              </w:rPr>
              <w:fldChar w:fldCharType="end"/>
            </w:r>
          </w:p>
        </w:tc>
        <w:tc>
          <w:tcPr>
            <w:tcW w:w="1325" w:type="dxa"/>
            <w:tcBorders>
              <w:top w:val="nil"/>
              <w:left w:val="nil"/>
              <w:bottom w:val="nil"/>
              <w:right w:val="nil"/>
            </w:tcBorders>
            <w:shd w:val="clear" w:color="auto" w:fill="auto"/>
            <w:noWrap/>
            <w:vAlign w:val="bottom"/>
          </w:tcPr>
          <w:p w14:paraId="0DB362AA" w14:textId="77777777" w:rsidR="00F8299B" w:rsidRPr="002D5B48" w:rsidRDefault="00F8299B" w:rsidP="00F8299B">
            <w:pPr>
              <w:rPr>
                <w:sz w:val="20"/>
              </w:rPr>
            </w:pPr>
            <w:r w:rsidRPr="002D5B48">
              <w:rPr>
                <w:sz w:val="20"/>
              </w:rPr>
              <w:t>36581635</w:t>
            </w:r>
          </w:p>
        </w:tc>
        <w:tc>
          <w:tcPr>
            <w:tcW w:w="1094" w:type="dxa"/>
            <w:tcBorders>
              <w:top w:val="nil"/>
              <w:left w:val="nil"/>
              <w:bottom w:val="nil"/>
              <w:right w:val="nil"/>
            </w:tcBorders>
            <w:shd w:val="clear" w:color="auto" w:fill="auto"/>
            <w:noWrap/>
            <w:vAlign w:val="bottom"/>
            <w:hideMark/>
          </w:tcPr>
          <w:p w14:paraId="35DCD7CB" w14:textId="77777777" w:rsidR="00F8299B" w:rsidRPr="002D5B48" w:rsidRDefault="00F8299B" w:rsidP="00F8299B">
            <w:pPr>
              <w:rPr>
                <w:sz w:val="20"/>
              </w:rPr>
            </w:pPr>
            <w:r w:rsidRPr="002D5B48">
              <w:rPr>
                <w:sz w:val="20"/>
              </w:rPr>
              <w:t>SC_RNA</w:t>
            </w:r>
          </w:p>
        </w:tc>
        <w:tc>
          <w:tcPr>
            <w:tcW w:w="1320" w:type="dxa"/>
            <w:tcBorders>
              <w:top w:val="nil"/>
              <w:left w:val="nil"/>
              <w:bottom w:val="nil"/>
              <w:right w:val="nil"/>
            </w:tcBorders>
            <w:shd w:val="clear" w:color="auto" w:fill="auto"/>
            <w:noWrap/>
            <w:vAlign w:val="bottom"/>
            <w:hideMark/>
          </w:tcPr>
          <w:p w14:paraId="744F5DE3" w14:textId="77777777" w:rsidR="00F8299B" w:rsidRPr="002D5B48" w:rsidRDefault="00F8299B" w:rsidP="00F8299B">
            <w:pPr>
              <w:rPr>
                <w:sz w:val="20"/>
              </w:rPr>
            </w:pPr>
            <w:r w:rsidRPr="002D5B48">
              <w:rPr>
                <w:sz w:val="20"/>
              </w:rPr>
              <w:t xml:space="preserve">2.3-2.7 </w:t>
            </w:r>
            <w:proofErr w:type="spellStart"/>
            <w:r w:rsidRPr="002D5B48">
              <w:rPr>
                <w:sz w:val="20"/>
              </w:rPr>
              <w:t>mo</w:t>
            </w:r>
            <w:proofErr w:type="spellEnd"/>
          </w:p>
        </w:tc>
        <w:tc>
          <w:tcPr>
            <w:tcW w:w="1200" w:type="dxa"/>
            <w:tcBorders>
              <w:top w:val="nil"/>
              <w:left w:val="nil"/>
              <w:bottom w:val="nil"/>
              <w:right w:val="nil"/>
            </w:tcBorders>
            <w:shd w:val="clear" w:color="auto" w:fill="auto"/>
            <w:noWrap/>
            <w:vAlign w:val="bottom"/>
            <w:hideMark/>
          </w:tcPr>
          <w:p w14:paraId="23D1B0D2" w14:textId="77777777" w:rsidR="00F8299B" w:rsidRPr="002D5B48" w:rsidRDefault="00F8299B" w:rsidP="00F8299B">
            <w:pPr>
              <w:rPr>
                <w:sz w:val="20"/>
              </w:rPr>
            </w:pPr>
            <w:r w:rsidRPr="002D5B48">
              <w:rPr>
                <w:sz w:val="20"/>
              </w:rPr>
              <w:t xml:space="preserve">18+ </w:t>
            </w:r>
            <w:proofErr w:type="spellStart"/>
            <w:r w:rsidRPr="002D5B48">
              <w:rPr>
                <w:sz w:val="20"/>
              </w:rPr>
              <w:t>mo</w:t>
            </w:r>
            <w:proofErr w:type="spellEnd"/>
          </w:p>
        </w:tc>
        <w:tc>
          <w:tcPr>
            <w:tcW w:w="1665" w:type="dxa"/>
            <w:tcBorders>
              <w:top w:val="nil"/>
              <w:left w:val="nil"/>
              <w:bottom w:val="nil"/>
              <w:right w:val="nil"/>
            </w:tcBorders>
            <w:shd w:val="clear" w:color="auto" w:fill="auto"/>
            <w:noWrap/>
            <w:vAlign w:val="bottom"/>
            <w:hideMark/>
          </w:tcPr>
          <w:p w14:paraId="3E793CBC" w14:textId="77777777" w:rsidR="00F8299B" w:rsidRPr="002D5B48" w:rsidRDefault="00F8299B" w:rsidP="00F8299B">
            <w:pPr>
              <w:rPr>
                <w:sz w:val="20"/>
              </w:rPr>
            </w:pPr>
            <w:r w:rsidRPr="002D5B48">
              <w:rPr>
                <w:sz w:val="20"/>
              </w:rPr>
              <w:t>2.3-2.7, 18+</w:t>
            </w:r>
          </w:p>
        </w:tc>
      </w:tr>
      <w:tr w:rsidR="002D5B48" w:rsidRPr="002D5B48" w14:paraId="06356C18"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60AD0DA8" w14:textId="6779D06B" w:rsidR="00F8299B" w:rsidRPr="002D5B48" w:rsidRDefault="00F8299B" w:rsidP="00F8299B">
            <w:pPr>
              <w:rPr>
                <w:sz w:val="20"/>
              </w:rPr>
            </w:pPr>
            <w:r w:rsidRPr="002D5B48">
              <w:rPr>
                <w:sz w:val="20"/>
              </w:rPr>
              <w:t>Duarte</w:t>
            </w:r>
          </w:p>
        </w:tc>
        <w:tc>
          <w:tcPr>
            <w:tcW w:w="703" w:type="dxa"/>
            <w:tcBorders>
              <w:top w:val="nil"/>
              <w:left w:val="nil"/>
              <w:bottom w:val="nil"/>
              <w:right w:val="nil"/>
            </w:tcBorders>
            <w:shd w:val="clear" w:color="auto" w:fill="auto"/>
            <w:noWrap/>
            <w:vAlign w:val="bottom"/>
            <w:hideMark/>
          </w:tcPr>
          <w:p w14:paraId="69F1BFA5" w14:textId="36E3D698" w:rsidR="00F8299B" w:rsidRPr="002D5B48" w:rsidRDefault="00F8299B" w:rsidP="00F8299B">
            <w:pPr>
              <w:rPr>
                <w:sz w:val="20"/>
              </w:rPr>
            </w:pPr>
            <w:r w:rsidRPr="002D5B48">
              <w:rPr>
                <w:sz w:val="20"/>
              </w:rPr>
              <w:t>202</w:t>
            </w:r>
            <w:r w:rsidR="00FA0BED">
              <w:rPr>
                <w:sz w:val="20"/>
              </w:rPr>
              <w:t>3</w:t>
            </w:r>
          </w:p>
        </w:tc>
        <w:tc>
          <w:tcPr>
            <w:tcW w:w="1280" w:type="dxa"/>
            <w:tcBorders>
              <w:top w:val="nil"/>
              <w:left w:val="nil"/>
              <w:bottom w:val="nil"/>
              <w:right w:val="nil"/>
            </w:tcBorders>
            <w:vAlign w:val="bottom"/>
          </w:tcPr>
          <w:p w14:paraId="7A520011" w14:textId="77777777" w:rsidR="00F8299B" w:rsidRPr="002D5B48" w:rsidRDefault="00F8299B" w:rsidP="00F8299B">
            <w:pPr>
              <w:rPr>
                <w:sz w:val="20"/>
              </w:rPr>
            </w:pPr>
            <w:r w:rsidRPr="002D5B48">
              <w:rPr>
                <w:sz w:val="20"/>
              </w:rPr>
              <w:t>GSE216405</w:t>
            </w:r>
          </w:p>
        </w:tc>
        <w:tc>
          <w:tcPr>
            <w:tcW w:w="1740" w:type="dxa"/>
            <w:tcBorders>
              <w:top w:val="nil"/>
              <w:left w:val="nil"/>
              <w:bottom w:val="nil"/>
              <w:right w:val="nil"/>
            </w:tcBorders>
            <w:shd w:val="clear" w:color="auto" w:fill="auto"/>
            <w:noWrap/>
            <w:vAlign w:val="bottom"/>
          </w:tcPr>
          <w:p w14:paraId="36D9984B" w14:textId="77777777" w:rsidR="00F8299B" w:rsidRPr="002D5B48" w:rsidRDefault="00222F0F" w:rsidP="00F8299B">
            <w:pPr>
              <w:rPr>
                <w:sz w:val="20"/>
              </w:rPr>
            </w:pPr>
            <w:r w:rsidRPr="002D5B48">
              <w:rPr>
                <w:sz w:val="20"/>
              </w:rPr>
              <w:t>Hu</w:t>
            </w:r>
            <w:r w:rsidRPr="002D5B48">
              <w:rPr>
                <w:sz w:val="20"/>
              </w:rPr>
              <w:fldChar w:fldCharType="begin"/>
            </w:r>
            <w:r w:rsidRPr="002D5B48">
              <w:rPr>
                <w:sz w:val="20"/>
              </w:rPr>
              <w:instrText xml:space="preserve"> ADDIN ZOTERO_ITEM CSL_CITATION {"citationID":"GMSmeOba","properties":{"formattedCitation":"\\super 43\\nosupersub{}","plainCitation":"43","noteIndex":0},"citationItems":[{"id":539,"uris":["http://zotero.org/users/local/ebh37oKg/items/TI4P24VE"],"itemData":{"id":539,"type":"article-journal","abstract":"Cis-regulatory elements control gene expression and are dynamic in their structure, reflecting changes to the composition of diverse effector proteins over time–. Here we sought to connect the structural changes at cis-regulatory elements to alterations in cellular fate and function. To do this we developed PRINT, a computational method that uses deep learning to correct sequence bias in chromatin accessibility data and identifies multi-scale footprints of DNA-protein interactions. We find that multi-scale footprints enable more accurate inference of TF and nucleosome binding. Using PRINT with single-cell multi-omics, we discover wide-spread changes to the structure and function of candidate cis-regulatory elements (cCREs) across hematopoiesis, wherein nucleosomes slide, expose DNA for TF binding, and promote gene expression. Activity segmentation using the co-variance across cell states identifies “sub-cCREs” as modular cCRE subunits of regulatory DNA. We apply this single-cell and PRINT approach to characterize the age-associated alterations to cCREs within hematopoietic stem cells (HSCs). Remarkably, we find a spectrum of aging alterations among HSCs corresponding to a global gain of sub-cCRE activity while preserving cCRE accessibility. Collectively, we reveal the functional importance of cCRE structure across cell states, highlighting changes to gene regulation at single-cell and single-base-pair resolution.","container-title":"bioRxiv","DOI":"10.1101/2023.03.28.533945","journalAbbreviation":"bioRxiv","note":"PMID: 37034577\nPMCID: PMC10081223","page":"2023.03.28.533945","source":"PubMed Central","title":"Single-cell multi-scale footprinting reveals the modular organization of DNA regulatory elements","author":[{"family":"Hu","given":"Yan"},{"family":"Ma","given":"Sai"},{"family":"Kartha","given":"Vinay K."},{"family":"Duarte","given":"Fabiana M."},{"family":"Horlbeck","given":"Max"},{"family":"Zhang","given":"Ruochi"},{"family":"Shrestha","given":"Rojesh"},{"family":"Labade","given":"Ajay"},{"family":"Kletzien","given":"Heidi"},{"family":"Meliki","given":"Alia"},{"family":"Castillo","given":"Andrew"},{"family":"Durand","given":"Neva"},{"family":"Mattei","given":"Eugenio"},{"family":"Anderson","given":"Lauren J."},{"family":"Tay","given":"Tristan"},{"family":"Earl","given":"Andrew S."},{"family":"Shoresh","given":"Noam"},{"family":"Epstein","given":"Charles B."},{"family":"Wagers","given":"Amy"},{"family":"Buenrostro","given":"Jason D."}],"issued":{"date-parts":[["2023",3,29]]}}}],"schema":"https://github.com/citation-style-language/schema/raw/master/csl-citation.json"} </w:instrText>
            </w:r>
            <w:r w:rsidRPr="002D5B48">
              <w:rPr>
                <w:sz w:val="20"/>
              </w:rPr>
              <w:fldChar w:fldCharType="separate"/>
            </w:r>
            <w:r w:rsidRPr="002D5B48">
              <w:rPr>
                <w:rFonts w:cs="Calibri"/>
                <w:kern w:val="0"/>
                <w:sz w:val="20"/>
                <w:vertAlign w:val="superscript"/>
              </w:rPr>
              <w:t>43</w:t>
            </w:r>
            <w:r w:rsidRPr="002D5B48">
              <w:rPr>
                <w:sz w:val="20"/>
              </w:rPr>
              <w:fldChar w:fldCharType="end"/>
            </w:r>
          </w:p>
        </w:tc>
        <w:tc>
          <w:tcPr>
            <w:tcW w:w="1325" w:type="dxa"/>
            <w:tcBorders>
              <w:top w:val="nil"/>
              <w:left w:val="nil"/>
              <w:bottom w:val="nil"/>
              <w:right w:val="nil"/>
            </w:tcBorders>
            <w:shd w:val="clear" w:color="auto" w:fill="auto"/>
            <w:noWrap/>
            <w:vAlign w:val="bottom"/>
          </w:tcPr>
          <w:p w14:paraId="54B4427F" w14:textId="77777777" w:rsidR="00F8299B" w:rsidRPr="002D5B48" w:rsidRDefault="00F8299B" w:rsidP="00F8299B">
            <w:pPr>
              <w:rPr>
                <w:sz w:val="20"/>
              </w:rPr>
            </w:pPr>
            <w:r w:rsidRPr="002D5B48">
              <w:rPr>
                <w:sz w:val="20"/>
              </w:rPr>
              <w:t>37034577</w:t>
            </w:r>
          </w:p>
        </w:tc>
        <w:tc>
          <w:tcPr>
            <w:tcW w:w="1094" w:type="dxa"/>
            <w:tcBorders>
              <w:top w:val="nil"/>
              <w:left w:val="nil"/>
              <w:bottom w:val="nil"/>
              <w:right w:val="nil"/>
            </w:tcBorders>
            <w:shd w:val="clear" w:color="auto" w:fill="auto"/>
            <w:noWrap/>
            <w:vAlign w:val="bottom"/>
            <w:hideMark/>
          </w:tcPr>
          <w:p w14:paraId="2267E665" w14:textId="77777777" w:rsidR="00F8299B" w:rsidRPr="002D5B48" w:rsidRDefault="00F8299B" w:rsidP="00F8299B">
            <w:pPr>
              <w:rPr>
                <w:sz w:val="20"/>
              </w:rPr>
            </w:pPr>
            <w:r w:rsidRPr="002D5B48">
              <w:rPr>
                <w:sz w:val="20"/>
              </w:rPr>
              <w:t>SC_RNA</w:t>
            </w:r>
          </w:p>
        </w:tc>
        <w:tc>
          <w:tcPr>
            <w:tcW w:w="1320" w:type="dxa"/>
            <w:tcBorders>
              <w:top w:val="nil"/>
              <w:left w:val="nil"/>
              <w:bottom w:val="nil"/>
              <w:right w:val="nil"/>
            </w:tcBorders>
            <w:shd w:val="clear" w:color="auto" w:fill="auto"/>
            <w:noWrap/>
            <w:vAlign w:val="bottom"/>
            <w:hideMark/>
          </w:tcPr>
          <w:p w14:paraId="06FE6585" w14:textId="77777777" w:rsidR="00F8299B" w:rsidRPr="002D5B48" w:rsidRDefault="00F8299B" w:rsidP="00F8299B">
            <w:pPr>
              <w:rPr>
                <w:sz w:val="20"/>
              </w:rPr>
            </w:pPr>
            <w:r w:rsidRPr="002D5B48">
              <w:rPr>
                <w:sz w:val="20"/>
              </w:rPr>
              <w:t>2.5</w:t>
            </w:r>
          </w:p>
        </w:tc>
        <w:tc>
          <w:tcPr>
            <w:tcW w:w="1200" w:type="dxa"/>
            <w:tcBorders>
              <w:top w:val="nil"/>
              <w:left w:val="nil"/>
              <w:bottom w:val="nil"/>
              <w:right w:val="nil"/>
            </w:tcBorders>
            <w:shd w:val="clear" w:color="auto" w:fill="auto"/>
            <w:noWrap/>
            <w:vAlign w:val="bottom"/>
            <w:hideMark/>
          </w:tcPr>
          <w:p w14:paraId="688954F7" w14:textId="77777777" w:rsidR="00F8299B" w:rsidRPr="002D5B48" w:rsidRDefault="00F8299B" w:rsidP="00F8299B">
            <w:pPr>
              <w:rPr>
                <w:sz w:val="20"/>
              </w:rPr>
            </w:pPr>
            <w:r w:rsidRPr="002D5B48">
              <w:rPr>
                <w:sz w:val="20"/>
              </w:rPr>
              <w:t>24</w:t>
            </w:r>
          </w:p>
        </w:tc>
        <w:tc>
          <w:tcPr>
            <w:tcW w:w="1665" w:type="dxa"/>
            <w:tcBorders>
              <w:top w:val="nil"/>
              <w:left w:val="nil"/>
              <w:bottom w:val="nil"/>
              <w:right w:val="nil"/>
            </w:tcBorders>
            <w:shd w:val="clear" w:color="auto" w:fill="auto"/>
            <w:noWrap/>
            <w:vAlign w:val="bottom"/>
            <w:hideMark/>
          </w:tcPr>
          <w:p w14:paraId="778D63AA" w14:textId="77777777" w:rsidR="00F8299B" w:rsidRPr="002D5B48" w:rsidRDefault="00F8299B" w:rsidP="00F8299B">
            <w:pPr>
              <w:rPr>
                <w:sz w:val="20"/>
              </w:rPr>
            </w:pPr>
            <w:r w:rsidRPr="002D5B48">
              <w:rPr>
                <w:sz w:val="20"/>
              </w:rPr>
              <w:t>2.5, 24</w:t>
            </w:r>
          </w:p>
        </w:tc>
      </w:tr>
      <w:tr w:rsidR="002D5B48" w:rsidRPr="002D5B48" w14:paraId="62862149"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4A808798" w14:textId="77777777" w:rsidR="00F8299B" w:rsidRPr="002D5B48" w:rsidRDefault="00222F0F" w:rsidP="00F8299B">
            <w:pPr>
              <w:rPr>
                <w:sz w:val="20"/>
              </w:rPr>
            </w:pPr>
            <w:proofErr w:type="spellStart"/>
            <w:r w:rsidRPr="002D5B48">
              <w:rPr>
                <w:sz w:val="20"/>
              </w:rPr>
              <w:t>Duprez</w:t>
            </w:r>
            <w:proofErr w:type="spellEnd"/>
          </w:p>
        </w:tc>
        <w:tc>
          <w:tcPr>
            <w:tcW w:w="703" w:type="dxa"/>
            <w:tcBorders>
              <w:top w:val="nil"/>
              <w:left w:val="nil"/>
              <w:bottom w:val="nil"/>
              <w:right w:val="nil"/>
            </w:tcBorders>
            <w:shd w:val="clear" w:color="auto" w:fill="auto"/>
            <w:noWrap/>
            <w:vAlign w:val="bottom"/>
            <w:hideMark/>
          </w:tcPr>
          <w:p w14:paraId="3FDEB8DF" w14:textId="5DAC6054" w:rsidR="00F8299B" w:rsidRPr="002D5B48" w:rsidRDefault="00F8299B" w:rsidP="00F8299B">
            <w:pPr>
              <w:rPr>
                <w:sz w:val="20"/>
              </w:rPr>
            </w:pPr>
            <w:r w:rsidRPr="002D5B48">
              <w:rPr>
                <w:sz w:val="20"/>
              </w:rPr>
              <w:t>202</w:t>
            </w:r>
            <w:r w:rsidR="00FA0BED">
              <w:rPr>
                <w:sz w:val="20"/>
              </w:rPr>
              <w:t>1</w:t>
            </w:r>
          </w:p>
        </w:tc>
        <w:tc>
          <w:tcPr>
            <w:tcW w:w="1280" w:type="dxa"/>
            <w:tcBorders>
              <w:top w:val="nil"/>
              <w:left w:val="nil"/>
              <w:bottom w:val="nil"/>
              <w:right w:val="nil"/>
            </w:tcBorders>
            <w:vAlign w:val="bottom"/>
          </w:tcPr>
          <w:p w14:paraId="5E671701" w14:textId="77777777" w:rsidR="00F8299B" w:rsidRPr="002D5B48" w:rsidRDefault="00F8299B" w:rsidP="00F8299B">
            <w:pPr>
              <w:rPr>
                <w:b/>
                <w:bCs/>
                <w:sz w:val="20"/>
              </w:rPr>
            </w:pPr>
            <w:r w:rsidRPr="002D5B48">
              <w:rPr>
                <w:b/>
                <w:bCs/>
                <w:sz w:val="20"/>
              </w:rPr>
              <w:t>GSE147729</w:t>
            </w:r>
          </w:p>
        </w:tc>
        <w:tc>
          <w:tcPr>
            <w:tcW w:w="1740" w:type="dxa"/>
            <w:tcBorders>
              <w:top w:val="nil"/>
              <w:left w:val="nil"/>
              <w:bottom w:val="nil"/>
              <w:right w:val="nil"/>
            </w:tcBorders>
            <w:shd w:val="clear" w:color="auto" w:fill="auto"/>
            <w:noWrap/>
            <w:vAlign w:val="bottom"/>
          </w:tcPr>
          <w:p w14:paraId="33EA72F5" w14:textId="38F871EC" w:rsidR="00F8299B" w:rsidRPr="002D5B48" w:rsidRDefault="00222F0F" w:rsidP="00F8299B">
            <w:pPr>
              <w:rPr>
                <w:sz w:val="20"/>
              </w:rPr>
            </w:pPr>
            <w:r w:rsidRPr="002D5B48">
              <w:rPr>
                <w:sz w:val="20"/>
              </w:rPr>
              <w:t>H</w:t>
            </w:r>
            <w:r w:rsidR="00C66F39">
              <w:rPr>
                <w:sz w:val="20"/>
              </w:rPr>
              <w:t>é</w:t>
            </w:r>
            <w:r w:rsidRPr="002D5B48">
              <w:rPr>
                <w:sz w:val="20"/>
              </w:rPr>
              <w:t>rault</w:t>
            </w:r>
            <w:r w:rsidRPr="002D5B48">
              <w:rPr>
                <w:sz w:val="20"/>
              </w:rPr>
              <w:fldChar w:fldCharType="begin"/>
            </w:r>
            <w:r w:rsidRPr="002D5B48">
              <w:rPr>
                <w:sz w:val="20"/>
              </w:rPr>
              <w:instrText xml:space="preserve"> ADDIN ZOTERO_ITEM CSL_CITATION {"citationID":"56Th20iu","properties":{"formattedCitation":"\\super 44\\nosupersub{}","plainCitation":"44","noteIndex":0},"citationItems":[{"id":362,"uris":["http://zotero.org/users/local/ebh37oKg/items/2YMQMCEP"],"itemData":{"id":362,"type":"article-journal","abstract":"Hematopoietic stem cells (HSCs) are the guarantor of the proper functioning of hematopoiesis due to their incredible diversity of potential. During aging, heterogeneity of HSCs changes, contributing to the deterioration of the immune system. In this study, we revisited mouse HSC compartment and its transcriptional plasticity during aging at unicellular scale.","container-title":"BMC Biology","DOI":"10.1186/s12915-021-00955-z","ISSN":"1741-7007","issue":"1","journalAbbreviation":"BMC Biology","page":"19","source":"BioMed Central","title":"Single-cell RNA-seq reveals a concomitant delay in differentiation and cell cycle of aged hematopoietic stem cells","volume":"19","author":[{"family":"Hérault","given":"Léonard"},{"family":"Poplineau","given":"Mathilde"},{"family":"Mazuel","given":"Adrien"},{"family":"Platet","given":"Nadine"},{"family":"Remy","given":"Élisabeth"},{"family":"Duprez","given":"Estelle"}],"issued":{"date-parts":[["2021",2,1]]}}}],"schema":"https://github.com/citation-style-language/schema/raw/master/csl-citation.json"} </w:instrText>
            </w:r>
            <w:r w:rsidRPr="002D5B48">
              <w:rPr>
                <w:sz w:val="20"/>
              </w:rPr>
              <w:fldChar w:fldCharType="separate"/>
            </w:r>
            <w:r w:rsidRPr="002D5B48">
              <w:rPr>
                <w:rFonts w:cs="Calibri"/>
                <w:kern w:val="0"/>
                <w:sz w:val="20"/>
                <w:vertAlign w:val="superscript"/>
              </w:rPr>
              <w:t>44</w:t>
            </w:r>
            <w:r w:rsidRPr="002D5B48">
              <w:rPr>
                <w:sz w:val="20"/>
              </w:rPr>
              <w:fldChar w:fldCharType="end"/>
            </w:r>
          </w:p>
        </w:tc>
        <w:tc>
          <w:tcPr>
            <w:tcW w:w="1325" w:type="dxa"/>
            <w:tcBorders>
              <w:top w:val="nil"/>
              <w:left w:val="nil"/>
              <w:bottom w:val="nil"/>
              <w:right w:val="nil"/>
            </w:tcBorders>
            <w:shd w:val="clear" w:color="auto" w:fill="auto"/>
            <w:noWrap/>
            <w:vAlign w:val="bottom"/>
          </w:tcPr>
          <w:p w14:paraId="4448E291" w14:textId="2E374ACB" w:rsidR="00F8299B" w:rsidRPr="002D5B48" w:rsidRDefault="00C66F39" w:rsidP="00F8299B">
            <w:pPr>
              <w:rPr>
                <w:sz w:val="20"/>
              </w:rPr>
            </w:pPr>
            <w:r w:rsidRPr="00C66F39">
              <w:rPr>
                <w:sz w:val="20"/>
              </w:rPr>
              <w:t>33526011</w:t>
            </w:r>
          </w:p>
        </w:tc>
        <w:tc>
          <w:tcPr>
            <w:tcW w:w="1094" w:type="dxa"/>
            <w:tcBorders>
              <w:top w:val="nil"/>
              <w:left w:val="nil"/>
              <w:bottom w:val="nil"/>
              <w:right w:val="nil"/>
            </w:tcBorders>
            <w:shd w:val="clear" w:color="auto" w:fill="auto"/>
            <w:noWrap/>
            <w:vAlign w:val="bottom"/>
            <w:hideMark/>
          </w:tcPr>
          <w:p w14:paraId="3B28AC0B" w14:textId="77777777" w:rsidR="00F8299B" w:rsidRPr="002D5B48" w:rsidRDefault="00F8299B" w:rsidP="00F8299B">
            <w:pPr>
              <w:rPr>
                <w:sz w:val="20"/>
              </w:rPr>
            </w:pPr>
            <w:r w:rsidRPr="002D5B48">
              <w:rPr>
                <w:sz w:val="20"/>
              </w:rPr>
              <w:t>SC_RNA</w:t>
            </w:r>
          </w:p>
        </w:tc>
        <w:tc>
          <w:tcPr>
            <w:tcW w:w="1320" w:type="dxa"/>
            <w:tcBorders>
              <w:top w:val="nil"/>
              <w:left w:val="nil"/>
              <w:bottom w:val="nil"/>
              <w:right w:val="nil"/>
            </w:tcBorders>
            <w:shd w:val="clear" w:color="auto" w:fill="auto"/>
            <w:noWrap/>
            <w:vAlign w:val="bottom"/>
            <w:hideMark/>
          </w:tcPr>
          <w:p w14:paraId="225CF3E5" w14:textId="77777777" w:rsidR="00F8299B" w:rsidRPr="002D5B48" w:rsidRDefault="00F8299B" w:rsidP="00F8299B">
            <w:pPr>
              <w:rPr>
                <w:sz w:val="20"/>
              </w:rPr>
            </w:pPr>
            <w:r w:rsidRPr="002D5B48">
              <w:rPr>
                <w:sz w:val="20"/>
              </w:rPr>
              <w:t>2</w:t>
            </w:r>
          </w:p>
        </w:tc>
        <w:tc>
          <w:tcPr>
            <w:tcW w:w="1200" w:type="dxa"/>
            <w:tcBorders>
              <w:top w:val="nil"/>
              <w:left w:val="nil"/>
              <w:bottom w:val="nil"/>
              <w:right w:val="nil"/>
            </w:tcBorders>
            <w:shd w:val="clear" w:color="auto" w:fill="auto"/>
            <w:noWrap/>
            <w:vAlign w:val="bottom"/>
            <w:hideMark/>
          </w:tcPr>
          <w:p w14:paraId="6305601F" w14:textId="77777777" w:rsidR="00F8299B" w:rsidRPr="002D5B48" w:rsidRDefault="00F8299B" w:rsidP="00F8299B">
            <w:pPr>
              <w:rPr>
                <w:sz w:val="20"/>
              </w:rPr>
            </w:pPr>
            <w:r w:rsidRPr="002D5B48">
              <w:rPr>
                <w:sz w:val="20"/>
              </w:rPr>
              <w:t xml:space="preserve">17-18 </w:t>
            </w:r>
            <w:proofErr w:type="spellStart"/>
            <w:r w:rsidRPr="002D5B48">
              <w:rPr>
                <w:sz w:val="20"/>
              </w:rPr>
              <w:t>mo</w:t>
            </w:r>
            <w:proofErr w:type="spellEnd"/>
          </w:p>
        </w:tc>
        <w:tc>
          <w:tcPr>
            <w:tcW w:w="1665" w:type="dxa"/>
            <w:tcBorders>
              <w:top w:val="nil"/>
              <w:left w:val="nil"/>
              <w:bottom w:val="nil"/>
              <w:right w:val="nil"/>
            </w:tcBorders>
            <w:shd w:val="clear" w:color="auto" w:fill="auto"/>
            <w:noWrap/>
            <w:vAlign w:val="bottom"/>
            <w:hideMark/>
          </w:tcPr>
          <w:p w14:paraId="60456D7C" w14:textId="77777777" w:rsidR="00F8299B" w:rsidRPr="002D5B48" w:rsidRDefault="00F8299B" w:rsidP="00F8299B">
            <w:pPr>
              <w:rPr>
                <w:sz w:val="20"/>
              </w:rPr>
            </w:pPr>
            <w:r w:rsidRPr="002D5B48">
              <w:rPr>
                <w:sz w:val="20"/>
              </w:rPr>
              <w:t>2, 17-18</w:t>
            </w:r>
          </w:p>
        </w:tc>
      </w:tr>
      <w:tr w:rsidR="002D5B48" w:rsidRPr="002D5B48" w14:paraId="25FE9767"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4EB7D54B" w14:textId="473D9926" w:rsidR="00F8299B" w:rsidRPr="002D5B48" w:rsidRDefault="00F8299B" w:rsidP="00F8299B">
            <w:pPr>
              <w:rPr>
                <w:sz w:val="20"/>
              </w:rPr>
            </w:pPr>
            <w:proofErr w:type="spellStart"/>
            <w:r w:rsidRPr="002D5B48">
              <w:rPr>
                <w:sz w:val="20"/>
              </w:rPr>
              <w:t>Ropa</w:t>
            </w:r>
            <w:proofErr w:type="spellEnd"/>
          </w:p>
        </w:tc>
        <w:tc>
          <w:tcPr>
            <w:tcW w:w="703" w:type="dxa"/>
            <w:tcBorders>
              <w:top w:val="nil"/>
              <w:left w:val="nil"/>
              <w:bottom w:val="nil"/>
              <w:right w:val="nil"/>
            </w:tcBorders>
            <w:shd w:val="clear" w:color="auto" w:fill="auto"/>
            <w:noWrap/>
            <w:vAlign w:val="bottom"/>
            <w:hideMark/>
          </w:tcPr>
          <w:p w14:paraId="7D7E8E09" w14:textId="77777777" w:rsidR="00F8299B" w:rsidRPr="002D5B48" w:rsidRDefault="00F8299B" w:rsidP="00F8299B">
            <w:pPr>
              <w:rPr>
                <w:sz w:val="20"/>
              </w:rPr>
            </w:pPr>
            <w:r w:rsidRPr="002D5B48">
              <w:rPr>
                <w:sz w:val="20"/>
              </w:rPr>
              <w:t>2023</w:t>
            </w:r>
          </w:p>
        </w:tc>
        <w:tc>
          <w:tcPr>
            <w:tcW w:w="1280" w:type="dxa"/>
            <w:tcBorders>
              <w:top w:val="nil"/>
              <w:left w:val="nil"/>
              <w:bottom w:val="nil"/>
              <w:right w:val="nil"/>
            </w:tcBorders>
            <w:vAlign w:val="bottom"/>
          </w:tcPr>
          <w:p w14:paraId="7B1BEFC5" w14:textId="77777777" w:rsidR="00F8299B" w:rsidRPr="002D5B48" w:rsidRDefault="00F8299B" w:rsidP="00F8299B">
            <w:pPr>
              <w:rPr>
                <w:sz w:val="20"/>
              </w:rPr>
            </w:pPr>
            <w:r w:rsidRPr="002D5B48">
              <w:rPr>
                <w:sz w:val="20"/>
              </w:rPr>
              <w:t>GSE221126</w:t>
            </w:r>
          </w:p>
        </w:tc>
        <w:tc>
          <w:tcPr>
            <w:tcW w:w="1740" w:type="dxa"/>
            <w:tcBorders>
              <w:top w:val="nil"/>
              <w:left w:val="nil"/>
              <w:bottom w:val="nil"/>
              <w:right w:val="nil"/>
            </w:tcBorders>
            <w:shd w:val="clear" w:color="auto" w:fill="auto"/>
            <w:noWrap/>
            <w:vAlign w:val="bottom"/>
          </w:tcPr>
          <w:p w14:paraId="79CA462F" w14:textId="77777777" w:rsidR="00F8299B" w:rsidRPr="002D5B48" w:rsidRDefault="00222F0F" w:rsidP="00F8299B">
            <w:pPr>
              <w:rPr>
                <w:sz w:val="20"/>
              </w:rPr>
            </w:pPr>
            <w:r w:rsidRPr="002D5B48">
              <w:rPr>
                <w:sz w:val="20"/>
              </w:rPr>
              <w:t>Trinh</w:t>
            </w:r>
            <w:r w:rsidRPr="002D5B48">
              <w:rPr>
                <w:sz w:val="20"/>
              </w:rPr>
              <w:fldChar w:fldCharType="begin"/>
            </w:r>
            <w:r w:rsidRPr="002D5B48">
              <w:rPr>
                <w:sz w:val="20"/>
              </w:rPr>
              <w:instrText xml:space="preserve"> ADDIN ZOTERO_ITEM CSL_CITATION {"citationID":"ANFyx0Jd","properties":{"formattedCitation":"\\super 45\\nosupersub{}","plainCitation":"45","noteIndex":0},"citationItems":[{"id":542,"uris":["http://zotero.org/users/local/ebh37oKg/items/V24PBEW9"],"itemData":{"id":542,"type":"article-journal","container-title":"Leukemia","DOI":"10.1038/s41375-023-01815-1","ISSN":"0887-6924","issue":"3","journalAbbreviation":"Leukemia","note":"PMID: 36650272\nPMCID: PMC9991916","page":"712-716","source":"PubMed Central","title":"Age-related decline in LEPR+ hematopoietic stem cell function","volume":"37","author":[{"family":"Trinh","given":"Thao"},{"family":"Ropa","given":"James"},{"family":"Cooper","given":"Scott"},{"family":"Aljoufi","given":"Arafat"},{"family":"Sinn","given":"Anthony"},{"family":"Capitano","given":"Maegan"},{"family":"Broxmeyer","given":"Hal E."},{"family":"Kaplan","given":"Mark H."}],"issued":{"date-parts":[["2023"]]}}}],"schema":"https://github.com/citation-style-language/schema/raw/master/csl-citation.json"} </w:instrText>
            </w:r>
            <w:r w:rsidRPr="002D5B48">
              <w:rPr>
                <w:sz w:val="20"/>
              </w:rPr>
              <w:fldChar w:fldCharType="separate"/>
            </w:r>
            <w:r w:rsidRPr="002D5B48">
              <w:rPr>
                <w:rFonts w:cs="Calibri"/>
                <w:kern w:val="0"/>
                <w:sz w:val="20"/>
                <w:vertAlign w:val="superscript"/>
              </w:rPr>
              <w:t>45</w:t>
            </w:r>
            <w:r w:rsidRPr="002D5B48">
              <w:rPr>
                <w:sz w:val="20"/>
              </w:rPr>
              <w:fldChar w:fldCharType="end"/>
            </w:r>
          </w:p>
        </w:tc>
        <w:tc>
          <w:tcPr>
            <w:tcW w:w="1325" w:type="dxa"/>
            <w:tcBorders>
              <w:top w:val="nil"/>
              <w:left w:val="nil"/>
              <w:bottom w:val="nil"/>
              <w:right w:val="nil"/>
            </w:tcBorders>
            <w:shd w:val="clear" w:color="auto" w:fill="auto"/>
            <w:noWrap/>
            <w:vAlign w:val="bottom"/>
          </w:tcPr>
          <w:p w14:paraId="5FF36F62" w14:textId="77777777" w:rsidR="00F8299B" w:rsidRPr="002D5B48" w:rsidRDefault="00F8299B" w:rsidP="00F8299B">
            <w:pPr>
              <w:rPr>
                <w:sz w:val="20"/>
              </w:rPr>
            </w:pPr>
            <w:r w:rsidRPr="002D5B48">
              <w:rPr>
                <w:sz w:val="20"/>
              </w:rPr>
              <w:t>36650272</w:t>
            </w:r>
          </w:p>
        </w:tc>
        <w:tc>
          <w:tcPr>
            <w:tcW w:w="1094" w:type="dxa"/>
            <w:tcBorders>
              <w:top w:val="nil"/>
              <w:left w:val="nil"/>
              <w:bottom w:val="nil"/>
              <w:right w:val="nil"/>
            </w:tcBorders>
            <w:shd w:val="clear" w:color="auto" w:fill="auto"/>
            <w:noWrap/>
            <w:vAlign w:val="bottom"/>
            <w:hideMark/>
          </w:tcPr>
          <w:p w14:paraId="1904FB9D"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6F3576EC" w14:textId="77777777" w:rsidR="00F8299B" w:rsidRPr="002D5B48" w:rsidRDefault="00F8299B" w:rsidP="00F8299B">
            <w:pPr>
              <w:rPr>
                <w:sz w:val="20"/>
              </w:rPr>
            </w:pPr>
            <w:r w:rsidRPr="002D5B48">
              <w:rPr>
                <w:sz w:val="20"/>
              </w:rPr>
              <w:t xml:space="preserve">2-4 </w:t>
            </w:r>
            <w:proofErr w:type="spellStart"/>
            <w:r w:rsidRPr="002D5B48">
              <w:rPr>
                <w:sz w:val="20"/>
              </w:rPr>
              <w:t>mo</w:t>
            </w:r>
            <w:proofErr w:type="spellEnd"/>
          </w:p>
        </w:tc>
        <w:tc>
          <w:tcPr>
            <w:tcW w:w="1200" w:type="dxa"/>
            <w:tcBorders>
              <w:top w:val="nil"/>
              <w:left w:val="nil"/>
              <w:bottom w:val="nil"/>
              <w:right w:val="nil"/>
            </w:tcBorders>
            <w:shd w:val="clear" w:color="auto" w:fill="auto"/>
            <w:noWrap/>
            <w:vAlign w:val="bottom"/>
            <w:hideMark/>
          </w:tcPr>
          <w:p w14:paraId="7120211C" w14:textId="77777777" w:rsidR="00F8299B" w:rsidRPr="002D5B48" w:rsidRDefault="00F8299B" w:rsidP="00F8299B">
            <w:pPr>
              <w:rPr>
                <w:sz w:val="20"/>
              </w:rPr>
            </w:pPr>
            <w:r w:rsidRPr="002D5B48">
              <w:rPr>
                <w:sz w:val="20"/>
              </w:rPr>
              <w:t xml:space="preserve">12-15 </w:t>
            </w:r>
            <w:proofErr w:type="spellStart"/>
            <w:r w:rsidRPr="002D5B48">
              <w:rPr>
                <w:sz w:val="20"/>
              </w:rPr>
              <w:t>mo</w:t>
            </w:r>
            <w:proofErr w:type="spellEnd"/>
          </w:p>
        </w:tc>
        <w:tc>
          <w:tcPr>
            <w:tcW w:w="1665" w:type="dxa"/>
            <w:tcBorders>
              <w:top w:val="nil"/>
              <w:left w:val="nil"/>
              <w:bottom w:val="nil"/>
              <w:right w:val="nil"/>
            </w:tcBorders>
            <w:shd w:val="clear" w:color="auto" w:fill="auto"/>
            <w:noWrap/>
            <w:vAlign w:val="bottom"/>
            <w:hideMark/>
          </w:tcPr>
          <w:p w14:paraId="78A3263B" w14:textId="77777777" w:rsidR="00F8299B" w:rsidRPr="002D5B48" w:rsidRDefault="00F8299B" w:rsidP="00F8299B">
            <w:pPr>
              <w:rPr>
                <w:sz w:val="20"/>
              </w:rPr>
            </w:pPr>
            <w:r w:rsidRPr="002D5B48">
              <w:rPr>
                <w:sz w:val="20"/>
              </w:rPr>
              <w:t>2-4, 12-15</w:t>
            </w:r>
          </w:p>
        </w:tc>
      </w:tr>
      <w:tr w:rsidR="002D5B48" w:rsidRPr="002D5B48" w14:paraId="1977885F"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hideMark/>
          </w:tcPr>
          <w:p w14:paraId="33030889" w14:textId="21291F72" w:rsidR="00F8299B" w:rsidRPr="002D5B48" w:rsidRDefault="00F8299B" w:rsidP="00F8299B">
            <w:pPr>
              <w:rPr>
                <w:sz w:val="20"/>
              </w:rPr>
            </w:pPr>
            <w:r w:rsidRPr="002D5B48">
              <w:rPr>
                <w:sz w:val="20"/>
              </w:rPr>
              <w:t>Redmond</w:t>
            </w:r>
          </w:p>
        </w:tc>
        <w:tc>
          <w:tcPr>
            <w:tcW w:w="703" w:type="dxa"/>
            <w:tcBorders>
              <w:top w:val="nil"/>
              <w:left w:val="nil"/>
              <w:bottom w:val="nil"/>
              <w:right w:val="nil"/>
            </w:tcBorders>
            <w:shd w:val="clear" w:color="auto" w:fill="auto"/>
            <w:noWrap/>
            <w:vAlign w:val="bottom"/>
            <w:hideMark/>
          </w:tcPr>
          <w:p w14:paraId="166B3980" w14:textId="77777777" w:rsidR="00F8299B" w:rsidRPr="002D5B48" w:rsidRDefault="00F8299B" w:rsidP="00F8299B">
            <w:pPr>
              <w:rPr>
                <w:sz w:val="20"/>
              </w:rPr>
            </w:pPr>
            <w:r w:rsidRPr="002D5B48">
              <w:rPr>
                <w:sz w:val="20"/>
              </w:rPr>
              <w:t>2023</w:t>
            </w:r>
          </w:p>
        </w:tc>
        <w:tc>
          <w:tcPr>
            <w:tcW w:w="1280" w:type="dxa"/>
            <w:tcBorders>
              <w:top w:val="nil"/>
              <w:left w:val="nil"/>
              <w:bottom w:val="nil"/>
              <w:right w:val="nil"/>
            </w:tcBorders>
            <w:vAlign w:val="bottom"/>
          </w:tcPr>
          <w:p w14:paraId="2A89B327" w14:textId="77777777" w:rsidR="00F8299B" w:rsidRPr="002D5B48" w:rsidRDefault="00F8299B" w:rsidP="00F8299B">
            <w:pPr>
              <w:rPr>
                <w:b/>
                <w:bCs/>
                <w:sz w:val="20"/>
              </w:rPr>
            </w:pPr>
            <w:r w:rsidRPr="002D5B48">
              <w:rPr>
                <w:b/>
                <w:bCs/>
                <w:sz w:val="20"/>
              </w:rPr>
              <w:t>GSE227146</w:t>
            </w:r>
          </w:p>
        </w:tc>
        <w:tc>
          <w:tcPr>
            <w:tcW w:w="1740" w:type="dxa"/>
            <w:tcBorders>
              <w:top w:val="nil"/>
              <w:left w:val="nil"/>
              <w:bottom w:val="nil"/>
              <w:right w:val="nil"/>
            </w:tcBorders>
            <w:shd w:val="clear" w:color="auto" w:fill="auto"/>
            <w:noWrap/>
            <w:vAlign w:val="bottom"/>
          </w:tcPr>
          <w:p w14:paraId="7FAA95DD" w14:textId="77777777" w:rsidR="00F8299B" w:rsidRPr="002D5B48" w:rsidRDefault="00222F0F" w:rsidP="00F8299B">
            <w:pPr>
              <w:rPr>
                <w:sz w:val="20"/>
              </w:rPr>
            </w:pPr>
            <w:r w:rsidRPr="002D5B48">
              <w:rPr>
                <w:sz w:val="20"/>
              </w:rPr>
              <w:t>Ramalingam</w:t>
            </w:r>
            <w:r w:rsidRPr="002D5B48">
              <w:rPr>
                <w:sz w:val="20"/>
              </w:rPr>
              <w:fldChar w:fldCharType="begin"/>
            </w:r>
            <w:r w:rsidRPr="002D5B48">
              <w:rPr>
                <w:sz w:val="20"/>
              </w:rPr>
              <w:instrText xml:space="preserve"> ADDIN ZOTERO_ITEM CSL_CITATION {"citationID":"kf0MljU8","properties":{"formattedCitation":"\\super 46\\nosupersub{}","plainCitation":"46","noteIndex":0},"citationItems":[{"id":545,"uris":["http://zotero.org/users/local/ebh37oKg/items/MYXJ8SAB"],"itemData":{"id":545,"type":"article-journal","abstract":"Aging associated defects within stem cell-supportive niches contribute towards age-related decline in stem cell activity. However, mechanisms underlying age-related niche defects, and whether restoring niche function can improve stem cell fitness, remain ...","container-title":"Nature Communications","DOI":"10.1038/s41467-023-37783-4","language":"en","note":"publisher: Nature Publishing Group\nPMID: 37037837","source":"www.ncbi.nlm.nih.gov","title":"Restoring bone marrow niche function rejuvenates aged hematopoietic stem cells by reactivating the DNA Damage Response","URL":"https://www.ncbi.nlm.nih.gov/pmc/articles/PMC10086043/","volume":"14","author":[{"family":"Ramalingam","given":"Pradeep"},{"family":"Gutkin","given":"Michael C."},{"family":"Poulos","given":"Michael G."},{"family":"Tillery","given":"Taylor"},{"family":"Doughty","given":"Chelsea"},{"family":"Winiarski","given":"Agatha"},{"family":"Freire","given":"Ana G."},{"family":"Rafii","given":"Shahin"},{"family":"Redmond","given":"David"},{"family":"Butler","given":"Jason M."}],"accessed":{"date-parts":[["2023",12,13]]},"issued":{"date-parts":[["2023"]]}}}],"schema":"https://github.com/citation-style-language/schema/raw/master/csl-citation.json"} </w:instrText>
            </w:r>
            <w:r w:rsidRPr="002D5B48">
              <w:rPr>
                <w:sz w:val="20"/>
              </w:rPr>
              <w:fldChar w:fldCharType="separate"/>
            </w:r>
            <w:r w:rsidRPr="002D5B48">
              <w:rPr>
                <w:rFonts w:cs="Calibri"/>
                <w:kern w:val="0"/>
                <w:sz w:val="20"/>
                <w:vertAlign w:val="superscript"/>
              </w:rPr>
              <w:t>46</w:t>
            </w:r>
            <w:r w:rsidRPr="002D5B48">
              <w:rPr>
                <w:sz w:val="20"/>
              </w:rPr>
              <w:fldChar w:fldCharType="end"/>
            </w:r>
          </w:p>
        </w:tc>
        <w:tc>
          <w:tcPr>
            <w:tcW w:w="1325" w:type="dxa"/>
            <w:tcBorders>
              <w:top w:val="nil"/>
              <w:left w:val="nil"/>
              <w:bottom w:val="nil"/>
              <w:right w:val="nil"/>
            </w:tcBorders>
            <w:shd w:val="clear" w:color="auto" w:fill="auto"/>
            <w:noWrap/>
            <w:vAlign w:val="bottom"/>
          </w:tcPr>
          <w:p w14:paraId="4E44300D" w14:textId="77777777" w:rsidR="00F8299B" w:rsidRPr="002D5B48" w:rsidRDefault="00F8299B" w:rsidP="00F8299B">
            <w:pPr>
              <w:rPr>
                <w:sz w:val="20"/>
              </w:rPr>
            </w:pPr>
            <w:r w:rsidRPr="002D5B48">
              <w:rPr>
                <w:sz w:val="20"/>
              </w:rPr>
              <w:t>37037837</w:t>
            </w:r>
          </w:p>
        </w:tc>
        <w:tc>
          <w:tcPr>
            <w:tcW w:w="1094" w:type="dxa"/>
            <w:tcBorders>
              <w:top w:val="nil"/>
              <w:left w:val="nil"/>
              <w:bottom w:val="nil"/>
              <w:right w:val="nil"/>
            </w:tcBorders>
            <w:shd w:val="clear" w:color="auto" w:fill="auto"/>
            <w:noWrap/>
            <w:vAlign w:val="bottom"/>
            <w:hideMark/>
          </w:tcPr>
          <w:p w14:paraId="28F44ACD" w14:textId="77777777" w:rsidR="00F8299B" w:rsidRPr="002D5B48" w:rsidRDefault="00F8299B" w:rsidP="00F8299B">
            <w:pPr>
              <w:rPr>
                <w:sz w:val="20"/>
              </w:rPr>
            </w:pPr>
            <w:proofErr w:type="spellStart"/>
            <w:r w:rsidRPr="002D5B48">
              <w:rPr>
                <w:sz w:val="20"/>
              </w:rPr>
              <w:t>bulkRNA</w:t>
            </w:r>
            <w:proofErr w:type="spellEnd"/>
          </w:p>
        </w:tc>
        <w:tc>
          <w:tcPr>
            <w:tcW w:w="1320" w:type="dxa"/>
            <w:tcBorders>
              <w:top w:val="nil"/>
              <w:left w:val="nil"/>
              <w:bottom w:val="nil"/>
              <w:right w:val="nil"/>
            </w:tcBorders>
            <w:shd w:val="clear" w:color="auto" w:fill="auto"/>
            <w:noWrap/>
            <w:vAlign w:val="bottom"/>
            <w:hideMark/>
          </w:tcPr>
          <w:p w14:paraId="3EE6596A" w14:textId="77777777" w:rsidR="00F8299B" w:rsidRPr="002D5B48" w:rsidRDefault="00F8299B" w:rsidP="00F8299B">
            <w:pPr>
              <w:rPr>
                <w:sz w:val="20"/>
              </w:rPr>
            </w:pPr>
            <w:r w:rsidRPr="002D5B48">
              <w:rPr>
                <w:sz w:val="20"/>
              </w:rPr>
              <w:t>3</w:t>
            </w:r>
          </w:p>
        </w:tc>
        <w:tc>
          <w:tcPr>
            <w:tcW w:w="1200" w:type="dxa"/>
            <w:tcBorders>
              <w:top w:val="nil"/>
              <w:left w:val="nil"/>
              <w:bottom w:val="nil"/>
              <w:right w:val="nil"/>
            </w:tcBorders>
            <w:shd w:val="clear" w:color="auto" w:fill="auto"/>
            <w:noWrap/>
            <w:vAlign w:val="bottom"/>
            <w:hideMark/>
          </w:tcPr>
          <w:p w14:paraId="2601012A" w14:textId="77777777" w:rsidR="00F8299B" w:rsidRPr="002D5B48" w:rsidRDefault="00F8299B" w:rsidP="00F8299B">
            <w:pPr>
              <w:rPr>
                <w:sz w:val="20"/>
              </w:rPr>
            </w:pPr>
            <w:r w:rsidRPr="002D5B48">
              <w:rPr>
                <w:sz w:val="20"/>
              </w:rPr>
              <w:t>18</w:t>
            </w:r>
          </w:p>
        </w:tc>
        <w:tc>
          <w:tcPr>
            <w:tcW w:w="1665" w:type="dxa"/>
            <w:tcBorders>
              <w:top w:val="nil"/>
              <w:left w:val="nil"/>
              <w:bottom w:val="nil"/>
              <w:right w:val="nil"/>
            </w:tcBorders>
            <w:shd w:val="clear" w:color="auto" w:fill="auto"/>
            <w:noWrap/>
            <w:vAlign w:val="bottom"/>
            <w:hideMark/>
          </w:tcPr>
          <w:p w14:paraId="0F9670F1" w14:textId="77777777" w:rsidR="00F8299B" w:rsidRPr="002D5B48" w:rsidRDefault="00F8299B" w:rsidP="00F8299B">
            <w:pPr>
              <w:rPr>
                <w:sz w:val="20"/>
              </w:rPr>
            </w:pPr>
            <w:r w:rsidRPr="002D5B48">
              <w:rPr>
                <w:sz w:val="20"/>
              </w:rPr>
              <w:t>3, 18</w:t>
            </w:r>
          </w:p>
        </w:tc>
      </w:tr>
      <w:tr w:rsidR="002D5B48" w:rsidRPr="002D5B48" w14:paraId="397DC217" w14:textId="77777777" w:rsidTr="00FF028D">
        <w:trPr>
          <w:gridBefore w:val="1"/>
          <w:wBefore w:w="108" w:type="dxa"/>
          <w:trHeight w:val="320"/>
        </w:trPr>
        <w:tc>
          <w:tcPr>
            <w:tcW w:w="1710" w:type="dxa"/>
            <w:tcBorders>
              <w:top w:val="nil"/>
              <w:left w:val="nil"/>
              <w:bottom w:val="nil"/>
              <w:right w:val="nil"/>
            </w:tcBorders>
            <w:shd w:val="clear" w:color="auto" w:fill="auto"/>
            <w:noWrap/>
            <w:vAlign w:val="bottom"/>
          </w:tcPr>
          <w:p w14:paraId="19B76E8B" w14:textId="77777777" w:rsidR="00F8299B" w:rsidRPr="002D5B48" w:rsidRDefault="00F8299B" w:rsidP="00F8299B">
            <w:pPr>
              <w:rPr>
                <w:sz w:val="20"/>
              </w:rPr>
            </w:pPr>
          </w:p>
        </w:tc>
        <w:tc>
          <w:tcPr>
            <w:tcW w:w="703" w:type="dxa"/>
            <w:tcBorders>
              <w:top w:val="nil"/>
              <w:left w:val="nil"/>
              <w:bottom w:val="nil"/>
              <w:right w:val="nil"/>
            </w:tcBorders>
            <w:shd w:val="clear" w:color="auto" w:fill="auto"/>
            <w:noWrap/>
            <w:vAlign w:val="bottom"/>
          </w:tcPr>
          <w:p w14:paraId="2D188FA8" w14:textId="77777777" w:rsidR="00F8299B" w:rsidRPr="002D5B48" w:rsidRDefault="00F8299B" w:rsidP="00F8299B">
            <w:pPr>
              <w:rPr>
                <w:sz w:val="20"/>
              </w:rPr>
            </w:pPr>
          </w:p>
        </w:tc>
        <w:tc>
          <w:tcPr>
            <w:tcW w:w="1280" w:type="dxa"/>
            <w:tcBorders>
              <w:top w:val="nil"/>
              <w:left w:val="nil"/>
              <w:bottom w:val="nil"/>
              <w:right w:val="nil"/>
            </w:tcBorders>
            <w:vAlign w:val="bottom"/>
          </w:tcPr>
          <w:p w14:paraId="224BEC9C" w14:textId="495FE572" w:rsidR="00F8299B" w:rsidRPr="002D5B48" w:rsidRDefault="00F8299B" w:rsidP="00F8299B">
            <w:pPr>
              <w:rPr>
                <w:sz w:val="20"/>
              </w:rPr>
            </w:pPr>
          </w:p>
        </w:tc>
        <w:tc>
          <w:tcPr>
            <w:tcW w:w="1740" w:type="dxa"/>
            <w:tcBorders>
              <w:top w:val="nil"/>
              <w:left w:val="nil"/>
              <w:bottom w:val="nil"/>
              <w:right w:val="nil"/>
            </w:tcBorders>
            <w:shd w:val="clear" w:color="auto" w:fill="auto"/>
            <w:noWrap/>
            <w:vAlign w:val="bottom"/>
          </w:tcPr>
          <w:p w14:paraId="55C0E893" w14:textId="77777777" w:rsidR="00F8299B" w:rsidRPr="002D5B48" w:rsidRDefault="00F8299B" w:rsidP="00F8299B">
            <w:pPr>
              <w:rPr>
                <w:sz w:val="20"/>
              </w:rPr>
            </w:pPr>
          </w:p>
        </w:tc>
        <w:tc>
          <w:tcPr>
            <w:tcW w:w="1325" w:type="dxa"/>
            <w:tcBorders>
              <w:top w:val="nil"/>
              <w:left w:val="nil"/>
              <w:bottom w:val="nil"/>
              <w:right w:val="nil"/>
            </w:tcBorders>
            <w:shd w:val="clear" w:color="auto" w:fill="auto"/>
            <w:noWrap/>
            <w:vAlign w:val="bottom"/>
          </w:tcPr>
          <w:p w14:paraId="64A72950" w14:textId="77777777" w:rsidR="00F8299B" w:rsidRPr="002D5B48" w:rsidRDefault="00F8299B" w:rsidP="00F8299B">
            <w:pPr>
              <w:rPr>
                <w:sz w:val="20"/>
              </w:rPr>
            </w:pPr>
          </w:p>
        </w:tc>
        <w:tc>
          <w:tcPr>
            <w:tcW w:w="1094" w:type="dxa"/>
            <w:tcBorders>
              <w:top w:val="nil"/>
              <w:left w:val="nil"/>
              <w:bottom w:val="nil"/>
              <w:right w:val="nil"/>
            </w:tcBorders>
            <w:shd w:val="clear" w:color="auto" w:fill="auto"/>
            <w:noWrap/>
            <w:vAlign w:val="bottom"/>
          </w:tcPr>
          <w:p w14:paraId="7BE8E110" w14:textId="77777777" w:rsidR="00F8299B" w:rsidRPr="002D5B48" w:rsidRDefault="00F8299B" w:rsidP="00F8299B">
            <w:pPr>
              <w:rPr>
                <w:sz w:val="20"/>
              </w:rPr>
            </w:pPr>
          </w:p>
        </w:tc>
        <w:tc>
          <w:tcPr>
            <w:tcW w:w="1320" w:type="dxa"/>
            <w:tcBorders>
              <w:top w:val="nil"/>
              <w:left w:val="nil"/>
              <w:bottom w:val="nil"/>
              <w:right w:val="nil"/>
            </w:tcBorders>
            <w:shd w:val="clear" w:color="auto" w:fill="auto"/>
            <w:noWrap/>
            <w:vAlign w:val="bottom"/>
          </w:tcPr>
          <w:p w14:paraId="300F1E72" w14:textId="77777777" w:rsidR="00F8299B" w:rsidRPr="002D5B48" w:rsidRDefault="00F8299B" w:rsidP="00F8299B">
            <w:pPr>
              <w:rPr>
                <w:sz w:val="20"/>
              </w:rPr>
            </w:pPr>
          </w:p>
        </w:tc>
        <w:tc>
          <w:tcPr>
            <w:tcW w:w="1200" w:type="dxa"/>
            <w:tcBorders>
              <w:top w:val="nil"/>
              <w:left w:val="nil"/>
              <w:bottom w:val="nil"/>
              <w:right w:val="nil"/>
            </w:tcBorders>
            <w:shd w:val="clear" w:color="auto" w:fill="auto"/>
            <w:noWrap/>
            <w:vAlign w:val="bottom"/>
          </w:tcPr>
          <w:p w14:paraId="4F0FCA2A" w14:textId="77777777" w:rsidR="00F8299B" w:rsidRPr="002D5B48" w:rsidRDefault="00F8299B" w:rsidP="00F8299B">
            <w:pPr>
              <w:rPr>
                <w:sz w:val="20"/>
              </w:rPr>
            </w:pPr>
          </w:p>
        </w:tc>
        <w:tc>
          <w:tcPr>
            <w:tcW w:w="1665" w:type="dxa"/>
            <w:tcBorders>
              <w:top w:val="nil"/>
              <w:left w:val="nil"/>
              <w:bottom w:val="nil"/>
              <w:right w:val="nil"/>
            </w:tcBorders>
            <w:shd w:val="clear" w:color="auto" w:fill="auto"/>
            <w:noWrap/>
            <w:vAlign w:val="bottom"/>
          </w:tcPr>
          <w:p w14:paraId="2BCB836D" w14:textId="77777777" w:rsidR="00F8299B" w:rsidRPr="002D5B48" w:rsidRDefault="00F8299B" w:rsidP="00F8299B">
            <w:pPr>
              <w:rPr>
                <w:sz w:val="20"/>
              </w:rPr>
            </w:pPr>
          </w:p>
        </w:tc>
      </w:tr>
    </w:tbl>
    <w:p w14:paraId="288BCFDD" w14:textId="77777777" w:rsidR="00F8299B" w:rsidRPr="00087CC4" w:rsidRDefault="00F8299B" w:rsidP="00F8299B"/>
    <w:p w14:paraId="16B20D28" w14:textId="77777777" w:rsidR="00F8299B" w:rsidRPr="00087CC4" w:rsidRDefault="00F8299B" w:rsidP="00F8299B"/>
    <w:p w14:paraId="306994BC" w14:textId="77777777" w:rsidR="00F8299B" w:rsidRDefault="00F8299B"/>
    <w:sectPr w:rsidR="00F8299B" w:rsidSect="00AC6F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9B"/>
    <w:rsid w:val="000C2E76"/>
    <w:rsid w:val="00222F0F"/>
    <w:rsid w:val="002D5B48"/>
    <w:rsid w:val="003878E6"/>
    <w:rsid w:val="006C0391"/>
    <w:rsid w:val="007B3FE4"/>
    <w:rsid w:val="007F6E17"/>
    <w:rsid w:val="00AC6F26"/>
    <w:rsid w:val="00C66F39"/>
    <w:rsid w:val="00C76D12"/>
    <w:rsid w:val="00D17638"/>
    <w:rsid w:val="00EB51E6"/>
    <w:rsid w:val="00F8299B"/>
    <w:rsid w:val="00FA0BED"/>
    <w:rsid w:val="00FF0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2E9AD"/>
  <w15:chartTrackingRefBased/>
  <w15:docId w15:val="{8D60ABCA-CBDB-0948-96E9-04D24288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76D12"/>
  </w:style>
  <w:style w:type="character" w:styleId="Hyperlink">
    <w:name w:val="Hyperlink"/>
    <w:basedOn w:val="DefaultParagraphFont"/>
    <w:uiPriority w:val="99"/>
    <w:unhideWhenUsed/>
    <w:rsid w:val="00FF028D"/>
    <w:rPr>
      <w:color w:val="0563C1" w:themeColor="hyperlink"/>
      <w:u w:val="single"/>
    </w:rPr>
  </w:style>
  <w:style w:type="character" w:styleId="UnresolvedMention">
    <w:name w:val="Unresolved Mention"/>
    <w:basedOn w:val="DefaultParagraphFont"/>
    <w:uiPriority w:val="99"/>
    <w:semiHidden/>
    <w:unhideWhenUsed/>
    <w:rsid w:val="00FF0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eonidBystrykh/aging_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10660</Words>
  <Characters>60766</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Bystrykh</dc:creator>
  <cp:keywords/>
  <dc:description/>
  <cp:lastModifiedBy>Leonid Bystrykh</cp:lastModifiedBy>
  <cp:revision>2</cp:revision>
  <dcterms:created xsi:type="dcterms:W3CDTF">2024-04-25T07:29:00Z</dcterms:created>
  <dcterms:modified xsi:type="dcterms:W3CDTF">2024-04-25T07:29:00Z</dcterms:modified>
</cp:coreProperties>
</file>