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13" w:after="0"/>
        <w:rPr/>
      </w:pPr>
      <w:r>
        <w:rPr/>
        <w:t xml:space="preserve"> </w:t>
      </w:r>
      <w:r>
        <w:rPr>
          <w:b/>
          <w:bCs/>
        </w:rPr>
        <w:t>Об информации, документах, реквизитах</w:t>
      </w:r>
    </w:p>
    <w:p>
      <w:pPr>
        <w:pStyle w:val="Style22"/>
        <w:spacing w:lineRule="auto" w:line="240" w:before="113" w:after="0"/>
        <w:jc w:val="both"/>
        <w:rPr>
          <w:rFonts w:ascii="Verdana;Arial;sans-serif" w:hAnsi="Verdana;Arial;sans-serif"/>
          <w:i/>
          <w:i/>
          <w:color w:val="424242"/>
          <w:sz w:val="23"/>
        </w:rPr>
      </w:pPr>
      <w:r>
        <w:rPr>
          <w:rFonts w:ascii="Verdana;Arial;sans-serif" w:hAnsi="Verdana;Arial;sans-serif"/>
          <w:i/>
          <w:color w:val="424242"/>
          <w:sz w:val="23"/>
        </w:rPr>
        <w:tab/>
        <w:t>Единица информации, состоящая из совокупности других единиц информации, ассоциативно связанных между собой некоторыми отношениями, называется составной единицей информации (СЕИ).</w:t>
      </w:r>
    </w:p>
    <w:p>
      <w:pPr>
        <w:pStyle w:val="Style22"/>
        <w:spacing w:lineRule="auto" w:line="240" w:before="113" w:after="0"/>
        <w:jc w:val="both"/>
        <w:rPr>
          <w:rFonts w:ascii="Verdana;Arial;sans-serif" w:hAnsi="Verdana;Arial;sans-serif"/>
          <w:color w:val="424242"/>
          <w:sz w:val="23"/>
        </w:rPr>
      </w:pPr>
      <w:r>
        <w:rPr>
          <w:rFonts w:ascii="Verdana;Arial;sans-serif" w:hAnsi="Verdana;Arial;sans-serif"/>
          <w:b/>
          <w:color w:val="424242"/>
          <w:sz w:val="23"/>
        </w:rPr>
        <w:tab/>
        <w:t xml:space="preserve">Единица информации, входящая в СЕИ, называется составляющей единицей информации. </w:t>
      </w:r>
      <w:r>
        <w:rPr>
          <w:rFonts w:ascii="Verdana;Arial;sans-serif" w:hAnsi="Verdana;Arial;sans-serif"/>
          <w:color w:val="424242"/>
          <w:sz w:val="23"/>
        </w:rPr>
        <w:t>Составляющая единица информации может быть по положению в структуре, в свою очередь, составной единицей информации, но более низкого уровня.</w:t>
      </w:r>
    </w:p>
    <w:p>
      <w:pPr>
        <w:pStyle w:val="Style22"/>
        <w:spacing w:lineRule="auto" w:line="240" w:before="113" w:after="0"/>
        <w:jc w:val="both"/>
        <w:rPr>
          <w:rFonts w:ascii="Verdana;Arial;sans-serif" w:hAnsi="Verdana;Arial;sans-serif"/>
          <w:color w:val="424242"/>
          <w:sz w:val="23"/>
        </w:rPr>
      </w:pPr>
      <w:r>
        <w:rPr>
          <w:rFonts w:ascii="Verdana;Arial;sans-serif" w:hAnsi="Verdana;Arial;sans-serif"/>
          <w:color w:val="424242"/>
          <w:sz w:val="23"/>
        </w:rPr>
        <w:tab/>
        <w:t xml:space="preserve">Введение в </w:t>
      </w:r>
      <w:r>
        <w:rPr>
          <w:rFonts w:ascii="Verdana;Arial;sans-serif" w:hAnsi="Verdana;Arial;sans-serif"/>
          <w:b/>
          <w:i/>
          <w:color w:val="424242"/>
          <w:sz w:val="23"/>
        </w:rPr>
        <w:t xml:space="preserve">составную единицу информации </w:t>
      </w:r>
      <w:r>
        <w:rPr>
          <w:rFonts w:ascii="Verdana;Arial;sans-serif" w:hAnsi="Verdana;Arial;sans-serif"/>
          <w:color w:val="424242"/>
          <w:sz w:val="23"/>
        </w:rPr>
        <w:t xml:space="preserve">промежуточных составных позволяет </w:t>
      </w:r>
      <w:r>
        <w:rPr>
          <w:rFonts w:ascii="Verdana;Arial;sans-serif" w:hAnsi="Verdana;Arial;sans-serif"/>
          <w:b/>
          <w:bCs/>
          <w:color w:val="424242"/>
          <w:sz w:val="23"/>
        </w:rPr>
        <w:t>устранить дублирование данных</w:t>
      </w:r>
      <w:r>
        <w:rPr>
          <w:rFonts w:ascii="Verdana;Arial;sans-serif" w:hAnsi="Verdana;Arial;sans-serif"/>
          <w:color w:val="424242"/>
          <w:sz w:val="23"/>
        </w:rPr>
        <w:t xml:space="preserve"> и создать определенные удобства для групповой адресации.</w:t>
      </w:r>
    </w:p>
    <w:p>
      <w:pPr>
        <w:pStyle w:val="Normal"/>
        <w:spacing w:before="113" w:after="0"/>
        <w:jc w:val="both"/>
        <w:rPr/>
      </w:pPr>
      <w:r>
        <w:rPr>
          <w:rFonts w:ascii="Verdana;Arial;sans-serif" w:hAnsi="Verdana;Arial;sans-serif"/>
          <w:color w:val="424242"/>
          <w:sz w:val="23"/>
        </w:rPr>
        <w:tab/>
        <w:t xml:space="preserve">Промежуточные составные называются </w:t>
      </w:r>
      <w:r>
        <w:rPr>
          <w:rFonts w:ascii="Verdana;Arial;sans-serif" w:hAnsi="Verdana;Arial;sans-serif"/>
          <w:b/>
          <w:bCs/>
          <w:i/>
          <w:color w:val="424242"/>
          <w:sz w:val="23"/>
        </w:rPr>
        <w:t>группами</w:t>
      </w:r>
      <w:r>
        <w:rPr>
          <w:rFonts w:ascii="Verdana;Arial;sans-serif" w:hAnsi="Verdana;Arial;sans-serif"/>
          <w:color w:val="424242"/>
          <w:sz w:val="23"/>
        </w:rPr>
        <w:t xml:space="preserve">, причем те, которые состоят только из </w:t>
      </w:r>
      <w:r>
        <w:rPr>
          <w:rFonts w:ascii="Verdana;Arial;sans-serif" w:hAnsi="Verdana;Arial;sans-serif"/>
          <w:b/>
          <w:bCs/>
          <w:color w:val="424242"/>
          <w:sz w:val="23"/>
        </w:rPr>
        <w:t>реквизитов</w:t>
      </w:r>
      <w:r>
        <w:rPr>
          <w:rFonts w:ascii="Verdana;Arial;sans-serif" w:hAnsi="Verdana;Arial;sans-serif"/>
          <w:color w:val="424242"/>
          <w:sz w:val="23"/>
        </w:rPr>
        <w:t xml:space="preserve"> называются простыми, а имеющие в своем составе другие составляющие — сложными.</w:t>
      </w:r>
    </w:p>
    <w:p>
      <w:pPr>
        <w:pStyle w:val="Normal"/>
        <w:spacing w:before="113" w:after="0"/>
        <w:jc w:val="both"/>
        <w:rPr>
          <w:rFonts w:ascii="Verdana;Arial;sans-serif" w:hAnsi="Verdana;Arial;sans-serif"/>
          <w:color w:val="424242"/>
          <w:sz w:val="23"/>
        </w:rPr>
      </w:pPr>
      <w:r>
        <w:rPr>
          <w:rFonts w:ascii="Verdana;Arial;sans-serif" w:hAnsi="Verdana;Arial;sans-serif"/>
          <w:color w:val="424242"/>
          <w:sz w:val="23"/>
        </w:rPr>
      </w:r>
    </w:p>
    <w:p>
      <w:pPr>
        <w:pStyle w:val="Style22"/>
        <w:spacing w:lineRule="auto" w:line="240" w:before="113" w:after="0"/>
        <w:jc w:val="both"/>
        <w:rPr>
          <w:rFonts w:ascii="Verdana;Arial;sans-serif" w:hAnsi="Verdana;Arial;sans-serif"/>
          <w:b/>
          <w:b/>
          <w:color w:val="424242"/>
          <w:sz w:val="23"/>
        </w:rPr>
      </w:pPr>
      <w:r>
        <w:rPr>
          <w:rFonts w:ascii="Verdana;Arial;sans-serif" w:hAnsi="Verdana;Arial;sans-serif"/>
          <w:color w:val="424242"/>
          <w:sz w:val="23"/>
        </w:rPr>
        <w:t>Примеры простых групп:</w:t>
      </w:r>
    </w:p>
    <w:p>
      <w:pPr>
        <w:pStyle w:val="Style22"/>
        <w:spacing w:lineRule="auto" w:line="240" w:before="113" w:after="0"/>
        <w:rPr>
          <w:rFonts w:ascii="Verdana;Arial;sans-serif" w:hAnsi="Verdana;Arial;sans-serif"/>
          <w:color w:val="424242"/>
          <w:sz w:val="23"/>
        </w:rPr>
      </w:pPr>
      <w:r>
        <w:rPr>
          <w:rFonts w:ascii="Verdana;Arial;sans-serif" w:hAnsi="Verdana;Arial;sans-serif"/>
          <w:color w:val="424242"/>
          <w:sz w:val="23"/>
        </w:rPr>
        <w:t xml:space="preserve">· </w:t>
      </w:r>
      <w:r>
        <w:rPr>
          <w:rFonts w:ascii="Verdana;Arial;sans-serif" w:hAnsi="Verdana;Arial;sans-serif"/>
          <w:i/>
          <w:color w:val="424242"/>
          <w:sz w:val="23"/>
        </w:rPr>
        <w:t>адрес (индекс, город, улица, дом, квартира);</w:t>
      </w:r>
    </w:p>
    <w:p>
      <w:pPr>
        <w:pStyle w:val="Style22"/>
        <w:spacing w:lineRule="auto" w:line="240" w:before="113" w:after="0"/>
        <w:rPr>
          <w:rFonts w:ascii="Verdana;Arial;sans-serif" w:hAnsi="Verdana;Arial;sans-serif"/>
          <w:color w:val="424242"/>
          <w:sz w:val="23"/>
        </w:rPr>
      </w:pPr>
      <w:r>
        <w:rPr>
          <w:rFonts w:ascii="Verdana;Arial;sans-serif" w:hAnsi="Verdana;Arial;sans-serif"/>
          <w:color w:val="424242"/>
          <w:sz w:val="23"/>
        </w:rPr>
        <w:t xml:space="preserve">· </w:t>
      </w:r>
      <w:r>
        <w:rPr>
          <w:rFonts w:ascii="Verdana;Arial;sans-serif" w:hAnsi="Verdana;Arial;sans-serif"/>
          <w:i/>
          <w:color w:val="424242"/>
          <w:sz w:val="23"/>
        </w:rPr>
        <w:t>дата (день, месяц, число);</w:t>
      </w:r>
    </w:p>
    <w:p>
      <w:pPr>
        <w:pStyle w:val="Style22"/>
        <w:spacing w:lineRule="auto" w:line="240" w:before="113" w:after="0"/>
        <w:rPr>
          <w:rFonts w:ascii="Verdana;Arial;sans-serif" w:hAnsi="Verdana;Arial;sans-serif"/>
          <w:color w:val="424242"/>
          <w:sz w:val="23"/>
        </w:rPr>
      </w:pPr>
      <w:r>
        <w:rPr>
          <w:rFonts w:ascii="Verdana;Arial;sans-serif" w:hAnsi="Verdana;Arial;sans-serif"/>
          <w:color w:val="424242"/>
          <w:sz w:val="23"/>
        </w:rPr>
        <w:t xml:space="preserve">· </w:t>
      </w:r>
      <w:r>
        <w:rPr>
          <w:rFonts w:ascii="Verdana;Arial;sans-serif" w:hAnsi="Verdana;Arial;sans-serif"/>
          <w:i/>
          <w:color w:val="424242"/>
          <w:sz w:val="23"/>
        </w:rPr>
        <w:t>лицо (фамилия, имя, отчество);</w:t>
      </w:r>
    </w:p>
    <w:p>
      <w:pPr>
        <w:pStyle w:val="Style22"/>
        <w:spacing w:lineRule="auto" w:line="240" w:before="113" w:after="0"/>
        <w:rPr>
          <w:rFonts w:ascii="Verdana;Arial;sans-serif" w:hAnsi="Verdana;Arial;sans-serif"/>
          <w:color w:val="424242"/>
          <w:sz w:val="23"/>
        </w:rPr>
      </w:pPr>
      <w:r>
        <w:rPr>
          <w:rFonts w:ascii="Verdana;Arial;sans-serif" w:hAnsi="Verdana;Arial;sans-serif"/>
          <w:color w:val="424242"/>
          <w:sz w:val="23"/>
        </w:rPr>
        <w:t xml:space="preserve">· </w:t>
      </w:r>
      <w:r>
        <w:rPr>
          <w:rFonts w:ascii="Verdana;Arial;sans-serif" w:hAnsi="Verdana;Arial;sans-serif"/>
          <w:i/>
          <w:color w:val="424242"/>
          <w:sz w:val="23"/>
        </w:rPr>
        <w:t>товар (наименование, шифр, сорт, размер).</w:t>
      </w:r>
    </w:p>
    <w:p>
      <w:pPr>
        <w:pStyle w:val="Style22"/>
        <w:spacing w:lineRule="auto" w:line="240" w:before="113" w:after="0"/>
        <w:rPr>
          <w:rFonts w:ascii="Verdana;Arial;sans-serif" w:hAnsi="Verdana;Arial;sans-serif"/>
          <w:b/>
          <w:b/>
          <w:color w:val="424242"/>
          <w:sz w:val="23"/>
        </w:rPr>
      </w:pPr>
      <w:r>
        <w:rPr>
          <w:rFonts w:ascii="Verdana;Arial;sans-serif" w:hAnsi="Verdana;Arial;sans-serif"/>
          <w:b/>
          <w:bCs/>
          <w:color w:val="424242"/>
          <w:sz w:val="23"/>
        </w:rPr>
        <w:tab/>
        <w:t>Примеры сложных групп!</w:t>
      </w:r>
      <w:r>
        <w:rPr>
          <w:rFonts w:ascii="Verdana;Arial;sans-serif" w:hAnsi="Verdana;Arial;sans-serif"/>
          <w:b/>
          <w:color w:val="424242"/>
          <w:sz w:val="23"/>
        </w:rPr>
        <w:t>:</w:t>
      </w:r>
    </w:p>
    <w:p>
      <w:pPr>
        <w:pStyle w:val="Style22"/>
        <w:spacing w:lineRule="auto" w:line="240" w:before="113" w:after="0"/>
        <w:rPr>
          <w:rFonts w:ascii="Verdana;Arial;sans-serif" w:hAnsi="Verdana;Arial;sans-serif"/>
          <w:i/>
          <w:i/>
          <w:color w:val="424242"/>
          <w:sz w:val="23"/>
        </w:rPr>
      </w:pPr>
      <w:r>
        <w:rPr>
          <w:rFonts w:ascii="Verdana;Arial;sans-serif" w:hAnsi="Verdana;Arial;sans-serif"/>
          <w:i/>
          <w:color w:val="424242"/>
          <w:sz w:val="23"/>
        </w:rPr>
        <w:t>водитель (лицо, автомобиль);</w:t>
      </w:r>
    </w:p>
    <w:p>
      <w:pPr>
        <w:pStyle w:val="Style22"/>
        <w:spacing w:lineRule="auto" w:line="240" w:before="113" w:after="0"/>
        <w:jc w:val="both"/>
        <w:rPr>
          <w:rFonts w:ascii="Verdana;Arial;sans-serif" w:hAnsi="Verdana;Arial;sans-serif"/>
          <w:i/>
          <w:i/>
          <w:color w:val="424242"/>
          <w:sz w:val="23"/>
        </w:rPr>
      </w:pPr>
      <w:r>
        <w:rPr>
          <w:rFonts w:ascii="Verdana;Arial;sans-serif" w:hAnsi="Verdana;Arial;sans-serif"/>
          <w:i/>
          <w:color w:val="424242"/>
          <w:sz w:val="23"/>
        </w:rPr>
        <w:t>адресат ( адрес, лицо).</w:t>
      </w:r>
    </w:p>
    <w:p>
      <w:pPr>
        <w:pStyle w:val="Style22"/>
        <w:spacing w:lineRule="auto" w:line="240" w:before="113" w:after="0"/>
        <w:rPr>
          <w:rFonts w:ascii="Verdana;Arial;sans-serif" w:hAnsi="Verdana;Arial;sans-serif"/>
          <w:i/>
          <w:i/>
          <w:color w:val="424242"/>
          <w:sz w:val="23"/>
        </w:rPr>
      </w:pPr>
      <w:r>
        <w:rPr>
          <w:rFonts w:ascii="Arial;Helvetica;sans-serif" w:hAnsi="Arial;Helvetica;sans-serif"/>
          <w:color w:val="333333"/>
          <w:sz w:val="27"/>
        </w:rPr>
        <w:t>Реквизит</w:t>
      </w:r>
      <w:r>
        <w:rPr>
          <w:rFonts w:ascii="Verdana;Arial;sans-serif" w:hAnsi="Verdana;Arial;sans-serif"/>
          <w:color w:val="333333"/>
          <w:sz w:val="23"/>
        </w:rPr>
        <w:t xml:space="preserve">— </w:t>
      </w:r>
      <w:r>
        <w:rPr>
          <w:rFonts w:ascii="Arial;Helvetica;sans-serif" w:hAnsi="Arial;Helvetica;sans-serif"/>
          <w:color w:val="333333"/>
          <w:sz w:val="27"/>
        </w:rPr>
        <w:t>обязательный элемент оформления официального  документа.</w:t>
      </w:r>
    </w:p>
    <w:p>
      <w:pPr>
        <w:pStyle w:val="Style22"/>
        <w:spacing w:lineRule="auto" w:line="240" w:before="113" w:after="0"/>
        <w:jc w:val="both"/>
        <w:rPr>
          <w:rFonts w:ascii="Verdana;Arial;sans-serif" w:hAnsi="Verdana;Arial;sans-serif"/>
          <w:i/>
          <w:i/>
          <w:color w:val="424242"/>
          <w:sz w:val="23"/>
        </w:rPr>
      </w:pPr>
      <w:r>
        <w:rPr>
          <w:rFonts w:ascii="Arial;Helvetica;sans-serif" w:hAnsi="Arial;Helvetica;sans-serif"/>
          <w:color w:val="333333"/>
          <w:sz w:val="27"/>
        </w:rPr>
        <w:t xml:space="preserve"> </w:t>
      </w:r>
      <w:r>
        <w:rPr>
          <w:rFonts w:ascii="Arial;Helvetica;sans-serif" w:hAnsi="Arial;Helvetica;sans-serif"/>
          <w:color w:val="333333"/>
          <w:sz w:val="27"/>
        </w:rPr>
        <w:t>Совокупность реквизитов, расположенных на листе бумаги в определенной последовательности, — это формуляр документа. Формуляр, характерный для определенного вида документа, — типовой формуляр.</w:t>
      </w:r>
    </w:p>
    <w:p>
      <w:pPr>
        <w:pStyle w:val="Style22"/>
        <w:spacing w:lineRule="auto" w:line="240" w:before="0" w:after="0"/>
        <w:jc w:val="both"/>
        <w:rPr>
          <w:rFonts w:ascii="Roboto;sans-serif" w:hAnsi="Roboto;sans-serif"/>
          <w:color w:val="646464"/>
          <w:sz w:val="23"/>
        </w:rPr>
      </w:pPr>
      <w:r>
        <w:rPr>
          <w:rFonts w:ascii="Arial;Helvetica;sans-serif" w:hAnsi="Arial;Helvetica;sans-serif"/>
          <w:color w:val="333333"/>
          <w:sz w:val="27"/>
        </w:rPr>
        <w:tab/>
        <w:t>Различные документы имеют неодинаковый набор реквизитов, который определяется целями создания документа, его назначением, требованиями к содержанию и форме создаваемого документа.</w:t>
      </w:r>
    </w:p>
    <w:p>
      <w:pPr>
        <w:pStyle w:val="Style22"/>
        <w:spacing w:lineRule="auto" w:line="240" w:before="0" w:after="0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color w:val="646464"/>
          <w:sz w:val="23"/>
        </w:rPr>
        <w:tab/>
        <w:t xml:space="preserve">Различают постоянные и переменные реквизиты. </w:t>
      </w:r>
    </w:p>
    <w:p>
      <w:pPr>
        <w:pStyle w:val="Style22"/>
        <w:spacing w:lineRule="auto" w:line="240" w:before="0" w:after="0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i/>
          <w:color w:val="646464"/>
          <w:sz w:val="23"/>
        </w:rPr>
        <w:tab/>
      </w:r>
      <w:r>
        <w:rPr>
          <w:rFonts w:ascii="Roboto;sans-serif" w:hAnsi="Roboto;sans-serif"/>
          <w:b/>
          <w:bCs/>
          <w:i/>
          <w:color w:val="646464"/>
          <w:sz w:val="23"/>
        </w:rPr>
        <w:t xml:space="preserve">Постоянные </w:t>
      </w:r>
      <w:r>
        <w:rPr>
          <w:rFonts w:ascii="Roboto;sans-serif" w:hAnsi="Roboto;sans-serif"/>
          <w:b/>
          <w:bCs/>
          <w:color w:val="646464"/>
          <w:sz w:val="23"/>
        </w:rPr>
        <w:t>реквизиты</w:t>
      </w:r>
      <w:r>
        <w:rPr>
          <w:rFonts w:ascii="Roboto;sans-serif" w:hAnsi="Roboto;sans-serif"/>
          <w:color w:val="646464"/>
          <w:sz w:val="23"/>
        </w:rPr>
        <w:t xml:space="preserve"> — совокупность реквизитов, характеризующая типовой формуляр документа и присутствующая во всех видах документов одного типа.</w:t>
      </w:r>
    </w:p>
    <w:p>
      <w:pPr>
        <w:pStyle w:val="Style22"/>
        <w:spacing w:lineRule="auto" w:line="240" w:before="0" w:after="0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i/>
          <w:color w:val="646464"/>
          <w:sz w:val="23"/>
        </w:rPr>
        <w:tab/>
      </w:r>
      <w:r>
        <w:rPr>
          <w:rFonts w:ascii="Roboto;sans-serif" w:hAnsi="Roboto;sans-serif"/>
          <w:b/>
          <w:bCs/>
          <w:i/>
          <w:color w:val="646464"/>
          <w:sz w:val="23"/>
        </w:rPr>
        <w:t>Переменные</w:t>
      </w:r>
      <w:r>
        <w:rPr>
          <w:rFonts w:ascii="Roboto;sans-serif" w:hAnsi="Roboto;sans-serif"/>
          <w:i/>
          <w:color w:val="646464"/>
          <w:sz w:val="23"/>
        </w:rPr>
        <w:t xml:space="preserve"> — </w:t>
      </w:r>
      <w:r>
        <w:rPr>
          <w:rFonts w:ascii="Roboto;sans-serif" w:hAnsi="Roboto;sans-serif"/>
          <w:color w:val="646464"/>
          <w:sz w:val="23"/>
        </w:rPr>
        <w:t>совокупность реквизитов, дополняющих типовой формуляр при подготовке конкретного документа.</w:t>
      </w:r>
    </w:p>
    <w:p>
      <w:pPr>
        <w:pStyle w:val="Style22"/>
        <w:spacing w:lineRule="auto" w:line="240" w:before="0" w:after="0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color w:val="646464"/>
          <w:sz w:val="23"/>
        </w:rPr>
        <w:t>Юридическая сила документа!</w:t>
      </w:r>
    </w:p>
    <w:p>
      <w:pPr>
        <w:pStyle w:val="Style22"/>
        <w:spacing w:lineRule="auto" w:line="240" w:before="0" w:after="0"/>
        <w:jc w:val="both"/>
        <w:rPr>
          <w:rFonts w:ascii="Verdana;Arial;sans-serif" w:hAnsi="Verdana;Arial;sans-serif"/>
          <w:i/>
          <w:i/>
          <w:color w:val="424242"/>
          <w:sz w:val="23"/>
        </w:rPr>
      </w:pPr>
      <w:hyperlink r:id="rId2">
        <w:r>
          <w:rPr>
            <w:rFonts w:ascii="Arial;Helvetica;sans-serif" w:hAnsi="Arial;Helvetica;sans-serif"/>
            <w:color w:val="333333"/>
            <w:sz w:val="27"/>
          </w:rPr>
          <w:t>http://www.ekonomika-st.ru/drugie/delopr/delopr-4.html</w:t>
        </w:r>
      </w:hyperlink>
      <w:hyperlink r:id="rId3">
        <w:r>
          <w:rPr>
            <w:rFonts w:ascii="Arial;Helvetica;sans-serif" w:hAnsi="Arial;Helvetica;sans-serif"/>
            <w:color w:val="333333"/>
            <w:sz w:val="27"/>
          </w:rPr>
          <w:t xml:space="preserve">    </w:t>
        </w:r>
      </w:hyperlink>
    </w:p>
    <w:p>
      <w:pPr>
        <w:pStyle w:val="Style22"/>
        <w:spacing w:lineRule="auto" w:line="240" w:before="0" w:after="0"/>
        <w:jc w:val="both"/>
        <w:rPr>
          <w:rFonts w:ascii="Arial;Helvetica;sans-serif" w:hAnsi="Arial;Helvetica;sans-serif"/>
          <w:color w:val="333333"/>
          <w:sz w:val="27"/>
        </w:rPr>
      </w:pPr>
      <w:r>
        <w:rPr>
          <w:rFonts w:ascii="Arial;Helvetica;sans-serif" w:hAnsi="Arial;Helvetica;sans-serif"/>
          <w:color w:val="333333"/>
          <w:sz w:val="27"/>
        </w:rPr>
      </w:r>
    </w:p>
    <w:p>
      <w:pPr>
        <w:pStyle w:val="Style22"/>
        <w:spacing w:lineRule="auto" w:line="240" w:before="0" w:after="0"/>
        <w:jc w:val="both"/>
        <w:rPr>
          <w:rFonts w:ascii="Arial;Helvetica;sans-serif" w:hAnsi="Arial;Helvetica;sans-serif"/>
          <w:color w:val="333333"/>
          <w:sz w:val="27"/>
        </w:rPr>
      </w:pPr>
      <w:r>
        <w:rPr>
          <w:rFonts w:ascii="Arial;Helvetica;sans-serif" w:hAnsi="Arial;Helvetica;sans-serif"/>
          <w:color w:val="333333"/>
          <w:sz w:val="27"/>
        </w:rPr>
      </w:r>
    </w:p>
    <w:p>
      <w:pPr>
        <w:pStyle w:val="Style22"/>
        <w:spacing w:lineRule="auto" w:line="240" w:before="0" w:after="0"/>
        <w:jc w:val="both"/>
        <w:rPr>
          <w:rFonts w:ascii="Arial;Helvetica;sans-serif" w:hAnsi="Arial;Helvetica;sans-serif"/>
          <w:color w:val="333333"/>
          <w:sz w:val="27"/>
        </w:rPr>
      </w:pPr>
      <w:r>
        <w:rPr>
          <w:rFonts w:ascii="Arial;Helvetica;sans-serif" w:hAnsi="Arial;Helvetica;sans-serif"/>
          <w:color w:val="333333"/>
          <w:sz w:val="27"/>
        </w:rPr>
      </w:r>
    </w:p>
    <w:p>
      <w:pPr>
        <w:pStyle w:val="Style22"/>
        <w:spacing w:lineRule="auto" w:line="240" w:before="0" w:after="0"/>
        <w:jc w:val="both"/>
        <w:rPr>
          <w:rFonts w:ascii="Arial;Helvetica;sans-serif" w:hAnsi="Arial;Helvetica;sans-serif"/>
          <w:color w:val="333333"/>
          <w:sz w:val="27"/>
        </w:rPr>
      </w:pPr>
      <w:r>
        <w:rPr>
          <w:rFonts w:ascii="Arial;Helvetica;sans-serif" w:hAnsi="Arial;Helvetica;sans-serif"/>
          <w:color w:val="333333"/>
          <w:sz w:val="27"/>
        </w:rPr>
      </w:r>
    </w:p>
    <w:p>
      <w:pPr>
        <w:pStyle w:val="Style22"/>
        <w:spacing w:lineRule="auto" w:line="240" w:before="0" w:after="0"/>
        <w:jc w:val="both"/>
        <w:rPr>
          <w:rFonts w:ascii="Arial;Helvetica;sans-serif" w:hAnsi="Arial;Helvetica;sans-serif"/>
          <w:color w:val="333333"/>
          <w:sz w:val="27"/>
        </w:rPr>
      </w:pPr>
      <w:r>
        <w:rPr>
          <w:rFonts w:ascii="Arial;Helvetica;sans-serif" w:hAnsi="Arial;Helvetica;sans-serif"/>
          <w:color w:val="333333"/>
          <w:sz w:val="27"/>
        </w:rPr>
      </w:r>
    </w:p>
    <w:p>
      <w:pPr>
        <w:pStyle w:val="Style22"/>
        <w:spacing w:lineRule="auto" w:line="240" w:before="0" w:after="0"/>
        <w:jc w:val="both"/>
        <w:rPr>
          <w:rFonts w:ascii="Arial;Helvetica;sans-serif" w:hAnsi="Arial;Helvetica;sans-serif"/>
          <w:color w:val="333333"/>
          <w:sz w:val="27"/>
        </w:rPr>
      </w:pPr>
      <w:r>
        <w:rPr>
          <w:rFonts w:ascii="Arial;Helvetica;sans-serif" w:hAnsi="Arial;Helvetica;sans-serif"/>
          <w:color w:val="333333"/>
          <w:sz w:val="27"/>
        </w:rPr>
      </w:r>
    </w:p>
    <w:p>
      <w:pPr>
        <w:pStyle w:val="Style22"/>
        <w:spacing w:before="150" w:after="150"/>
        <w:ind w:right="170" w:hanging="0"/>
        <w:jc w:val="both"/>
        <w:rPr>
          <w:rFonts w:ascii="Arial;Helvetica;sans-serif" w:hAnsi="Arial;Helvetica;sans-serif"/>
          <w:color w:val="333333"/>
          <w:sz w:val="27"/>
        </w:rPr>
      </w:pPr>
      <w:r>
        <w:rPr>
          <w:rFonts w:ascii="Arial;Helvetica;sans-serif" w:hAnsi="Arial;Helvetica;sans-serif"/>
          <w:color w:val="333333"/>
          <w:sz w:val="27"/>
        </w:rPr>
      </w:r>
    </w:p>
    <w:p>
      <w:pPr>
        <w:pStyle w:val="Style22"/>
        <w:spacing w:lineRule="auto" w:line="240" w:before="0" w:after="0"/>
        <w:jc w:val="both"/>
        <w:rPr>
          <w:rFonts w:ascii="Arial;Helvetica;sans-serif" w:hAnsi="Arial;Helvetica;sans-serif"/>
          <w:b/>
          <w:b/>
          <w:bCs/>
          <w:color w:val="333333"/>
          <w:sz w:val="27"/>
        </w:rPr>
      </w:pPr>
      <w:r>
        <w:rPr>
          <w:rFonts w:ascii="Arial;Helvetica;sans-serif" w:hAnsi="Arial;Helvetica;sans-serif"/>
          <w:b/>
          <w:bCs/>
          <w:color w:val="333333"/>
          <w:sz w:val="27"/>
        </w:rPr>
      </w:r>
    </w:p>
    <w:p>
      <w:pPr>
        <w:pStyle w:val="Style22"/>
        <w:spacing w:lineRule="auto" w:line="240" w:before="0" w:after="0"/>
        <w:jc w:val="both"/>
        <w:rPr>
          <w:rFonts w:ascii="Verdana;Arial;sans-serif" w:hAnsi="Verdana;Arial;sans-serif"/>
          <w:b/>
          <w:b/>
          <w:bCs/>
          <w:i/>
          <w:i/>
          <w:color w:val="424242"/>
          <w:sz w:val="23"/>
        </w:rPr>
      </w:pPr>
      <w:r>
        <w:rPr>
          <w:rFonts w:ascii="Arial;Helvetica;sans-serif" w:hAnsi="Arial;Helvetica;sans-serif"/>
          <w:b/>
          <w:bCs/>
          <w:color w:val="333333"/>
          <w:sz w:val="27"/>
        </w:rPr>
        <w:t>Экономические реквизиты</w:t>
      </w:r>
    </w:p>
    <w:p>
      <w:pPr>
        <w:pStyle w:val="Style22"/>
        <w:spacing w:lineRule="auto" w:line="240" w:before="0" w:after="0"/>
        <w:jc w:val="both"/>
        <w:rPr>
          <w:rFonts w:ascii="Tahoma;Verdana;Arial;sans-serif" w:hAnsi="Tahoma;Verdana;Arial;sans-serif"/>
          <w:color w:val="424242"/>
        </w:rPr>
      </w:pPr>
      <w:r>
        <w:rPr>
          <w:rFonts w:ascii="Tahoma;Verdana;Arial;sans-serif" w:hAnsi="Tahoma;Verdana;Arial;sans-serif"/>
          <w:color w:val="424242"/>
        </w:rPr>
      </w:r>
      <w:bookmarkStart w:id="0" w:name="_GoBack"/>
      <w:bookmarkStart w:id="1" w:name="_GoBack"/>
      <w:bookmarkEnd w:id="1"/>
    </w:p>
    <w:p>
      <w:pPr>
        <w:pStyle w:val="Style22"/>
        <w:spacing w:lineRule="auto" w:line="240" w:before="0" w:after="0"/>
        <w:jc w:val="both"/>
        <w:rPr>
          <w:sz w:val="26"/>
          <w:szCs w:val="26"/>
        </w:rPr>
      </w:pPr>
      <w:r>
        <w:rPr>
          <w:rFonts w:ascii="Tahoma;Verdana;Arial;sans-serif" w:hAnsi="Tahoma;Verdana;Arial;sans-serif"/>
          <w:color w:val="424242"/>
          <w:sz w:val="26"/>
          <w:szCs w:val="26"/>
        </w:rPr>
        <w:tab/>
        <w:t xml:space="preserve">Простой, </w:t>
      </w:r>
      <w:r>
        <w:rPr>
          <w:rFonts w:ascii="Tahoma;Verdana;Arial;sans-serif" w:hAnsi="Tahoma;Verdana;Arial;sans-serif"/>
          <w:b/>
          <w:bCs/>
          <w:color w:val="424242"/>
          <w:sz w:val="26"/>
          <w:szCs w:val="26"/>
        </w:rPr>
        <w:t>элементарной составляющей единицей</w:t>
      </w:r>
      <w:r>
        <w:rPr>
          <w:rFonts w:ascii="Tahoma;Verdana;Arial;sans-serif" w:hAnsi="Tahoma;Verdana;Arial;sans-serif"/>
          <w:color w:val="424242"/>
          <w:sz w:val="26"/>
          <w:szCs w:val="26"/>
        </w:rPr>
        <w:t xml:space="preserve"> экономической информации является </w:t>
      </w:r>
      <w:r>
        <w:rPr>
          <w:rFonts w:ascii="Tahoma;Verdana;Arial;sans-serif" w:hAnsi="Tahoma;Verdana;Arial;sans-serif"/>
          <w:b/>
          <w:bCs/>
          <w:i/>
          <w:color w:val="424242"/>
          <w:sz w:val="26"/>
          <w:szCs w:val="26"/>
        </w:rPr>
        <w:t>реквизит</w:t>
      </w:r>
      <w:r>
        <w:rPr>
          <w:rFonts w:ascii="Tahoma;Verdana;Arial;sans-serif" w:hAnsi="Tahoma;Verdana;Arial;sans-serif"/>
          <w:i/>
          <w:color w:val="424242"/>
          <w:sz w:val="26"/>
          <w:szCs w:val="26"/>
        </w:rPr>
        <w:t xml:space="preserve">. </w:t>
      </w:r>
      <w:r>
        <w:rPr>
          <w:rFonts w:ascii="Tahoma;Verdana;Arial;sans-serif" w:hAnsi="Tahoma;Verdana;Arial;sans-serif"/>
          <w:color w:val="424242"/>
          <w:sz w:val="26"/>
          <w:szCs w:val="26"/>
        </w:rPr>
        <w:t>Реквизитам присущи два свойства важных с точки зрения их обработки:</w:t>
      </w:r>
    </w:p>
    <w:p>
      <w:pPr>
        <w:pStyle w:val="Style22"/>
        <w:spacing w:lineRule="auto" w:line="240" w:before="0" w:after="0"/>
        <w:jc w:val="both"/>
        <w:rPr>
          <w:rFonts w:ascii="Verdana;Arial;sans-serif" w:hAnsi="Verdana;Arial;sans-serif"/>
          <w:i/>
          <w:i/>
          <w:color w:val="424242"/>
          <w:sz w:val="23"/>
        </w:rPr>
      </w:pPr>
      <w:r>
        <w:rPr>
          <w:rFonts w:ascii="Arial;Helvetica;sans-serif" w:hAnsi="Arial;Helvetica;sans-serif"/>
          <w:color w:val="333333"/>
          <w:sz w:val="27"/>
        </w:rPr>
        <w:t>•</w:t>
      </w:r>
      <w:r>
        <w:rPr>
          <w:rFonts w:ascii="Tahoma;Verdana;Arial;sans-serif" w:hAnsi="Tahoma;Verdana;Arial;sans-serif"/>
          <w:color w:val="333333"/>
          <w:sz w:val="27"/>
        </w:rPr>
        <w:t>отдельно взятый реквизит не может полностью характеризовать экономический процесс или объект;</w:t>
      </w:r>
    </w:p>
    <w:p>
      <w:pPr>
        <w:pStyle w:val="Style22"/>
        <w:spacing w:lineRule="auto" w:line="240" w:before="0" w:after="0"/>
        <w:jc w:val="both"/>
        <w:rPr>
          <w:color w:val="424242"/>
        </w:rPr>
      </w:pPr>
      <w:r>
        <w:rPr>
          <w:color w:val="424242"/>
        </w:rPr>
        <w:t xml:space="preserve">• </w:t>
      </w:r>
      <w:r>
        <w:rPr>
          <w:rFonts w:ascii="Tahoma;Verdana;Arial;sans-serif" w:hAnsi="Tahoma;Verdana;Arial;sans-serif"/>
          <w:color w:val="424242"/>
        </w:rPr>
        <w:t xml:space="preserve">отдельный реквизит может входить в </w:t>
      </w:r>
      <w:r>
        <w:rPr>
          <w:rFonts w:ascii="Tahoma;Verdana;Arial;sans-serif" w:hAnsi="Tahoma;Verdana;Arial;sans-serif"/>
          <w:b/>
          <w:bCs/>
          <w:color w:val="424242"/>
        </w:rPr>
        <w:t>состав различных экономических показателей</w:t>
      </w:r>
      <w:r>
        <w:rPr>
          <w:rFonts w:ascii="Tahoma;Verdana;Arial;sans-serif" w:hAnsi="Tahoma;Verdana;Arial;sans-serif"/>
          <w:color w:val="424242"/>
        </w:rPr>
        <w:t>.</w:t>
      </w:r>
    </w:p>
    <w:p>
      <w:pPr>
        <w:pStyle w:val="Style22"/>
        <w:spacing w:lineRule="auto" w:line="240" w:before="0" w:after="0"/>
        <w:jc w:val="both"/>
        <w:rPr>
          <w:rFonts w:ascii="Tahoma;Verdana;Arial;sans-serif" w:hAnsi="Tahoma;Verdana;Arial;sans-serif"/>
        </w:rPr>
      </w:pPr>
      <w:r>
        <w:rPr>
          <w:rFonts w:ascii="Tahoma;Verdana;Arial;sans-serif" w:hAnsi="Tahoma;Verdana;Arial;sans-serif"/>
        </w:rPr>
      </w:r>
    </w:p>
    <w:p>
      <w:pPr>
        <w:pStyle w:val="Style22"/>
        <w:spacing w:lineRule="auto" w:line="240" w:before="0" w:after="0"/>
        <w:jc w:val="both"/>
        <w:rPr>
          <w:b/>
          <w:b/>
          <w:bCs/>
        </w:rPr>
      </w:pPr>
      <w:r>
        <w:rPr>
          <w:rFonts w:ascii="Tahoma;Verdana;Arial;sans-serif" w:hAnsi="Tahoma;Verdana;Arial;sans-serif"/>
          <w:b/>
          <w:bCs/>
          <w:color w:val="424242"/>
        </w:rPr>
        <w:t>Экономический показатель - ?</w:t>
      </w:r>
    </w:p>
    <w:p>
      <w:pPr>
        <w:pStyle w:val="Style22"/>
        <w:spacing w:lineRule="auto" w:line="240" w:before="0" w:after="0"/>
        <w:jc w:val="both"/>
        <w:rPr/>
      </w:pPr>
      <w:r>
        <w:rPr>
          <w:rFonts w:ascii="Tahoma;Verdana;Arial;sans-serif" w:hAnsi="Tahoma;Verdana;Arial;sans-serif"/>
          <w:color w:val="424242"/>
        </w:rPr>
        <w:tab/>
        <w:t>Э</w:t>
      </w:r>
      <w:r>
        <w:rPr>
          <w:rFonts w:ascii="Arsenal;Arial;Arial Black;Helve" w:hAnsi="Arsenal;Arial;Arial Black;Helve"/>
          <w:color w:val="0F0F0F"/>
        </w:rPr>
        <w:t>кономические показатели предприятия различаются на два вида – это стоимостные и натуральные. Такое разделение осуществляется в зависимости от того, какие конкретно использовались измерители в процессе исчисления этих параметров.</w:t>
      </w:r>
    </w:p>
    <w:p>
      <w:pPr>
        <w:pStyle w:val="Style22"/>
        <w:spacing w:lineRule="auto" w:line="240" w:before="0" w:after="0"/>
        <w:jc w:val="both"/>
        <w:rPr/>
      </w:pPr>
      <w:r>
        <w:rPr>
          <w:rFonts w:ascii="Arsenal;Arial;Arial Black;Helve" w:hAnsi="Arsenal;Arial;Arial Black;Helve"/>
          <w:color w:val="0F0F0F"/>
        </w:rPr>
        <w:tab/>
      </w:r>
      <w:r>
        <w:rPr>
          <w:rFonts w:ascii="Arsenal;Arial;Arial Black;Helve" w:hAnsi="Arsenal;Arial;Arial Black;Helve"/>
          <w:b/>
          <w:bCs/>
          <w:color w:val="0F0F0F"/>
        </w:rPr>
        <w:t>Стоимостные показатели</w:t>
      </w:r>
      <w:r>
        <w:rPr>
          <w:rFonts w:ascii="Arsenal;Arial;Arial Black;Helve" w:hAnsi="Arsenal;Arial;Arial Black;Helve"/>
          <w:color w:val="0F0F0F"/>
        </w:rPr>
        <w:t xml:space="preserve"> на сегодняшний день представляют собой наиболее распространенный вид, так как они позволяют обобщить разнообразные хозяйственные явления. К примеру, если компания в процессе своей работы предпочитает использовать разнообразные виды материалов и сырья, то в таком случае для того, чтобы определить обобщенные суммы поступления и расходования, а также понять </w:t>
      </w:r>
      <w:r>
        <w:rPr>
          <w:rFonts w:ascii="Arsenal;Arial;Arial Black;Helve" w:hAnsi="Arsenal;Arial;Arial Black;Helve"/>
          <w:b/>
          <w:bCs/>
          <w:color w:val="0F0F0F"/>
        </w:rPr>
        <w:t>остаток этих предметов труда</w:t>
      </w:r>
      <w:r>
        <w:rPr>
          <w:rFonts w:ascii="Arsenal;Arial;Arial Black;Helve" w:hAnsi="Arsenal;Arial;Arial Black;Helve"/>
          <w:color w:val="0F0F0F"/>
        </w:rPr>
        <w:t>, нужно использовать именно системные экономические показатели деятельности.</w:t>
      </w:r>
    </w:p>
    <w:p>
      <w:pPr>
        <w:pStyle w:val="Style22"/>
        <w:spacing w:lineRule="auto" w:line="240" w:before="0" w:after="0"/>
        <w:jc w:val="both"/>
        <w:rPr/>
      </w:pPr>
      <w:r>
        <w:rPr>
          <w:rFonts w:ascii="Arsenal;Arial;Arial Black;Helve" w:hAnsi="Arsenal;Arial;Arial Black;Helve"/>
          <w:color w:val="0F0F0F"/>
        </w:rPr>
        <w:tab/>
      </w:r>
      <w:r>
        <w:rPr>
          <w:rFonts w:ascii="Arsenal;Arial;Arial Black;Helve" w:hAnsi="Arsenal;Arial;Arial Black;Helve"/>
          <w:b/>
          <w:bCs/>
          <w:color w:val="0F0F0F"/>
        </w:rPr>
        <w:t>Натуральные показатели</w:t>
      </w:r>
      <w:r>
        <w:rPr>
          <w:rFonts w:ascii="Arsenal;Arial;Arial Black;Helve" w:hAnsi="Arsenal;Arial;Arial Black;Helve"/>
          <w:color w:val="0F0F0F"/>
        </w:rPr>
        <w:t xml:space="preserve"> можно назвать первичными, в то время как стоимостные являются вторичными, так как исчисление последних может осуществляться только на базе первым. При этом существует определенный ряд экономических явлений, которые могут выражаться исключительно в стоимостных показателях, и в частности, это относится к издержкам обращения, себестоимости различной продукции, прибыли и множества других. Кроме натуральных параметров, выражающих конкретное количество материальных ценностей в натуральных единицах измерения, расчет экономических показателей осуществляется также на основе условно-натуральных показателей. С их помощью можно обобщить объем разнообразных видов однотипной продукции, которая изготавливается данной организацией. К примеру, в консервной промышленности вся выпускаемая продукция может просто выражаться в условных банках, причем такая банка, которая отличается определенными размерами и вместимостью, будет рассматриваться в качестве условной единицы, и любой другой аналогичный товар, пусть даже других размеров, в конечном итоге пересчитывается в такую условную банку. Именно так осуществляется выражение общего объема товара в так называемых условно-натуральных показателях. Также существует подразделение на количественные и качественные в зависимости от того, какая именно сторона хозяйственных процессов, явлений и операций будет измеряться в конкретно рассматриваемом случае. Помимо всего прочего, экономические показатели подразделяются на два типа – удельные и объемные в зависимости от приведения. Таким образом, к примеру, объем продаж, выпуска продукции, прибыль и себестоимость товара представляют собой объемные показатели, характеризующие объем определенного экономического явления. При этом </w:t>
      </w:r>
      <w:r>
        <w:rPr>
          <w:rFonts w:ascii="Arsenal;Arial;Arial Black;Helve" w:hAnsi="Arsenal;Arial;Arial Black;Helve"/>
          <w:b/>
          <w:bCs/>
          <w:color w:val="0F0F0F"/>
        </w:rPr>
        <w:t>объемные показатели</w:t>
      </w:r>
      <w:r>
        <w:rPr>
          <w:rFonts w:ascii="Arsenal;Arial;Arial Black;Helve" w:hAnsi="Arsenal;Arial;Arial Black;Helve"/>
          <w:color w:val="0F0F0F"/>
        </w:rPr>
        <w:t xml:space="preserve"> являются в данном случае первичными, в то время как удельные – вторичными. Расчет удельных показателей осуществляется на основе объемных и, к примеру, себестоимость и конечная стоимость продукции – это объемные характеристики, в то время как отношение одного показателя ко второму, то есть затраты на каждый рубль товарной продукции, будут уже называться удельными показателями. - </w:t>
        <w:tab/>
        <w:t>BusinessMan.ru:</w:t>
      </w:r>
      <w:hyperlink r:id="rId4">
        <w:r>
          <w:rPr>
            <w:rFonts w:ascii="Arsenal;Arial;Arial Black;Helve" w:hAnsi="Arsenal;Arial;Arial Black;Helve"/>
            <w:color w:val="FF9D29"/>
            <w:highlight w:val="white"/>
            <w:u w:val="single"/>
          </w:rPr>
          <w:t>https://businessman.ru/new-osnovnye-ekonomicheskie-pokazateli-ponyatie-vidy-i-raschet-ekonomicheskie-pokazateli-deyatelnosti-predpriyatiya.html</w:t>
        </w:r>
      </w:hyperlink>
      <w:r>
        <w:rPr>
          <w:rFonts w:ascii="Arsenal;Arial;Arial Black;Helve" w:hAnsi="Arsenal;Arial;Arial Black;Helve"/>
          <w:color w:val="FF9D29"/>
          <w:highlight w:val="white"/>
          <w:u w:val="single"/>
        </w:rPr>
        <w:t xml:space="preserve"> </w:t>
      </w:r>
    </w:p>
    <w:p>
      <w:pPr>
        <w:pStyle w:val="Style22"/>
        <w:spacing w:lineRule="auto" w:line="240" w:before="0" w:after="0"/>
        <w:jc w:val="both"/>
        <w:rPr>
          <w:rFonts w:ascii="Arial;Helvetica;sans-serif" w:hAnsi="Arial;Helvetica;sans-serif"/>
          <w:color w:val="333333"/>
          <w:sz w:val="27"/>
        </w:rPr>
      </w:pPr>
      <w:r>
        <w:rPr>
          <w:rFonts w:ascii="Arial;Helvetica;sans-serif" w:hAnsi="Arial;Helvetica;sans-serif"/>
          <w:color w:val="333333"/>
          <w:sz w:val="27"/>
        </w:rPr>
      </w:r>
    </w:p>
    <w:p>
      <w:pPr>
        <w:pStyle w:val="Style22"/>
        <w:spacing w:lineRule="auto" w:line="240" w:before="0" w:after="0"/>
        <w:jc w:val="both"/>
        <w:rPr>
          <w:rFonts w:ascii="Arial;Helvetica;sans-serif" w:hAnsi="Arial;Helvetica;sans-serif"/>
          <w:b/>
          <w:b/>
          <w:bCs/>
          <w:color w:val="333333"/>
          <w:sz w:val="27"/>
        </w:rPr>
      </w:pPr>
      <w:r>
        <w:rPr>
          <w:rFonts w:ascii="Arial;Helvetica;sans-serif" w:hAnsi="Arial;Helvetica;sans-serif"/>
          <w:b/>
          <w:bCs/>
          <w:color w:val="333333"/>
          <w:sz w:val="27"/>
        </w:rPr>
      </w:r>
    </w:p>
    <w:p>
      <w:pPr>
        <w:pStyle w:val="Style22"/>
        <w:spacing w:lineRule="auto" w:line="240" w:before="0" w:after="0"/>
        <w:jc w:val="both"/>
        <w:rPr>
          <w:rFonts w:ascii="Arial;Helvetica;sans-serif" w:hAnsi="Arial;Helvetica;sans-serif"/>
          <w:b/>
          <w:b/>
          <w:bCs/>
          <w:color w:val="333333"/>
          <w:sz w:val="27"/>
        </w:rPr>
      </w:pPr>
      <w:r>
        <w:rPr>
          <w:rFonts w:ascii="Arial;Helvetica;sans-serif" w:hAnsi="Arial;Helvetica;sans-serif"/>
          <w:b/>
          <w:bCs/>
          <w:color w:val="333333"/>
          <w:sz w:val="27"/>
        </w:rPr>
      </w:r>
    </w:p>
    <w:p>
      <w:pPr>
        <w:pStyle w:val="Style22"/>
        <w:spacing w:lineRule="auto" w:line="240" w:before="0" w:after="0"/>
        <w:jc w:val="both"/>
        <w:rPr>
          <w:rFonts w:ascii="Verdana;Arial;sans-serif" w:hAnsi="Verdana;Arial;sans-serif"/>
          <w:b/>
          <w:b/>
          <w:bCs/>
          <w:i/>
          <w:i/>
          <w:color w:val="424242"/>
          <w:sz w:val="23"/>
        </w:rPr>
      </w:pPr>
      <w:r>
        <w:rPr>
          <w:rFonts w:ascii="Arial;Helvetica;sans-serif" w:hAnsi="Arial;Helvetica;sans-serif"/>
          <w:b/>
          <w:bCs/>
          <w:color w:val="333333"/>
          <w:sz w:val="27"/>
        </w:rPr>
        <w:t>Структура экономической информации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Arial;Helvetica;sans-serif" w:hAnsi="Arial;Helvetica;sans-serif"/>
          <w:color w:val="333333"/>
          <w:sz w:val="27"/>
        </w:rPr>
        <w:tab/>
        <w:t xml:space="preserve">Экономической информации свойственны некоторые особенности, вытекающие из ее сущности (все перечислять не будем, остановимся на одном). </w:t>
      </w:r>
      <w:r>
        <w:rPr>
          <w:rFonts w:ascii="Arial;Helvetica;sans-serif" w:hAnsi="Arial;Helvetica;sans-serif"/>
          <w:b/>
          <w:bCs/>
          <w:color w:val="333333"/>
          <w:sz w:val="27"/>
        </w:rPr>
        <w:t>Важной характеристикой экономической информации является ее структура</w:t>
      </w:r>
      <w:r>
        <w:rPr>
          <w:rFonts w:ascii="Arial;Helvetica;sans-serif" w:hAnsi="Arial;Helvetica;sans-serif"/>
          <w:color w:val="333333"/>
          <w:sz w:val="27"/>
        </w:rPr>
        <w:t xml:space="preserve">. Структура экономической информации играет ту же роль, что и синтаксис любого языка. </w:t>
      </w:r>
    </w:p>
    <w:p>
      <w:pPr>
        <w:pStyle w:val="Style22"/>
        <w:spacing w:lineRule="auto" w:line="240" w:before="0" w:after="0"/>
        <w:rPr>
          <w:rFonts w:ascii="Century;Times New Roman" w:hAnsi="Century;Times New Roman"/>
          <w:color w:val="000000"/>
          <w:sz w:val="23"/>
        </w:rPr>
      </w:pPr>
      <w:r>
        <w:rPr>
          <w:rFonts w:ascii="Arial;Helvetica;sans-serif" w:hAnsi="Arial;Helvetica;sans-serif"/>
          <w:color w:val="333333"/>
          <w:sz w:val="27"/>
        </w:rPr>
        <w:tab/>
      </w:r>
    </w:p>
    <w:p>
      <w:pPr>
        <w:pStyle w:val="Style22"/>
        <w:spacing w:lineRule="auto" w:line="240" w:before="0" w:after="0"/>
        <w:rPr>
          <w:rFonts w:ascii="Century;Times New Roman" w:hAnsi="Century;Times New Roman"/>
          <w:color w:val="000000"/>
          <w:sz w:val="23"/>
        </w:rPr>
      </w:pPr>
      <w:r>
        <w:rPr>
          <w:rFonts w:ascii="Arial;Helvetica;sans-serif" w:hAnsi="Arial;Helvetica;sans-serif"/>
          <w:color w:val="333333"/>
          <w:sz w:val="27"/>
        </w:rPr>
        <w:tab/>
        <w:t>Говоря о структуре информации, различают два взаимосвязанных между собой аспекта:</w:t>
        <w:br/>
        <w:t xml:space="preserve">• </w:t>
      </w:r>
      <w:r>
        <w:rPr>
          <w:rFonts w:ascii="Arial;Helvetica;sans-serif" w:hAnsi="Arial;Helvetica;sans-serif"/>
          <w:b/>
          <w:bCs/>
          <w:color w:val="333333"/>
          <w:sz w:val="27"/>
        </w:rPr>
        <w:t>состав элементов</w:t>
      </w:r>
      <w:r>
        <w:rPr>
          <w:rFonts w:ascii="Arial;Helvetica;sans-serif" w:hAnsi="Arial;Helvetica;sans-serif"/>
          <w:color w:val="333333"/>
          <w:sz w:val="27"/>
        </w:rPr>
        <w:t>, образующих структуру экономической информации;</w:t>
        <w:br/>
        <w:t xml:space="preserve">• </w:t>
      </w:r>
      <w:r>
        <w:rPr>
          <w:rFonts w:ascii="Arial;Helvetica;sans-serif" w:hAnsi="Arial;Helvetica;sans-serif"/>
          <w:b/>
          <w:bCs/>
          <w:color w:val="333333"/>
          <w:sz w:val="27"/>
        </w:rPr>
        <w:t>взаимосвязь между элементами этой структуры</w:t>
      </w:r>
      <w:r>
        <w:rPr>
          <w:rFonts w:ascii="Arial;Helvetica;sans-serif" w:hAnsi="Arial;Helvetica;sans-serif"/>
          <w:color w:val="333333"/>
          <w:sz w:val="27"/>
        </w:rPr>
        <w:t>.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Рассматривая с этих позиций структуру экономической информации, выделяют простые и составные единицы информации. Составной единицей информации (СЕИ) называют единицу информации, состоящую из совокупности других единиц информации, </w:t>
      </w:r>
      <w:r>
        <w:rPr>
          <w:rFonts w:ascii="Century;Times New Roman" w:hAnsi="Century;Times New Roman"/>
          <w:b/>
          <w:bCs/>
          <w:color w:val="000000"/>
          <w:sz w:val="23"/>
        </w:rPr>
        <w:t>ассоциативно связанных между собой, т.е. связанных по смыслу</w:t>
      </w:r>
      <w:r>
        <w:rPr>
          <w:rFonts w:ascii="Century;Times New Roman" w:hAnsi="Century;Times New Roman"/>
          <w:color w:val="000000"/>
          <w:sz w:val="23"/>
        </w:rPr>
        <w:t xml:space="preserve">. 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Простой, элементарной составляющей единицей экономической информации является </w:t>
      </w:r>
      <w:r>
        <w:rPr>
          <w:rFonts w:ascii="Century;Times New Roman" w:hAnsi="Century;Times New Roman"/>
          <w:b/>
          <w:bCs/>
          <w:color w:val="000000"/>
          <w:sz w:val="23"/>
        </w:rPr>
        <w:t>реквизит</w:t>
      </w:r>
      <w:r>
        <w:rPr>
          <w:rFonts w:ascii="Century;Times New Roman" w:hAnsi="Century;Times New Roman"/>
          <w:color w:val="000000"/>
          <w:sz w:val="23"/>
        </w:rPr>
        <w:t xml:space="preserve">. 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b/>
          <w:b/>
          <w:bCs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 xml:space="preserve">Реквизиты – это элементарные неделимые единицы экономической информации, выражающие определенные свойства объекта. 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>Реквизитам присущи два свойства, важных с точки зрения их обработки:</w:t>
        <w:br/>
        <w:t xml:space="preserve">а. Отдельно взятый реквизит </w:t>
      </w:r>
      <w:r>
        <w:rPr>
          <w:rFonts w:ascii="Century;Times New Roman" w:hAnsi="Century;Times New Roman"/>
          <w:b/>
          <w:bCs/>
          <w:color w:val="000000"/>
          <w:sz w:val="23"/>
        </w:rPr>
        <w:t>не может полностью</w:t>
      </w:r>
      <w:r>
        <w:rPr>
          <w:rFonts w:ascii="Century;Times New Roman" w:hAnsi="Century;Times New Roman"/>
          <w:color w:val="000000"/>
          <w:sz w:val="23"/>
        </w:rPr>
        <w:t xml:space="preserve"> характеризовать экономический процесс или объект;</w:t>
        <w:br/>
        <w:t xml:space="preserve">б. Отдельный реквизит может входить в </w:t>
      </w:r>
      <w:r>
        <w:rPr>
          <w:rFonts w:ascii="Century;Times New Roman" w:hAnsi="Century;Times New Roman"/>
          <w:b/>
          <w:bCs/>
          <w:color w:val="000000"/>
          <w:sz w:val="23"/>
        </w:rPr>
        <w:t>состав различных экономических показателей</w:t>
      </w:r>
      <w:r>
        <w:rPr>
          <w:rFonts w:ascii="Century;Times New Roman" w:hAnsi="Century;Times New Roman"/>
          <w:color w:val="000000"/>
          <w:sz w:val="23"/>
        </w:rPr>
        <w:t>.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Каждый реквизит характеризуется </w:t>
      </w:r>
      <w:r>
        <w:rPr>
          <w:rFonts w:ascii="Century;Times New Roman" w:hAnsi="Century;Times New Roman"/>
          <w:b/>
          <w:bCs/>
          <w:color w:val="000000"/>
          <w:sz w:val="23"/>
        </w:rPr>
        <w:t>именем</w:t>
      </w:r>
      <w:r>
        <w:rPr>
          <w:rFonts w:ascii="Century;Times New Roman" w:hAnsi="Century;Times New Roman"/>
          <w:color w:val="000000"/>
          <w:sz w:val="23"/>
        </w:rPr>
        <w:t xml:space="preserve"> (наименованием), </w:t>
      </w:r>
      <w:r>
        <w:rPr>
          <w:rFonts w:ascii="Century;Times New Roman" w:hAnsi="Century;Times New Roman"/>
          <w:b/>
          <w:bCs/>
          <w:color w:val="000000"/>
          <w:sz w:val="23"/>
        </w:rPr>
        <w:t>типом</w:t>
      </w:r>
      <w:r>
        <w:rPr>
          <w:rFonts w:ascii="Century;Times New Roman" w:hAnsi="Century;Times New Roman"/>
          <w:color w:val="000000"/>
          <w:sz w:val="23"/>
        </w:rPr>
        <w:t xml:space="preserve"> и </w:t>
      </w:r>
      <w:r>
        <w:rPr>
          <w:rFonts w:ascii="Century;Times New Roman" w:hAnsi="Century;Times New Roman"/>
          <w:b/>
          <w:bCs/>
          <w:color w:val="000000"/>
          <w:sz w:val="23"/>
        </w:rPr>
        <w:t>значением</w:t>
      </w:r>
      <w:r>
        <w:rPr>
          <w:rFonts w:ascii="Century;Times New Roman" w:hAnsi="Century;Times New Roman"/>
          <w:color w:val="000000"/>
          <w:sz w:val="23"/>
        </w:rPr>
        <w:t xml:space="preserve">. 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Именем</w:t>
      </w:r>
      <w:r>
        <w:rPr>
          <w:rFonts w:ascii="Century;Times New Roman" w:hAnsi="Century;Times New Roman"/>
          <w:color w:val="000000"/>
          <w:sz w:val="23"/>
        </w:rPr>
        <w:t xml:space="preserve"> реквизита служит его условное обозначение в </w:t>
      </w:r>
      <w:r>
        <w:rPr>
          <w:rFonts w:ascii="Century;Times New Roman" w:hAnsi="Century;Times New Roman"/>
          <w:b/>
          <w:bCs/>
          <w:color w:val="000000"/>
          <w:sz w:val="23"/>
        </w:rPr>
        <w:t>процессах преобразования</w:t>
      </w:r>
      <w:r>
        <w:rPr>
          <w:rFonts w:ascii="Century;Times New Roman" w:hAnsi="Century;Times New Roman"/>
          <w:color w:val="000000"/>
          <w:sz w:val="23"/>
        </w:rPr>
        <w:t xml:space="preserve">. 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Значением</w:t>
      </w:r>
      <w:r>
        <w:rPr>
          <w:rFonts w:ascii="Century;Times New Roman" w:hAnsi="Century;Times New Roman"/>
          <w:color w:val="000000"/>
          <w:sz w:val="23"/>
        </w:rPr>
        <w:t xml:space="preserve"> реквизита называется величина, характеризующая некоторые свойства объекта, явления, процесса в конкретных обстоятельствах. 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Все допустимые значения реквизита образуют множество, называемое </w:t>
      </w:r>
      <w:r>
        <w:rPr>
          <w:rFonts w:ascii="Century;Times New Roman" w:hAnsi="Century;Times New Roman"/>
          <w:b/>
          <w:bCs/>
          <w:color w:val="000000"/>
          <w:sz w:val="23"/>
        </w:rPr>
        <w:t>доменом</w:t>
      </w:r>
      <w:r>
        <w:rPr>
          <w:rFonts w:ascii="Century;Times New Roman" w:hAnsi="Century;Times New Roman"/>
          <w:color w:val="000000"/>
          <w:sz w:val="23"/>
        </w:rPr>
        <w:t xml:space="preserve"> реквизитов.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>В зависимости от характера, отображаемого ими свойства</w:t>
      </w:r>
      <w:r>
        <w:rPr>
          <w:rFonts w:ascii="Century;Times New Roman" w:hAnsi="Century;Times New Roman"/>
          <w:color w:val="000000"/>
          <w:sz w:val="23"/>
        </w:rPr>
        <w:t xml:space="preserve"> реквизиты делятся на реквизиты-признаки и реквизиты-основания.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Реквизиты-признаки</w:t>
      </w:r>
      <w:r>
        <w:rPr>
          <w:rFonts w:ascii="Century;Times New Roman" w:hAnsi="Century;Times New Roman"/>
          <w:color w:val="000000"/>
          <w:sz w:val="23"/>
        </w:rPr>
        <w:t xml:space="preserve"> отражают качественные свойства </w:t>
      </w:r>
      <w:r>
        <w:rPr>
          <w:rFonts w:ascii="Century;Times New Roman" w:hAnsi="Century;Times New Roman"/>
          <w:b/>
          <w:bCs/>
          <w:color w:val="000000"/>
          <w:sz w:val="23"/>
        </w:rPr>
        <w:t>экономического объекта, процесса или явления</w:t>
      </w:r>
      <w:r>
        <w:rPr>
          <w:rFonts w:ascii="Century;Times New Roman" w:hAnsi="Century;Times New Roman"/>
          <w:color w:val="000000"/>
          <w:sz w:val="23"/>
        </w:rPr>
        <w:t xml:space="preserve"> (время и место действия, фамилия, имя, отчество исполнителя, наименование работы и т.д.)</w:t>
      </w:r>
      <w:r>
        <w:rPr>
          <w:rStyle w:val="Style16"/>
          <w:rFonts w:ascii="Century;Times New Roman" w:hAnsi="Century;Times New Roman"/>
          <w:color w:val="000000"/>
          <w:sz w:val="23"/>
        </w:rPr>
        <w:footnoteReference w:id="2"/>
      </w:r>
      <w:r>
        <w:rPr>
          <w:rFonts w:ascii="Century;Times New Roman" w:hAnsi="Century;Times New Roman"/>
          <w:color w:val="000000"/>
          <w:sz w:val="23"/>
        </w:rPr>
        <w:t xml:space="preserve">. Они могут быть выражены в </w:t>
      </w:r>
      <w:r>
        <w:rPr>
          <w:rFonts w:ascii="Century;Times New Roman" w:hAnsi="Century;Times New Roman"/>
          <w:b/>
          <w:bCs/>
          <w:color w:val="000000"/>
          <w:sz w:val="23"/>
        </w:rPr>
        <w:t>алфавитном</w:t>
      </w:r>
      <w:r>
        <w:rPr>
          <w:rFonts w:ascii="Century;Times New Roman" w:hAnsi="Century;Times New Roman"/>
          <w:color w:val="000000"/>
          <w:sz w:val="23"/>
        </w:rPr>
        <w:t xml:space="preserve">, </w:t>
      </w:r>
      <w:r>
        <w:rPr>
          <w:rFonts w:ascii="Century;Times New Roman" w:hAnsi="Century;Times New Roman"/>
          <w:b/>
          <w:bCs/>
          <w:color w:val="000000"/>
          <w:sz w:val="23"/>
        </w:rPr>
        <w:t>цифровом</w:t>
      </w:r>
      <w:r>
        <w:rPr>
          <w:rFonts w:ascii="Century;Times New Roman" w:hAnsi="Century;Times New Roman"/>
          <w:color w:val="000000"/>
          <w:sz w:val="23"/>
        </w:rPr>
        <w:t xml:space="preserve"> или </w:t>
      </w:r>
      <w:r>
        <w:rPr>
          <w:rFonts w:ascii="Century;Times New Roman" w:hAnsi="Century;Times New Roman"/>
          <w:b/>
          <w:bCs/>
          <w:color w:val="000000"/>
          <w:sz w:val="23"/>
        </w:rPr>
        <w:t>алфавитно-цифровом</w:t>
      </w:r>
      <w:r>
        <w:rPr>
          <w:rFonts w:ascii="Century;Times New Roman" w:hAnsi="Century;Times New Roman"/>
          <w:color w:val="000000"/>
          <w:sz w:val="23"/>
        </w:rPr>
        <w:t xml:space="preserve"> виде. Реквизиты-признаки служат для логической обработки составных единиц, т.е. для поиска, сортировки, группировки, выборки и т.д.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Реквизиты-основания</w:t>
      </w:r>
      <w:r>
        <w:rPr>
          <w:rFonts w:ascii="Century;Times New Roman" w:hAnsi="Century;Times New Roman"/>
          <w:color w:val="000000"/>
          <w:sz w:val="23"/>
        </w:rPr>
        <w:t xml:space="preserve"> характеризуют </w:t>
      </w:r>
      <w:r>
        <w:rPr>
          <w:rFonts w:ascii="Century;Times New Roman" w:hAnsi="Century;Times New Roman"/>
          <w:b/>
          <w:bCs/>
          <w:color w:val="000000"/>
          <w:sz w:val="23"/>
        </w:rPr>
        <w:t>количественную</w:t>
      </w:r>
      <w:r>
        <w:rPr>
          <w:rFonts w:ascii="Century;Times New Roman" w:hAnsi="Century;Times New Roman"/>
          <w:color w:val="000000"/>
          <w:sz w:val="23"/>
        </w:rPr>
        <w:t xml:space="preserve"> сторону процесса или объекта. выраженную в определенных единицах измерения (сумма вклада в рублях, ставка налога в процентах и т.д.). Они ч</w:t>
      </w:r>
      <w:r>
        <w:rPr>
          <w:rFonts w:ascii="Century;Times New Roman" w:hAnsi="Century;Times New Roman"/>
          <w:b/>
          <w:bCs/>
          <w:color w:val="000000"/>
          <w:sz w:val="23"/>
        </w:rPr>
        <w:t>аще всего</w:t>
      </w:r>
      <w:r>
        <w:rPr>
          <w:rFonts w:ascii="Century;Times New Roman" w:hAnsi="Century;Times New Roman"/>
          <w:color w:val="000000"/>
          <w:sz w:val="23"/>
        </w:rPr>
        <w:t xml:space="preserve"> выражаются в цифровой форме. Над ними могут выполняться логические и арифметические операции.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>Для исчерпывающей характеристики экономического процесса, объекта или явления необходима определенная совокупность реквизитов, описывающих качественные и количественные свойства отображаемого объекта.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Основной структурной единицей, </w:t>
      </w:r>
      <w:r>
        <w:rPr>
          <w:rFonts w:ascii="Century;Times New Roman" w:hAnsi="Century;Times New Roman"/>
          <w:b/>
          <w:bCs/>
          <w:color w:val="000000"/>
          <w:sz w:val="23"/>
        </w:rPr>
        <w:t>состоящей из определенной совокупности реквизитов</w:t>
      </w:r>
      <w:r>
        <w:rPr>
          <w:rFonts w:ascii="Century;Times New Roman" w:hAnsi="Century;Times New Roman"/>
          <w:color w:val="000000"/>
          <w:sz w:val="23"/>
        </w:rPr>
        <w:t xml:space="preserve">, характеризующей какой-либо конкретный объект, факт, процесс и т.п. с количественной и качественной стороны, является показатель. </w:t>
      </w:r>
    </w:p>
    <w:p>
      <w:pPr>
        <w:pStyle w:val="Style22"/>
        <w:spacing w:lineRule="auto" w:line="240" w:before="0" w:after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Показатель</w:t>
      </w:r>
      <w:r>
        <w:rPr>
          <w:rFonts w:ascii="Century;Times New Roman" w:hAnsi="Century;Times New Roman"/>
          <w:color w:val="000000"/>
          <w:sz w:val="23"/>
        </w:rPr>
        <w:t xml:space="preserve"> – это </w:t>
      </w:r>
      <w:r>
        <w:rPr>
          <w:rFonts w:ascii="Century;Times New Roman" w:hAnsi="Century;Times New Roman"/>
          <w:b/>
          <w:bCs/>
          <w:color w:val="000000"/>
          <w:sz w:val="23"/>
        </w:rPr>
        <w:t>совокупность</w:t>
      </w:r>
      <w:r>
        <w:rPr>
          <w:rFonts w:ascii="Century;Times New Roman" w:hAnsi="Century;Times New Roman"/>
          <w:color w:val="000000"/>
          <w:sz w:val="23"/>
        </w:rPr>
        <w:t xml:space="preserve"> логически связанных реквизитов-признаков и реквизитов-оснований, имеющая </w:t>
      </w:r>
      <w:r>
        <w:rPr>
          <w:rFonts w:ascii="Century;Times New Roman" w:hAnsi="Century;Times New Roman"/>
          <w:b/>
          <w:bCs/>
          <w:color w:val="000000"/>
          <w:sz w:val="23"/>
        </w:rPr>
        <w:t>экономический смысл</w:t>
      </w:r>
      <w:r>
        <w:rPr>
          <w:rFonts w:ascii="Century;Times New Roman" w:hAnsi="Century;Times New Roman"/>
          <w:color w:val="000000"/>
          <w:sz w:val="23"/>
        </w:rPr>
        <w:t>.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Показатель</w:t>
      </w:r>
      <w:r>
        <w:rPr>
          <w:rFonts w:ascii="Century;Times New Roman" w:hAnsi="Century;Times New Roman"/>
          <w:color w:val="000000"/>
          <w:sz w:val="23"/>
        </w:rPr>
        <w:t xml:space="preserve"> – </w:t>
      </w:r>
      <w:r>
        <w:rPr>
          <w:rFonts w:ascii="Century;Times New Roman" w:hAnsi="Century;Times New Roman"/>
          <w:b/>
          <w:bCs/>
          <w:color w:val="000000"/>
          <w:sz w:val="23"/>
        </w:rPr>
        <w:t>логическое высказывание</w:t>
      </w:r>
      <w:r>
        <w:rPr>
          <w:rFonts w:ascii="Century;Times New Roman" w:hAnsi="Century;Times New Roman"/>
          <w:color w:val="000000"/>
          <w:sz w:val="23"/>
        </w:rPr>
        <w:t xml:space="preserve">, содержащее качественную и количественную характеристики отображаемого явления. 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Экономический показатель как составная единица информации</w:t>
      </w:r>
      <w:r>
        <w:rPr>
          <w:rFonts w:ascii="Century;Times New Roman" w:hAnsi="Century;Times New Roman"/>
          <w:color w:val="000000"/>
          <w:sz w:val="23"/>
        </w:rPr>
        <w:t xml:space="preserve"> включает </w:t>
      </w:r>
      <w:r>
        <w:rPr>
          <w:rFonts w:ascii="Century;Times New Roman" w:hAnsi="Century;Times New Roman"/>
          <w:b/>
          <w:bCs/>
          <w:color w:val="000000"/>
          <w:sz w:val="23"/>
        </w:rPr>
        <w:t>один реквизит-основание</w:t>
      </w:r>
      <w:r>
        <w:rPr>
          <w:rFonts w:ascii="Century;Times New Roman" w:hAnsi="Century;Times New Roman"/>
          <w:color w:val="000000"/>
          <w:sz w:val="23"/>
        </w:rPr>
        <w:t xml:space="preserve"> и </w:t>
      </w:r>
      <w:r>
        <w:rPr>
          <w:rFonts w:ascii="Century;Times New Roman" w:hAnsi="Century;Times New Roman"/>
          <w:b/>
          <w:bCs/>
          <w:color w:val="000000"/>
          <w:sz w:val="23"/>
        </w:rPr>
        <w:t>группу взаимосвязанных с ним и между собой по смыслу реквизитов-признаков</w:t>
      </w:r>
      <w:r>
        <w:rPr>
          <w:rFonts w:ascii="Century;Times New Roman" w:hAnsi="Century;Times New Roman"/>
          <w:color w:val="000000"/>
          <w:sz w:val="23"/>
        </w:rPr>
        <w:t xml:space="preserve">. 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 xml:space="preserve">Экономический показатель – </w:t>
      </w:r>
      <w:r>
        <w:rPr>
          <w:rFonts w:ascii="Century;Times New Roman" w:hAnsi="Century;Times New Roman"/>
          <w:b/>
          <w:bCs/>
          <w:color w:val="000000"/>
          <w:sz w:val="23"/>
          <w:u w:val="single"/>
        </w:rPr>
        <w:t>основная единица</w:t>
      </w:r>
      <w:r>
        <w:rPr>
          <w:rFonts w:ascii="Century;Times New Roman" w:hAnsi="Century;Times New Roman"/>
          <w:b/>
          <w:bCs/>
          <w:color w:val="000000"/>
          <w:sz w:val="23"/>
        </w:rPr>
        <w:t xml:space="preserve"> экономической информации.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>Например, показатель «</w:t>
      </w:r>
      <w:r>
        <w:rPr>
          <w:rFonts w:ascii="Century;Times New Roman" w:hAnsi="Century;Times New Roman"/>
          <w:b/>
          <w:bCs/>
          <w:color w:val="000000"/>
          <w:sz w:val="23"/>
        </w:rPr>
        <w:t>выпуск 120 тысяч банок консервов</w:t>
      </w:r>
      <w:r>
        <w:rPr>
          <w:rFonts w:ascii="Century;Times New Roman" w:hAnsi="Century;Times New Roman"/>
          <w:color w:val="000000"/>
          <w:sz w:val="23"/>
        </w:rPr>
        <w:t>» несет количественную величину и качественные признаки этой величины. При этом нужно иметь в виду, что в данном показателе фраза «</w:t>
      </w:r>
      <w:r>
        <w:rPr>
          <w:rFonts w:ascii="Century;Times New Roman" w:hAnsi="Century;Times New Roman"/>
          <w:b/>
          <w:bCs/>
          <w:color w:val="000000"/>
          <w:sz w:val="23"/>
        </w:rPr>
        <w:t>выпуск банок консервов</w:t>
      </w:r>
      <w:r>
        <w:rPr>
          <w:rFonts w:ascii="Century;Times New Roman" w:hAnsi="Century;Times New Roman"/>
          <w:color w:val="000000"/>
          <w:sz w:val="23"/>
        </w:rPr>
        <w:t>» – это реквизит-признак, а «120 тысяч» – это реквизит-основание.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Показатель</w:t>
      </w:r>
      <w:r>
        <w:rPr>
          <w:rFonts w:ascii="Century;Times New Roman" w:hAnsi="Century;Times New Roman"/>
          <w:color w:val="000000"/>
          <w:sz w:val="23"/>
        </w:rPr>
        <w:t xml:space="preserve"> является </w:t>
      </w:r>
      <w:r>
        <w:rPr>
          <w:rFonts w:ascii="Century;Times New Roman" w:hAnsi="Century;Times New Roman"/>
          <w:b/>
          <w:bCs/>
          <w:color w:val="000000"/>
          <w:sz w:val="23"/>
        </w:rPr>
        <w:t>минимальной</w:t>
      </w:r>
      <w:r>
        <w:rPr>
          <w:rFonts w:ascii="Century;Times New Roman" w:hAnsi="Century;Times New Roman"/>
          <w:color w:val="000000"/>
          <w:sz w:val="23"/>
        </w:rPr>
        <w:t xml:space="preserve"> по составу </w:t>
      </w:r>
      <w:r>
        <w:rPr>
          <w:rFonts w:ascii="Century;Times New Roman" w:hAnsi="Century;Times New Roman"/>
          <w:b/>
          <w:bCs/>
          <w:color w:val="000000"/>
          <w:sz w:val="23"/>
        </w:rPr>
        <w:t>информационной совокупностью</w:t>
      </w:r>
      <w:r>
        <w:rPr>
          <w:rFonts w:ascii="Century;Times New Roman" w:hAnsi="Century;Times New Roman"/>
          <w:color w:val="000000"/>
          <w:sz w:val="23"/>
        </w:rPr>
        <w:t xml:space="preserve"> для образования самостоятельного документа. (т.е., на основе показателей строятся документы!). 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В документах каждому показателю присваивается наименование. По количеству и составу показателей определяется уровень его информативности и </w:t>
      </w:r>
      <w:r>
        <w:rPr>
          <w:rFonts w:ascii="Century;Times New Roman" w:hAnsi="Century;Times New Roman"/>
          <w:b/>
          <w:bCs/>
          <w:color w:val="000000"/>
          <w:sz w:val="23"/>
        </w:rPr>
        <w:t>рассчитывается объем информации в документе</w:t>
      </w:r>
      <w:r>
        <w:rPr>
          <w:rFonts w:ascii="Century;Times New Roman" w:hAnsi="Century;Times New Roman"/>
          <w:color w:val="000000"/>
          <w:sz w:val="23"/>
        </w:rPr>
        <w:t xml:space="preserve">. 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i/>
          <w:iCs/>
          <w:color w:val="000000"/>
          <w:sz w:val="23"/>
          <w:u w:val="single"/>
        </w:rPr>
        <w:tab/>
        <w:t>Кроме этого, на основе показателя или его реквизита создаются базы данных, которые используются при решении экономических задач</w:t>
      </w:r>
      <w:r>
        <w:rPr>
          <w:rFonts w:ascii="Century;Times New Roman" w:hAnsi="Century;Times New Roman"/>
          <w:color w:val="000000"/>
          <w:sz w:val="23"/>
        </w:rPr>
        <w:t>.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Экономический документ представляет собой определенным образом организованную совокупность взаимосвязанных по смыслу экономических показателей. 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Экономический документ является основной и наиболее удобной формой представления информации с точки зрения управления, так как наряду с наглядностью представления информации, необходимой для решения задачи или являющейся результатом решения задачи, </w:t>
      </w:r>
      <w:r>
        <w:rPr>
          <w:rFonts w:ascii="Century;Times New Roman" w:hAnsi="Century;Times New Roman"/>
          <w:b/>
          <w:bCs/>
          <w:color w:val="000000"/>
          <w:sz w:val="23"/>
        </w:rPr>
        <w:t>он содержит атрибуты, придающие ему юридический статус</w:t>
      </w:r>
      <w:r>
        <w:rPr>
          <w:rFonts w:ascii="Century;Times New Roman" w:hAnsi="Century;Times New Roman"/>
          <w:color w:val="000000"/>
          <w:sz w:val="23"/>
        </w:rPr>
        <w:t>.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Наиболее распространенной формой представления экономических документов является </w:t>
      </w:r>
      <w:r>
        <w:rPr>
          <w:rFonts w:ascii="Century;Times New Roman" w:hAnsi="Century;Times New Roman"/>
          <w:b/>
          <w:bCs/>
          <w:color w:val="000000"/>
          <w:sz w:val="23"/>
        </w:rPr>
        <w:t>табличная форма</w:t>
      </w:r>
      <w:r>
        <w:rPr>
          <w:rFonts w:ascii="Century;Times New Roman" w:hAnsi="Century;Times New Roman"/>
          <w:color w:val="000000"/>
          <w:sz w:val="23"/>
        </w:rPr>
        <w:t xml:space="preserve">, которая в самом общем виде включает </w:t>
      </w:r>
      <w:r>
        <w:rPr>
          <w:rFonts w:ascii="Century;Times New Roman" w:hAnsi="Century;Times New Roman"/>
          <w:b/>
          <w:bCs/>
          <w:color w:val="000000"/>
          <w:sz w:val="23"/>
        </w:rPr>
        <w:t>общую</w:t>
      </w:r>
      <w:r>
        <w:rPr>
          <w:rFonts w:ascii="Century;Times New Roman" w:hAnsi="Century;Times New Roman"/>
          <w:color w:val="000000"/>
          <w:sz w:val="23"/>
        </w:rPr>
        <w:t xml:space="preserve"> (заголовочную), </w:t>
      </w:r>
      <w:r>
        <w:rPr>
          <w:rFonts w:ascii="Century;Times New Roman" w:hAnsi="Century;Times New Roman"/>
          <w:b/>
          <w:bCs/>
          <w:color w:val="000000"/>
          <w:sz w:val="23"/>
        </w:rPr>
        <w:t>предметную</w:t>
      </w:r>
      <w:r>
        <w:rPr>
          <w:rFonts w:ascii="Century;Times New Roman" w:hAnsi="Century;Times New Roman"/>
          <w:color w:val="000000"/>
          <w:sz w:val="23"/>
        </w:rPr>
        <w:t xml:space="preserve"> (содержательную) и </w:t>
      </w:r>
      <w:r>
        <w:rPr>
          <w:rFonts w:ascii="Century;Times New Roman" w:hAnsi="Century;Times New Roman"/>
          <w:b/>
          <w:bCs/>
          <w:color w:val="000000"/>
          <w:sz w:val="23"/>
        </w:rPr>
        <w:t>оформительскую</w:t>
      </w:r>
      <w:r>
        <w:rPr>
          <w:rFonts w:ascii="Century;Times New Roman" w:hAnsi="Century;Times New Roman"/>
          <w:color w:val="000000"/>
          <w:sz w:val="23"/>
        </w:rPr>
        <w:t xml:space="preserve"> часть.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Общая часть</w:t>
      </w:r>
      <w:r>
        <w:rPr>
          <w:rFonts w:ascii="Century;Times New Roman" w:hAnsi="Century;Times New Roman"/>
          <w:color w:val="000000"/>
          <w:sz w:val="23"/>
        </w:rPr>
        <w:t xml:space="preserve"> содержит название документа и перечень общих по составу и значению реквизитов для всех показателей, представленных в документе. Наличие общей части документа позволяет избежать дублирования информации при характеристике всех показателей, входящих в состав многостраничного документа.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Предметная часть</w:t>
      </w:r>
      <w:r>
        <w:rPr>
          <w:rFonts w:ascii="Century;Times New Roman" w:hAnsi="Century;Times New Roman"/>
          <w:color w:val="000000"/>
          <w:sz w:val="23"/>
        </w:rPr>
        <w:t xml:space="preserve"> включает реквизиты, характеризующие особенности экономических показателей многостраничного документа. (размещаются </w:t>
      </w:r>
      <w:r>
        <w:rPr>
          <w:rFonts w:ascii="Century;Times New Roman" w:hAnsi="Century;Times New Roman"/>
          <w:b/>
          <w:bCs/>
          <w:color w:val="000000"/>
          <w:sz w:val="23"/>
        </w:rPr>
        <w:t>переменные реквизиты-признаки</w:t>
      </w:r>
      <w:r>
        <w:rPr>
          <w:rFonts w:ascii="Century;Times New Roman" w:hAnsi="Century;Times New Roman"/>
          <w:color w:val="000000"/>
          <w:sz w:val="23"/>
        </w:rPr>
        <w:t xml:space="preserve"> и </w:t>
      </w:r>
      <w:r>
        <w:rPr>
          <w:rFonts w:ascii="Century;Times New Roman" w:hAnsi="Century;Times New Roman"/>
          <w:b/>
          <w:bCs/>
          <w:color w:val="000000"/>
          <w:sz w:val="23"/>
        </w:rPr>
        <w:t>количественно-суммовые реквизиты-</w:t>
      </w:r>
      <w:r>
        <w:rPr>
          <w:rFonts w:ascii="Century;Times New Roman" w:hAnsi="Century;Times New Roman"/>
          <w:b/>
          <w:bCs/>
          <w:color w:val="000000"/>
          <w:sz w:val="23"/>
          <w:u w:val="single"/>
        </w:rPr>
        <w:t>основания</w:t>
      </w:r>
      <w:r>
        <w:rPr>
          <w:rFonts w:ascii="Century;Times New Roman" w:hAnsi="Century;Times New Roman"/>
          <w:color w:val="000000"/>
          <w:sz w:val="23"/>
        </w:rPr>
        <w:t xml:space="preserve">: </w:t>
      </w:r>
    </w:p>
    <w:p>
      <w:pPr>
        <w:pStyle w:val="Style22"/>
        <w:numPr>
          <w:ilvl w:val="0"/>
          <w:numId w:val="1"/>
        </w:numPr>
        <w:spacing w:lineRule="auto" w:line="240" w:before="0" w:after="120"/>
        <w:ind w:left="0" w:hanging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наименование, </w:t>
      </w:r>
    </w:p>
    <w:p>
      <w:pPr>
        <w:pStyle w:val="Style22"/>
        <w:numPr>
          <w:ilvl w:val="0"/>
          <w:numId w:val="1"/>
        </w:numPr>
        <w:spacing w:lineRule="auto" w:line="240" w:before="0" w:after="120"/>
        <w:ind w:left="0" w:hanging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номенклатурный номер, </w:t>
      </w:r>
    </w:p>
    <w:p>
      <w:pPr>
        <w:pStyle w:val="Style22"/>
        <w:numPr>
          <w:ilvl w:val="0"/>
          <w:numId w:val="1"/>
        </w:numPr>
        <w:spacing w:lineRule="auto" w:line="240" w:before="0" w:after="120"/>
        <w:ind w:left="0" w:hanging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количество, </w:t>
      </w:r>
    </w:p>
    <w:p>
      <w:pPr>
        <w:pStyle w:val="Style22"/>
        <w:numPr>
          <w:ilvl w:val="0"/>
          <w:numId w:val="1"/>
        </w:numPr>
        <w:spacing w:lineRule="auto" w:line="240" w:before="0" w:after="120"/>
        <w:ind w:left="0" w:hanging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>код производственных затрат и т.д.)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Оформительская часть содержит атрибуты, как правило, непосредственно не участвующие в процессе обработки информации</w:t>
      </w:r>
      <w:r>
        <w:rPr>
          <w:rFonts w:ascii="Century;Times New Roman" w:hAnsi="Century;Times New Roman"/>
          <w:color w:val="000000"/>
          <w:sz w:val="23"/>
        </w:rPr>
        <w:t xml:space="preserve">, однако они </w:t>
      </w:r>
      <w:r>
        <w:rPr>
          <w:rFonts w:ascii="Century;Times New Roman" w:hAnsi="Century;Times New Roman"/>
          <w:b/>
          <w:bCs/>
          <w:color w:val="000000"/>
          <w:sz w:val="23"/>
        </w:rPr>
        <w:t>придают документу юридическую силу</w:t>
      </w:r>
      <w:r>
        <w:rPr>
          <w:rFonts w:ascii="Century;Times New Roman" w:hAnsi="Century;Times New Roman"/>
          <w:color w:val="000000"/>
          <w:sz w:val="23"/>
        </w:rPr>
        <w:t>, так как включают подписи лиц, участвовавших в подготовке документа.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Помимо табличной формы представления документов в практике организационно-экономического управления могут использоваться также документы упрощенной табличной формы, в которых наименование </w:t>
      </w:r>
      <w:r>
        <w:rPr>
          <w:rFonts w:ascii="Century;Times New Roman" w:hAnsi="Century;Times New Roman"/>
          <w:b/>
          <w:bCs/>
          <w:color w:val="000000"/>
          <w:sz w:val="23"/>
        </w:rPr>
        <w:t>реквизитов приводятся не в шапке документа</w:t>
      </w:r>
      <w:r>
        <w:rPr>
          <w:rFonts w:ascii="Century;Times New Roman" w:hAnsi="Century;Times New Roman"/>
          <w:color w:val="000000"/>
          <w:sz w:val="23"/>
        </w:rPr>
        <w:t>, а в</w:t>
      </w:r>
      <w:r>
        <w:rPr>
          <w:rFonts w:ascii="Century;Times New Roman" w:hAnsi="Century;Times New Roman"/>
          <w:b/>
          <w:bCs/>
          <w:color w:val="000000"/>
          <w:sz w:val="23"/>
        </w:rPr>
        <w:t xml:space="preserve"> боковике, рядом с которым проставляются конкретные значения соответствующих реквизитов.</w:t>
      </w:r>
      <w:r>
        <w:rPr>
          <w:rFonts w:ascii="Century;Times New Roman" w:hAnsi="Century;Times New Roman"/>
          <w:color w:val="000000"/>
          <w:sz w:val="23"/>
        </w:rPr>
        <w:t xml:space="preserve"> 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>Наконец, экономические документы могут содержать как шапку, так и боковик. Документы такой формы широко используются при подготовке различной отчетности (статистической, финансовой, бухгалтерской, налоговой и т.п.). В качестве носителя информации для отображения содержимого документов наиболее распространенными являются: бумажные, электронные (экранные) и магнитные носители.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В целях упрощения организации процессов обработки, передачи и хранения информации, содержащейся в документах, она может объединяться в виде </w:t>
      </w:r>
      <w:r>
        <w:rPr>
          <w:rFonts w:ascii="Century;Times New Roman" w:hAnsi="Century;Times New Roman"/>
          <w:b/>
          <w:bCs/>
          <w:color w:val="000000"/>
          <w:sz w:val="23"/>
        </w:rPr>
        <w:t>информационных массивов (файлов)</w:t>
      </w:r>
      <w:r>
        <w:rPr>
          <w:rFonts w:ascii="Century;Times New Roman" w:hAnsi="Century;Times New Roman"/>
          <w:color w:val="000000"/>
          <w:sz w:val="23"/>
        </w:rPr>
        <w:t>.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Информационный массив с </w:t>
      </w:r>
      <w:r>
        <w:rPr>
          <w:rFonts w:ascii="Century;Times New Roman" w:hAnsi="Century;Times New Roman"/>
          <w:b/>
          <w:bCs/>
          <w:color w:val="000000"/>
          <w:sz w:val="23"/>
        </w:rPr>
        <w:t>позиции логической структуры</w:t>
      </w:r>
      <w:r>
        <w:rPr>
          <w:rFonts w:ascii="Century;Times New Roman" w:hAnsi="Century;Times New Roman"/>
          <w:color w:val="000000"/>
          <w:sz w:val="23"/>
        </w:rPr>
        <w:t xml:space="preserve"> представляет собой: </w:t>
      </w:r>
    </w:p>
    <w:p>
      <w:pPr>
        <w:pStyle w:val="Style22"/>
        <w:numPr>
          <w:ilvl w:val="0"/>
          <w:numId w:val="2"/>
        </w:numPr>
        <w:spacing w:lineRule="auto" w:line="240" w:before="0" w:after="120"/>
        <w:ind w:left="0" w:hanging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либо набор </w:t>
      </w:r>
      <w:r>
        <w:rPr>
          <w:rFonts w:ascii="Century;Times New Roman" w:hAnsi="Century;Times New Roman"/>
          <w:b/>
          <w:bCs/>
          <w:color w:val="000000"/>
          <w:sz w:val="23"/>
        </w:rPr>
        <w:t>данных</w:t>
      </w:r>
      <w:r>
        <w:rPr>
          <w:rFonts w:ascii="Century;Times New Roman" w:hAnsi="Century;Times New Roman"/>
          <w:color w:val="000000"/>
          <w:sz w:val="23"/>
        </w:rPr>
        <w:t xml:space="preserve"> (</w:t>
      </w:r>
      <w:r>
        <w:rPr>
          <w:rFonts w:ascii="Century;Times New Roman" w:hAnsi="Century;Times New Roman"/>
          <w:b/>
          <w:bCs/>
          <w:color w:val="000000"/>
          <w:sz w:val="23"/>
        </w:rPr>
        <w:t>документов</w:t>
      </w:r>
      <w:r>
        <w:rPr>
          <w:rFonts w:ascii="Century;Times New Roman" w:hAnsi="Century;Times New Roman"/>
          <w:color w:val="000000"/>
          <w:sz w:val="23"/>
        </w:rPr>
        <w:t xml:space="preserve">) одной формы (одного названия) со всеми значениями, </w:t>
      </w:r>
    </w:p>
    <w:p>
      <w:pPr>
        <w:pStyle w:val="Style22"/>
        <w:numPr>
          <w:ilvl w:val="0"/>
          <w:numId w:val="2"/>
        </w:numPr>
        <w:spacing w:lineRule="auto" w:line="240" w:before="0" w:after="120"/>
        <w:ind w:left="0" w:hanging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либо сочетание таких наборов данных, относящихся к одной задаче. </w:t>
      </w:r>
    </w:p>
    <w:p>
      <w:pPr>
        <w:pStyle w:val="Style22"/>
        <w:spacing w:lineRule="auto" w:line="240" w:before="0" w:after="12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>Во втором случае массив называется укрупненным. Сущность массива выражается через логический смысл и естественную целесообразность его структуры. В системах обработки информации массив является основной структурной единицей, предназначенной для хранения, передачи и обработки информации.</w:t>
      </w:r>
    </w:p>
    <w:p>
      <w:pPr>
        <w:pStyle w:val="Style22"/>
        <w:spacing w:before="0" w:after="120"/>
        <w:ind w:firstLine="45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>Массивы могут объединяться в более крупные структурные единицы. Самой крупной является информационная база, а самой простой формой объединений – информационный поток.</w:t>
      </w:r>
    </w:p>
    <w:p>
      <w:pPr>
        <w:pStyle w:val="Style22"/>
        <w:spacing w:before="0" w:after="120"/>
        <w:ind w:firstLine="45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>Информационный поток</w:t>
      </w:r>
      <w:r>
        <w:rPr>
          <w:rFonts w:ascii="Century;Times New Roman" w:hAnsi="Century;Times New Roman"/>
          <w:color w:val="000000"/>
          <w:sz w:val="23"/>
        </w:rPr>
        <w:t xml:space="preserve"> – это совокупность информационных массивов, в том числе документов, относительно конкретной управленческой деятельности, имеющая динамический характер (Информационный поток – группа или совокупность перемещаемых данных, относящихся к какому-то конкретному участку экономических расчетов).</w:t>
      </w:r>
    </w:p>
    <w:p>
      <w:pPr>
        <w:pStyle w:val="Style22"/>
        <w:spacing w:before="0" w:after="120"/>
        <w:ind w:firstLine="45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>Информационная база</w:t>
      </w:r>
      <w:r>
        <w:rPr>
          <w:rFonts w:ascii="Century;Times New Roman" w:hAnsi="Century;Times New Roman"/>
          <w:color w:val="000000"/>
          <w:sz w:val="23"/>
        </w:rPr>
        <w:t xml:space="preserve"> – все совокупность информации реального экономического объекта.</w:t>
      </w:r>
    </w:p>
    <w:p>
      <w:pPr>
        <w:pStyle w:val="Style22"/>
        <w:spacing w:before="150" w:after="150"/>
        <w:ind w:right="170" w:hanging="0"/>
        <w:jc w:val="both"/>
        <w:rPr>
          <w:rFonts w:ascii="Arial;Helvetica;sans-serif" w:hAnsi="Arial;Helvetica;sans-serif"/>
          <w:color w:val="333333"/>
          <w:sz w:val="27"/>
        </w:rPr>
      </w:pPr>
      <w:r>
        <w:rPr>
          <w:rFonts w:ascii="Arial;Helvetica;sans-serif" w:hAnsi="Arial;Helvetica;sans-serif"/>
          <w:color w:val="333333"/>
          <w:sz w:val="27"/>
        </w:rPr>
      </w:r>
    </w:p>
    <w:p>
      <w:pPr>
        <w:pStyle w:val="Style22"/>
        <w:spacing w:before="150" w:after="150"/>
        <w:ind w:right="170" w:hanging="0"/>
        <w:jc w:val="both"/>
        <w:rPr>
          <w:rFonts w:ascii="Arial;Helvetica;sans-serif" w:hAnsi="Arial;Helvetica;sans-serif"/>
          <w:color w:val="333333"/>
          <w:sz w:val="27"/>
        </w:rPr>
      </w:pPr>
      <w:r>
        <w:rPr>
          <w:rFonts w:ascii="Arial;Helvetica;sans-serif" w:hAnsi="Arial;Helvetica;sans-serif"/>
          <w:color w:val="333333"/>
          <w:sz w:val="27"/>
        </w:rPr>
      </w:r>
    </w:p>
    <w:p>
      <w:pPr>
        <w:pStyle w:val="Style22"/>
        <w:spacing w:before="150" w:after="150"/>
        <w:ind w:right="170" w:hanging="0"/>
        <w:jc w:val="both"/>
        <w:rPr>
          <w:rFonts w:ascii="Arial;Helvetica;sans-serif" w:hAnsi="Arial;Helvetica;sans-serif"/>
          <w:color w:val="333333"/>
          <w:sz w:val="27"/>
        </w:rPr>
      </w:pPr>
      <w:r>
        <w:rPr>
          <w:rFonts w:ascii="Arial;Helvetica;sans-serif" w:hAnsi="Arial;Helvetica;sans-serif"/>
          <w:color w:val="333333"/>
          <w:sz w:val="27"/>
        </w:rPr>
      </w:r>
    </w:p>
    <w:p>
      <w:pPr>
        <w:pStyle w:val="Style22"/>
        <w:spacing w:before="150" w:after="150"/>
        <w:ind w:right="170" w:hanging="0"/>
        <w:jc w:val="both"/>
        <w:rPr>
          <w:rFonts w:ascii="Arial;Helvetica;sans-serif" w:hAnsi="Arial;Helvetica;sans-serif"/>
          <w:color w:val="333333"/>
          <w:sz w:val="27"/>
        </w:rPr>
      </w:pPr>
      <w:r>
        <w:rPr>
          <w:rFonts w:ascii="Arial;Helvetica;sans-serif" w:hAnsi="Arial;Helvetica;sans-serif"/>
          <w:color w:val="333333"/>
          <w:sz w:val="27"/>
        </w:rPr>
      </w:r>
    </w:p>
    <w:p>
      <w:pPr>
        <w:pStyle w:val="Style22"/>
        <w:spacing w:before="150" w:after="150"/>
        <w:ind w:right="170" w:hanging="0"/>
        <w:jc w:val="both"/>
        <w:rPr>
          <w:rFonts w:ascii="Arial;Helvetica;sans-serif" w:hAnsi="Arial;Helvetica;sans-serif"/>
          <w:color w:val="333333"/>
          <w:sz w:val="27"/>
        </w:rPr>
      </w:pPr>
      <w:r>
        <w:rPr>
          <w:rFonts w:ascii="Arial;Helvetica;sans-serif" w:hAnsi="Arial;Helvetica;sans-serif"/>
          <w:color w:val="333333"/>
          <w:sz w:val="27"/>
        </w:rPr>
      </w:r>
    </w:p>
    <w:p>
      <w:pPr>
        <w:pStyle w:val="Style22"/>
        <w:spacing w:before="150" w:after="150"/>
        <w:ind w:right="170" w:hanging="0"/>
        <w:jc w:val="both"/>
        <w:rPr>
          <w:rFonts w:ascii="Arial;Helvetica;sans-serif" w:hAnsi="Arial;Helvetica;sans-serif"/>
          <w:color w:val="333333"/>
          <w:sz w:val="27"/>
        </w:rPr>
      </w:pPr>
      <w:r>
        <w:rPr>
          <w:rFonts w:ascii="Arial;Helvetica;sans-serif" w:hAnsi="Arial;Helvetica;sans-serif"/>
          <w:color w:val="333333"/>
          <w:sz w:val="27"/>
        </w:rPr>
      </w:r>
    </w:p>
    <w:p>
      <w:pPr>
        <w:pStyle w:val="Style22"/>
        <w:spacing w:before="150" w:after="150"/>
        <w:ind w:left="150" w:right="150" w:hanging="0"/>
        <w:rPr>
          <w:rFonts w:ascii="Verdana;Arial;sans-serif" w:hAnsi="Verdana;Arial;sans-serif"/>
          <w:i/>
          <w:i/>
          <w:color w:val="424242"/>
          <w:sz w:val="23"/>
        </w:rPr>
      </w:pPr>
      <w:r>
        <w:rPr>
          <w:rFonts w:ascii="Verdana;Arial;sans-serif" w:hAnsi="Verdana;Arial;sans-serif"/>
          <w:i/>
          <w:color w:val="424242"/>
          <w:sz w:val="23"/>
        </w:rPr>
      </w:r>
    </w:p>
    <w:p>
      <w:pPr>
        <w:pStyle w:val="Normal"/>
        <w:jc w:val="both"/>
        <w:rPr>
          <w:rFonts w:ascii="Verdana;Arial;sans-serif" w:hAnsi="Verdana;Arial;sans-serif"/>
          <w:color w:val="424242"/>
          <w:sz w:val="23"/>
        </w:rPr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Verdana">
    <w:altName w:val="Arial"/>
    <w:charset w:val="cc"/>
    <w:family w:val="roman"/>
    <w:pitch w:val="variable"/>
  </w:font>
  <w:font w:name="Arial">
    <w:altName w:val="Helvetica"/>
    <w:charset w:val="cc"/>
    <w:family w:val="roman"/>
    <w:pitch w:val="variable"/>
  </w:font>
  <w:font w:name="Roboto">
    <w:altName w:val="sans-serif"/>
    <w:charset w:val="cc"/>
    <w:family w:val="roman"/>
    <w:pitch w:val="variable"/>
  </w:font>
  <w:font w:name="Tahoma">
    <w:altName w:val="Verdana"/>
    <w:charset w:val="cc"/>
    <w:family w:val="roman"/>
    <w:pitch w:val="variable"/>
  </w:font>
  <w:font w:name="Arsenal">
    <w:altName w:val="Arial"/>
    <w:charset w:val="cc"/>
    <w:family w:val="roman"/>
    <w:pitch w:val="variable"/>
  </w:font>
  <w:font w:name="Century">
    <w:altName w:val="Times New Roman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8"/>
        <w:rPr/>
      </w:pPr>
      <w:r>
        <w:rPr>
          <w:rStyle w:val="Style15"/>
        </w:rPr>
        <w:footnoteRef/>
      </w:r>
      <w:r>
        <w:rPr/>
        <w:tab/>
        <w:t>Реквизиты юридические и экономические ?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rPr>
      <w:color w:val="000080"/>
      <w:u w:val="single"/>
    </w:rPr>
  </w:style>
  <w:style w:type="character" w:styleId="Ins" w:customStyle="1">
    <w:name w:val="ins"/>
    <w:qFormat/>
    <w:rPr/>
  </w:style>
  <w:style w:type="character" w:styleId="Style15" w:customStyle="1">
    <w:name w:val="Символ сноски"/>
    <w:qFormat/>
    <w:rPr/>
  </w:style>
  <w:style w:type="character" w:styleId="Style16" w:customStyle="1">
    <w:name w:val="Привязка сноски"/>
    <w:rPr>
      <w:vertAlign w:val="superscript"/>
    </w:rPr>
  </w:style>
  <w:style w:type="character" w:styleId="Style17" w:customStyle="1">
    <w:name w:val="Маркеры списка"/>
    <w:qFormat/>
    <w:rPr>
      <w:rFonts w:ascii="OpenSymbol" w:hAnsi="OpenSymbol" w:eastAsia="OpenSymbol" w:cs="OpenSymbol"/>
    </w:rPr>
  </w:style>
  <w:style w:type="character" w:styleId="Style18" w:customStyle="1">
    <w:name w:val="Привязка концевой сноски"/>
    <w:rPr>
      <w:vertAlign w:val="superscript"/>
    </w:rPr>
  </w:style>
  <w:style w:type="character" w:styleId="Style19" w:customStyle="1">
    <w:name w:val="Символ концевой сноски"/>
    <w:qFormat/>
    <w:rPr/>
  </w:style>
  <w:style w:type="character" w:styleId="Style20">
    <w:name w:val="Посещённая гиперссылка"/>
    <w:rPr>
      <w:color w:val="800000"/>
      <w:u w:val="single"/>
      <w:lang w:val="zxx" w:eastAsia="zxx" w:bidi="zxx"/>
    </w:rPr>
  </w:style>
  <w:style w:type="paragraph" w:styleId="Style21" w:customStyle="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/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6" w:customStyle="1">
    <w:name w:val="Содержимое таблицы"/>
    <w:basedOn w:val="Normal"/>
    <w:qFormat/>
    <w:pPr>
      <w:suppressLineNumbers/>
    </w:pPr>
    <w:rPr/>
  </w:style>
  <w:style w:type="paragraph" w:styleId="Style27" w:customStyle="1">
    <w:name w:val="Заголовок таблицы"/>
    <w:basedOn w:val="Style26"/>
    <w:qFormat/>
    <w:pPr>
      <w:jc w:val="center"/>
    </w:pPr>
    <w:rPr>
      <w:b/>
      <w:bCs/>
    </w:rPr>
  </w:style>
  <w:style w:type="paragraph" w:styleId="Style28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konomika-st.ru/drugie/delopr/delopr-4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businessman.ru/new-osnovnye-ekonomicheskie-pokazateli-ponyatie-vidy-i-raschet-ekonomicheskie-pokazateli-deyatelnosti-predpriyatiya.html" TargetMode="Externa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LibreOffice/6.4.5.2$Windows_x86 LibreOffice_project/a726b36747cf2001e06b58ad5db1aa3a9a1872d6</Application>
  <Pages>6</Pages>
  <Words>1454</Words>
  <Characters>11322</Characters>
  <CharactersWithSpaces>12789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2021-02-16T16:32:00Z</dcterms:created>
  <dc:creator/>
  <dc:description/>
  <dc:language>ru-RU</dc:language>
  <cp:lastModifiedBy/>
  <dcterms:modified xsi:type="dcterms:W3CDTF">2022-02-17T14:28:10Z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