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'1.0' encoding='utf-8'?>
<ns0:Relationships xmlns:ns0="http://schemas.openxmlformats.org/package/2006/relationships"><ns0:Relationship Id="document" Type="http://schemas.openxmlformats.org/officeDocument/2006/relationships/officeDocument" Target="word/document.xml" /></ns0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Гаврилов Леонид Геннадьевич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Основные молитвы и поведение в храме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Кипр, Армения, Болгария: сравнительное исследование и трёхъязычная памятка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Монография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2026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Рабочая исследовательская редакция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Редакционный макет незавершённой монографии. Не готовая книга, не проверенная молитвенная памятка и не церковно одобренное издание.</w:t>
      </w:r>
    </w:p>
    <w:p>
      <w:r>
        <w:br w:type="page"/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Аннотация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Работа поставлена как сравнение основных молитв и поведения посетителя храма в трёх традициях. Эта редакция сохраняет исследовательский вопрос, границы доказательств и параллельные составительские вопросы на трёх языках. Подтверждённое пересечение пока не установлено; отсутствие проверки не означает отсутствия общей практики.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Содержание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1. Введение: вопросы посетителя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2. Границы сравнения и метод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3. Подтверждённый молитвенный минимум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4. Подтверждённые общие обычаи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5. Параллельные вопросы посетителя: редакционный макет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6. Комментарии к различиям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7. Источники и очередь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8. Ограничения проверки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1. Введение: вопросы посетителя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Условная ситуация: человек впервые приходит в незнакомый храм и не знает, можно ли сейчас войти. За первым вопросом возникают следующие: где остановиться, как присоединиться к молитве, когда выйти, не мешая другим? Это рамка исследования, а не описание личного опыта автора и не единый обязательный ритуал.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Возможность и способ участия посетителя в молитве также остаются вопросами к конкретной общине, а не заранее данным общим ответом.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Ответ полезен лишь тогда, когда понятно, для какой общины, службы и редакции текста он проверен. Поэтому ниже сначала обозначены пределы сравнения, а не предложена универсальная последовательность действий.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2. Границы сравнения и метод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Сравниваются греко-православная практика Кипра, Армянская апостольская церковь по англоязычным церковным источникам и Болгарская православная церковь. Английский — язык исследования армянских источников, не утверждение о языке богослужения в Армении. Армянскую апостольскую традицию нельзя автоматически отождествлять с византийскими традициями Кипра и Болгарии.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Найденные армянские направления связаны с англоязычными церковными организациями диаспоры в США: Vemkar и Eastern Prelacy. Их юрисдикции, адресаты и применимость к общинам непосредственно в Армении требуют отдельной проверки. Они не представляют автоматически все местные практики Армянской апостольской церкви.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Исходный промпт прочитан полностью через GitHub MCP из коммита 391a15499a34310efd9dcd5ac85c038a344f7f0d. Библиография, 12 параметров оценки и результаты дедупликации вынесены в отдельный каталог books-ranked.md. Они не являются параллельным переводом.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Поисковая ссылка означает обнаружение кандидата. Для включения молитвы или обычая в пересечение требуется проверить источник каждой из трёх традиций. Совпадение названия молитвы не доказывает буквального совпадения редакций. Для публикации конкретного текста отдельно требуются установленные права.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3. Подтверждённый молитвенный минимум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 этой редакции нет элементов, прошедших проверку по всем трём традициям. Тексты молитв не воспроизводятся и не заменяются составительским пересказом. «Отче наш», краткие молитвенные возгласы и их языковые редакции остаются в очереди проверки, а не объявляются установленным общим минимумом.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4. Подтверждённые общие обычаи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Общее правило для трёх традиций пока не подтверждено непосредственно просмотренными первичными источниками. Вопросы об одежде, тишине, месте посетителя и времени входа/выхода требуют отдельного свидетельства каждой юрисдикции. Они не превращены в обязательные предписания.</w:t>
      </w:r>
    </w:p>
    <w:p>
      <w:r>
        <w:br w:type="page"/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5. Параллельные вопросы посетителя: редакционный макет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Следующая таблица содержит только составительские переводы вопросов для дальнейшей проверки. Это не молитвы, не цитаты, не официальные церковные формулировки и не подтверждённые общие обычаи. Каждая строка передаёт один вопрос. Языковая проверка средствами ИИ не заменяет редактора — носителя языка.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Английский столбец передаёт тот же вопрос посетителя; это не перевод на армянский язык и не цитата из армянского церковного источника.</w:t>
      </w:r>
    </w:p>
    <w:tbl>
      <w:tblPr>
        <w:tblW w:w="14400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</w:tblPr>
      <w:tblGrid>
        <w:gridCol w:w="4800"/>
        <w:gridCol w:w="4800"/>
        <w:gridCol w:w="4800"/>
      </w:tblGrid>
      <w:tr>
        <w:trPr>
          <w:tblHeader w:val="true"/>
        </w:trP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Ελληνικά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English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Български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Μπορώ να μπω τώρα χωρίς να ενοχλήσω την ακολουθία;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May I enter now without disturbing the service?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Мога ли да вляза сега, без да преча на богослужението?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Πού μπορώ να σταθώ;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Where may I stand?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Къде мога да застана?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Ποιο κείμενο προσευχής χρησιμοποιείται σε αυτή την κοινότητα;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Which prayer text is used in this community?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Кой молитвен текст се използва в тази общност?</w:t>
            </w:r>
          </w:p>
        </w:tc>
      </w:tr>
      <w:tr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l-GR"/>
              </w:rPr>
              <w:t xml:space="preserve">Πότε μπορώ να φύγω χωρίς να ενοχλήσω τους άλλους;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en-US"/>
              </w:rPr>
              <w:t xml:space="preserve">When may I leave without disturbing others?</w:t>
            </w:r>
          </w:p>
        </w:tc>
        <w:tc>
          <w:tcPr>
            <w:tcW w:w="4800" w:type="dxa"/>
          </w:tcPr>
          <w:p>
            <w:pPr>
              <w:spacing w:after="120"/>
            </w:pPr>
            <w:r>
              <w:rPr>
                <w:rFonts w:ascii="DejaVu Sans" w:hAnsi="DejaVu Sans" w:eastAsia="DejaVu Sans" w:cs="DejaVu Sans"/>
                <w:sz w:val="22"/>
                <w:lang w:val="bg-BG"/>
              </w:rPr>
              <w:t xml:space="preserve">Кога мога да си тръгна, без да преча на другите?</w:t>
            </w:r>
          </w:p>
        </w:tc>
      </w:tr>
    </w:tbl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6. Комментарии к различиям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Источник греческой православной традиции вне Кипра не устанавливает местную кипрскую практику. Английская редакция армянского молитвенника не подтверждает употребление её формулировок в двух других церквах. Печатный болгарский молитвенник и сетевые главы нельзя считать разными книгами без доказательства самостоятельности изданий.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В следующей редакции нужно отдельно сопоставить обращения, окончания молитв, роль священнослужителя и мирянина, а также контекст личной молитвы и общей службы. Пока такие различия не проверены, они не заполнены догадками.</w:t>
      </w:r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7. Источники и очередь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Ниже — направления проверки, а не доказательная база готового пересечения. Их статус, библиография и права отмечаются в отдельном каталоге и манифесте.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Церковь Кипра, «Προσευχητάριο: Πρωϊνή προσευχή»: </w:t>
      </w:r>
      <w:hyperlink r:id="url1">
        <w:r>
          <w:rPr>
            <w:rFonts w:ascii="DejaVu Sans" w:hAnsi="DejaVu Sans" w:eastAsia="DejaVu Sans" w:cs="DejaVu Sans"/>
            <w:sz w:val="22"/>
            <w:lang w:val="ru-RU"/>
          </w:rPr>
          <w:t xml:space="preserve">https://churchofcyprus.org.cy/8571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Болгарская патриархия, каталог молитвенника: </w:t>
      </w:r>
      <w:hyperlink r:id="url2">
        <w:r>
          <w:rPr>
            <w:rFonts w:ascii="DejaVu Sans" w:hAnsi="DejaVu Sans" w:eastAsia="DejaVu Sans" w:cs="DejaVu Sans"/>
            <w:sz w:val="22"/>
            <w:lang w:val="ru-RU"/>
          </w:rPr>
          <w:t xml:space="preserve">https://bg-patriarshia.bg/bookshop-books/molitvenik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Болгарская патриархия, сетевые молитвенные разделы: </w:t>
      </w:r>
      <w:hyperlink r:id="url3">
        <w:r>
          <w:rPr>
            <w:rFonts w:ascii="DejaVu Sans" w:hAnsi="DejaVu Sans" w:eastAsia="DejaVu Sans" w:cs="DejaVu Sans"/>
            <w:sz w:val="22"/>
            <w:lang w:val="ru-RU"/>
          </w:rPr>
          <w:t xml:space="preserve">https://bg-patriarshia.bg/liturgical-prayer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Armenian Prelacy, объявление издания «In Faith I Confess»: </w:t>
      </w:r>
      <w:hyperlink r:id="url4">
        <w:r>
          <w:rPr>
            <w:rFonts w:ascii="DejaVu Sans" w:hAnsi="DejaVu Sans" w:eastAsia="DejaVu Sans" w:cs="DejaVu Sans"/>
            <w:sz w:val="22"/>
            <w:lang w:val="ru-RU"/>
          </w:rPr>
          <w:t xml:space="preserve">https://armenianprelacy.org/2022/06/16/new-edition-of-st-nerses-shnorhalis-in-faith-i-confess/</w:t>
        </w:r>
      </w:hyperlink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Vemkar, направление проверки брошюры об этикете: </w:t>
      </w:r>
      <w:hyperlink r:id="url5">
        <w:r>
          <w:rPr>
            <w:rFonts w:ascii="DejaVu Sans" w:hAnsi="DejaVu Sans" w:eastAsia="DejaVu Sans" w:cs="DejaVu Sans"/>
            <w:sz w:val="22"/>
            <w:lang w:val="ru-RU"/>
          </w:rPr>
          <w:t xml:space="preserve">https://vemkar.us/wp-content/uploads/2025/01/VTS-Church-Etiquette-WEB.pdf</w:t>
        </w:r>
      </w:hyperlink>
    </w:p>
    <w:p>
      <w:pPr>
        <w:keepNext/>
        <w:spacing w:after="120"/>
        <w:outlineLvl w:val="0"/>
      </w:pPr>
      <w:r>
        <w:rPr>
          <w:rFonts w:ascii="DejaVu Sans" w:hAnsi="DejaVu Sans" w:eastAsia="DejaVu Sans" w:cs="DejaVu Sans"/>
          <w:b/>
          <w:sz w:val="28"/>
          <w:lang w:val="ru-RU"/>
        </w:rPr>
        <w:t xml:space="preserve">8. Ограничения проверки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Дата исследования: 18 октября 2026 года. В терминале GitHub доступен, а проверенные церковные домены возвращают ошибку DNS. Встроенный поиск даёт ссылки и выдержки, но прямой просмотр первичных страниц ограничен. Браузерный инструмент недоступен из-за ошибки транспорта. Это не основание объявлять сайты недоступными для всех.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Никакие полные сторонние книги или современные переводы молитв в этот макет не импортированы. Составительские вопросы в таблице не считаются преобразованной книгой. Внешнее рецензирование, благословение и профессиональная языковая редактура носителями соответствующих языков не заявляются. Независимые проверки ИИ и решения редакции фиксируются в editorial-review.md.</w:t>
      </w:r>
    </w:p>
    <w:p>
      <w:pPr>
        <w:spacing w:after="120"/>
      </w:pPr>
      <w:r>
        <w:rPr>
          <w:rFonts w:ascii="DejaVu Sans" w:hAnsi="DejaVu Sans" w:eastAsia="DejaVu Sans" w:cs="DejaVu Sans"/>
          <w:sz w:val="22"/>
          <w:lang w:val="ru-RU"/>
        </w:rPr>
        <w:t xml:space="preserve">DOCX собран стандартной библиотекой Python. Проверяются непустой ZIP, XML, word/document.xml, сохранность текста, три равные ячейки, повтор заголовка и поле номера страницы. Визуальный просмотр в Word или другом рендерере не выполнен; переносы страниц и отсутствие визуальных дефектов требуют проверки человеком.</w:t>
      </w:r>
    </w:p>
    <w:sectPr>
      <w:footerReference w:type="default" r:id="footer"/>
      <w:pgSz w:w="16838" w:h="11906" w:orient="landscape"/>
      <w:pgMar w:top="850" w:right="1219" w:bottom="850" w:left="1219" w:header="400" w:footer="40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/>
  </w:p>
</w:ftr>
</file>

<file path=word/_rels/document.xml.rels><?xml version='1.0' encoding='utf-8'?>
<ns0:Relationships xmlns:ns0="http://schemas.openxmlformats.org/package/2006/relationships"><ns0:Relationship Id="footer" Type="http://schemas.openxmlformats.org/officeDocument/2006/relationships/footer" Target="footer1.xml" /><ns0:Relationship Id="url1" Type="http://schemas.openxmlformats.org/officeDocument/2006/relationships/hyperlink" Target="https://churchofcyprus.org.cy/8571" TargetMode="External" /><ns0:Relationship Id="url2" Type="http://schemas.openxmlformats.org/officeDocument/2006/relationships/hyperlink" Target="https://bg-patriarshia.bg/bookshop-books/molitvenik" TargetMode="External" /><ns0:Relationship Id="url3" Type="http://schemas.openxmlformats.org/officeDocument/2006/relationships/hyperlink" Target="https://bg-patriarshia.bg/liturgical-prayer" TargetMode="External" /><ns0:Relationship Id="url4" Type="http://schemas.openxmlformats.org/officeDocument/2006/relationships/hyperlink" Target="https://armenianprelacy.org/2022/06/16/new-edition-of-st-nerses-shnorhalis-in-faith-i-confess/" TargetMode="External" /><ns0:Relationship Id="url5" Type="http://schemas.openxmlformats.org/officeDocument/2006/relationships/hyperlink" Target="https://vemkar.us/wp-content/uploads/2025/01/VTS-Church-Etiquette-WEB.pdf" TargetMode="External" /></ns0:Relationships>
</file>