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Гаврилов Леонид Геннадьевич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Основные молитвы и поведение в храме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Кипр, Армения, Болгария: сравнительное исследование и трёхъязычная памятка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Монография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2026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Рабочая исследовательская редакция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Редакционный макет незавершённой монографии. Не готовая книга, не проверенная молитвенная памятка и не церковно одобренное издание.</w:t>
      </w:r>
    </w:p>
    <w:p>
      <w:r>
        <w:br w:type="page"/>
      </w:r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Аннотация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Работа поставлена как сравнение основных молитв и поведения посетителя храма в трёх традициях. Эта редакция сохраняет исследовательский вопрос, границы доказательств и параллельные составительские вопросы на трёх языках. Подтверждённое пересечение пока не установлено; отсутствие проверки не означает отсутствия общей практики.</w:t>
      </w:r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Содержание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1. Введение: вопросы посетителя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2. Границы сравнения и метод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3. Подтверждённый молитвенный минимум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4. Подтверждённые общие обычаи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5. Параллельные вопросы посетителя: редакционный макет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6. Комментарии к различиям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7. Источники и очередь проверки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8. Ограничения проверки</w:t>
      </w:r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1. Введение: вопросы посетителя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Условная ситуация: человек впервые приходит в незнакомый храм и не знает, можно ли сейчас войти. За первым вопросом возникают следующие: где остановиться, как присоединиться к молитве, когда выйти, не мешая другим? Это рамка исследования, а не описание личного опыта автора и не единый обязательный ритуал.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Ответ полезен лишь тогда, когда понятно, для какой общины, службы и редакции текста он проверен. Поэтому ниже сначала обозначены пределы сравнения, а не предложена универсальная последовательность действий.</w:t>
      </w:r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2. Границы сравнения и метод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Сравниваются греко-православная практика Кипра, Армянская апостольская церковь по англоязычным церковным источникам и Болгарская православная церковь. Английский — язык исследования армянских источников, не утверждение о языке богослужения в Армении. Армянскую апостольскую традицию нельзя автоматически отождествлять с византийскими традициями Кипра и Болгарии.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Исходный промпт прочитан полностью через GitHub MCP из коммита 391a15499a34310efd9dcd5ac85c038a344f7f0d. Библиография, 12 параметров оценки и результаты дедупликации вынесены в отдельный каталог books-ranked.md. Они не являются параллельным переводом.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Поисковая ссылка означает обнаружение кандидата. Для включения молитвы или обычая в пересечение требуется проверить источник каждой из трёх традиций. Совпадение названия молитвы не доказывает буквального совпадения редакций. Для публикации конкретного текста отдельно требуются установленные права.</w:t>
      </w:r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3. Подтверждённый молитвенный минимум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В этой редакции нет элементов, прошедших проверку по всем трём традициям. Тексты молитв не воспроизводятся и не заменяются составительским пересказом. «Отче наш», краткие молитвенные возгласы и их языковые редакции остаются в очереди проверки, а не объявляются установленным общим минимумом.</w:t>
      </w:r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4. Подтверждённые общие обычаи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Общее правило для трёх традиций пока не подтверждено непосредственно просмотренными первичными источниками. Вопросы об одежде, тишине, месте посетителя и времени входа/выхода требуют отдельного свидетельства каждой юрисдикции. Они не превращены в обязательные предписания.</w:t>
      </w:r>
    </w:p>
    <w:p>
      <w:r>
        <w:br w:type="page"/>
      </w:r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5. Параллельные вопросы посетителя: редакционный макет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Следующая таблица содержит только составительские переводы вопросов для дальнейшей проверки. Это не молитвы, не цитаты, не официальные церковные формулировки и не подтверждённые общие обычаи. Каждая строка передаёт один вопрос. Языковая проверка средствами ИИ не заменяет редактора — носителя языка.</w:t>
      </w:r>
    </w:p>
    <w:tbl>
      <w:tblPr>
        <w:tblW w:w="14400" w:type="dxa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l-GR"/>
                <w:sz w:val="22"/>
              </w:rPr>
              <w:t xml:space="preserve">Ελληνικά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n-US"/>
                <w:sz w:val="22"/>
              </w:rPr>
              <w:t xml:space="preserve">English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bg-BG"/>
                <w:sz w:val="22"/>
              </w:rPr>
              <w:t xml:space="preserve">Български</w:t>
            </w:r>
          </w:p>
        </w:tc>
      </w:tr>
      <w:tr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l-GR"/>
                <w:sz w:val="22"/>
              </w:rPr>
              <w:t xml:space="preserve">Μπορώ να μπω τώρα χωρίς να ενοχλήσω την ακολουθία;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n-US"/>
                <w:sz w:val="22"/>
              </w:rPr>
              <w:t xml:space="preserve">May I enter now without disturbing the service?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bg-BG"/>
                <w:sz w:val="22"/>
              </w:rPr>
              <w:t xml:space="preserve">Мога ли да вляза сега, без да преча на богослужението?</w:t>
            </w:r>
          </w:p>
        </w:tc>
      </w:tr>
      <w:tr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l-GR"/>
                <w:sz w:val="22"/>
              </w:rPr>
              <w:t xml:space="preserve">Πού μπορώ να σταθώ;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n-US"/>
                <w:sz w:val="22"/>
              </w:rPr>
              <w:t xml:space="preserve">Where may I stand?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bg-BG"/>
                <w:sz w:val="22"/>
              </w:rPr>
              <w:t xml:space="preserve">Къде мога да застана?</w:t>
            </w:r>
          </w:p>
        </w:tc>
      </w:tr>
      <w:tr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l-GR"/>
                <w:sz w:val="22"/>
              </w:rPr>
              <w:t xml:space="preserve">Ποιο κείμενο προσευχής χρησιμοποιείται σε αυτή την κοινότητα;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n-US"/>
                <w:sz w:val="22"/>
              </w:rPr>
              <w:t xml:space="preserve">Which prayer text is used in this community?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bg-BG"/>
                <w:sz w:val="22"/>
              </w:rPr>
              <w:t xml:space="preserve">Кой молитвен текст се използва в тази общност?</w:t>
            </w:r>
          </w:p>
        </w:tc>
      </w:tr>
      <w:tr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l-GR"/>
                <w:sz w:val="22"/>
              </w:rPr>
              <w:t xml:space="preserve">Πότε μπορώ να φύγω χωρίς να ενοχλήσω τους άλλους;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en-US"/>
                <w:sz w:val="22"/>
              </w:rPr>
              <w:t xml:space="preserve">When may I leave without disturbing others?</w:t>
            </w:r>
          </w:p>
        </w:tc>
        <w:tc>
          <w:tcPr>
            <w:tcW w:w="4800" w:type="dxa"/>
          </w:tcPr>
          <w:p>
            <w:pPr>
              <w:spacing w:after="120"/>
            </w:pPr>
            <w:r>
              <w:rPr>
                <w:rFonts w:ascii="DejaVu Sans" w:hAnsi="DejaVu Sans" w:eastAsia="DejaVu Sans" w:cs="DejaVu Sans"/>
                <w:lang w:val="bg-BG"/>
                <w:sz w:val="22"/>
              </w:rPr>
              <w:t xml:space="preserve">Кога мога да си тръгна, без да преча на другите?</w:t>
            </w:r>
          </w:p>
        </w:tc>
      </w:tr>
    </w:tbl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6. Комментарии к различиям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Источник греческой православной традиции вне Кипра не устанавливает местную кипрскую практику. Английская редакция армянского молитвенника не подтверждает употребление её формулировок в двух других церквах. Печатный болгарский молитвенник и сетевые главы нельзя считать разными книгами без доказательства самостоятельности изданий.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В следующей редакции нужно отдельно сопоставить обращения, окончания молитв, роль священнослужителя и мирянина, а также контекст личной молитвы и общей службы. Пока такие различия не проверены, они не заполнены догадками.</w:t>
      </w:r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7. Источники и очередь проверки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Ниже — направления проверки, а не доказательная база готового пересечения. Их статус, библиография и права отмечаются в отдельном каталоге и манифесте.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Церковь Кипра, «Προσευχητάριο: Πρωϊνή προσευχή»: </w:t>
      </w:r>
      <w:hyperlink r:id="url1">
        <w:r>
          <w:rPr>
            <w:rFonts w:ascii="DejaVu Sans" w:hAnsi="DejaVu Sans" w:eastAsia="DejaVu Sans" w:cs="DejaVu Sans"/>
            <w:lang w:val="ru-RU"/>
            <w:sz w:val="22"/>
          </w:rPr>
          <w:t xml:space="preserve">https://churchofcyprus.org.cy/8571</w:t>
        </w:r>
      </w:hyperlink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Болгарская патриархия, каталог молитвенника: </w:t>
      </w:r>
      <w:hyperlink r:id="url2">
        <w:r>
          <w:rPr>
            <w:rFonts w:ascii="DejaVu Sans" w:hAnsi="DejaVu Sans" w:eastAsia="DejaVu Sans" w:cs="DejaVu Sans"/>
            <w:lang w:val="ru-RU"/>
            <w:sz w:val="22"/>
          </w:rPr>
          <w:t xml:space="preserve">https://bg-patriarshia.bg/bookshop-books/molitvenik</w:t>
        </w:r>
      </w:hyperlink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Болгарская патриархия, сетевые молитвенные разделы: </w:t>
      </w:r>
      <w:hyperlink r:id="url3">
        <w:r>
          <w:rPr>
            <w:rFonts w:ascii="DejaVu Sans" w:hAnsi="DejaVu Sans" w:eastAsia="DejaVu Sans" w:cs="DejaVu Sans"/>
            <w:lang w:val="ru-RU"/>
            <w:sz w:val="22"/>
          </w:rPr>
          <w:t xml:space="preserve">https://bg-patriarshia.bg/liturgical-prayer</w:t>
        </w:r>
      </w:hyperlink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Armenian Prelacy, объявление издания «In Faith I Confess»: </w:t>
      </w:r>
      <w:hyperlink r:id="url4">
        <w:r>
          <w:rPr>
            <w:rFonts w:ascii="DejaVu Sans" w:hAnsi="DejaVu Sans" w:eastAsia="DejaVu Sans" w:cs="DejaVu Sans"/>
            <w:lang w:val="ru-RU"/>
            <w:sz w:val="22"/>
          </w:rPr>
          <w:t xml:space="preserve">https://armenianprelacy.org/2022/06/16/new-edition-of-st-nerses-shnorhalis-in-faith-i-confess/</w:t>
        </w:r>
      </w:hyperlink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Vemkar, направление проверки брошюры об этикете: </w:t>
      </w:r>
      <w:hyperlink r:id="url5">
        <w:r>
          <w:rPr>
            <w:rFonts w:ascii="DejaVu Sans" w:hAnsi="DejaVu Sans" w:eastAsia="DejaVu Sans" w:cs="DejaVu Sans"/>
            <w:lang w:val="ru-RU"/>
            <w:sz w:val="22"/>
          </w:rPr>
          <w:t xml:space="preserve">https://vemkar.us/wp-content/uploads/2025/01/VTS-Church-Etiquette-WEB.pdf</w:t>
        </w:r>
      </w:hyperlink>
    </w:p>
    <w:p>
      <w:pPr>
        <w:spacing w:after="120"/>
        <w:keepNext/>
        <w:outlineLvl w:val="0"/>
      </w:pPr>
      <w:r>
        <w:rPr>
          <w:rFonts w:ascii="DejaVu Sans" w:hAnsi="DejaVu Sans" w:eastAsia="DejaVu Sans" w:cs="DejaVu Sans"/>
          <w:lang w:val="ru-RU"/>
          <w:sz w:val="28"/>
          <w:b/>
        </w:rPr>
        <w:t xml:space="preserve">8. Ограничения проверки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Дата исследования: 18 октября 2026 года. В терминале GitHub доступен, а проверенные церковные домены возвращают ошибку DNS. Встроенный поиск даёт ссылки и выдержки, но прямой просмотр первичных страниц ограничен. Браузерный инструмент недоступен из-за ошибки транспорта. Это не основание объявлять сайты недоступными для всех.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Никакие полные сторонние книги или современные переводы молитв в этот макет не импортированы. Составительские вопросы в таблице не считаются преобразованной книгой. Внешнее рецензирование, благословение и экспертная носительская языковая проверка не заявляются. Независимые проверки ИИ и решения редакции фиксируются в editorial-review.md.</w:t>
      </w:r>
    </w:p>
    <w:p>
      <w:pPr>
        <w:spacing w:after="120"/>
      </w:pPr>
      <w:r>
        <w:rPr>
          <w:rFonts w:ascii="DejaVu Sans" w:hAnsi="DejaVu Sans" w:eastAsia="DejaVu Sans" w:cs="DejaVu Sans"/>
          <w:lang w:val="ru-RU"/>
          <w:sz w:val="22"/>
        </w:rPr>
        <w:t xml:space="preserve">DOCX собран стандартной библиотекой Python. Проверяются непустой ZIP, XML, word/document.xml, сохранность текста, три равные ячейки, повтор заголовка и поле номера страницы. Визуальный просмотр в Word или другом рендерере не выполнен; переносы страниц и отсутствие визуальных дефектов требуют проверки человеком.</w:t>
      </w:r>
    </w:p>
    <w:sectPr>
      <w:footerReference w:type="default" r:id="footer"/>
      <w:pgSz w:w="16838" w:h="11906" w:orient="landscape"/>
      <w:pgMar w:top="850" w:right="1219" w:bottom="850" w:left="1219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/>
  </w:p>
</w:ftr>
</file>

<file path=word/_rels/document.xml.rels><?xml version='1.0' encoding='utf-8'?>
<ns0:Relationships xmlns:ns0="http://schemas.openxmlformats.org/package/2006/relationships"><ns0:Relationship Id="footer" Type="http://schemas.openxmlformats.org/officeDocument/2006/relationships/footer" Target="footer1.xml" /><ns0:Relationship Id="url1" Type="http://schemas.openxmlformats.org/officeDocument/2006/relationships/hyperlink" Target="https://churchofcyprus.org.cy/8571" TargetMode="External" /><ns0:Relationship Id="url2" Type="http://schemas.openxmlformats.org/officeDocument/2006/relationships/hyperlink" Target="https://bg-patriarshia.bg/bookshop-books/molitvenik" TargetMode="External" /><ns0:Relationship Id="url3" Type="http://schemas.openxmlformats.org/officeDocument/2006/relationships/hyperlink" Target="https://bg-patriarshia.bg/liturgical-prayer" TargetMode="External" /><ns0:Relationship Id="url4" Type="http://schemas.openxmlformats.org/officeDocument/2006/relationships/hyperlink" Target="https://armenianprelacy.org/2022/06/16/new-edition-of-st-nerses-shnorhalis-in-faith-i-confess/" TargetMode="External" /><ns0:Relationship Id="url5" Type="http://schemas.openxmlformats.org/officeDocument/2006/relationships/hyperlink" Target="https://vemkar.us/wp-content/uploads/2025/01/VTS-Church-Etiquette-WEB.pdf" TargetMode="External" /></ns0:Relationships>
</file>