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er1.xml" ContentType="application/vnd.openxmlformats-officedocument.wordprocessingml.footer+xml"/>
</Types>
</file>

<file path=_rels/.rels><?xml version='1.0' encoding='utf-8'?>
<ns0:Relationships xmlns:ns0="http://schemas.openxmlformats.org/package/2006/relationships"><ns0:Relationship Id="document" Type="http://schemas.openxmlformats.org/officeDocument/2006/relationships/officeDocument" Target="word/document.xml" /></ns0: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spacing w:after="120"/>
      </w:pPr>
      <w:r>
        <w:rPr>
          <w:rFonts w:ascii="DejaVu Sans" w:hAnsi="DejaVu Sans" w:eastAsia="DejaVu Sans" w:cs="DejaVu Sans"/>
          <w:sz w:val="22"/>
          <w:lang w:val="ru-RU"/>
        </w:rPr>
        <w:t xml:space="preserve">Гаврилов Леонид Геннадьевич</w:t>
      </w:r>
    </w:p>
    <w:p>
      <w:pPr>
        <w:spacing w:after="120"/>
      </w:pPr>
      <w:r>
        <w:rPr>
          <w:rFonts w:ascii="DejaVu Sans" w:hAnsi="DejaVu Sans" w:eastAsia="DejaVu Sans" w:cs="DejaVu Sans"/>
          <w:sz w:val="22"/>
          <w:lang w:val="ru-RU"/>
        </w:rPr>
        <w:t xml:space="preserve">Основные молитвы и поведение в храме</w:t>
      </w:r>
    </w:p>
    <w:p>
      <w:pPr>
        <w:spacing w:after="120"/>
      </w:pPr>
      <w:r>
        <w:rPr>
          <w:rFonts w:ascii="DejaVu Sans" w:hAnsi="DejaVu Sans" w:eastAsia="DejaVu Sans" w:cs="DejaVu Sans"/>
          <w:sz w:val="22"/>
          <w:lang w:val="ru-RU"/>
        </w:rPr>
        <w:t xml:space="preserve">Кипр, Армения, Болгария: сравнительное исследование и трёхъязычная памятка</w:t>
      </w:r>
    </w:p>
    <w:p>
      <w:pPr>
        <w:spacing w:after="120"/>
      </w:pPr>
      <w:r>
        <w:rPr>
          <w:rFonts w:ascii="DejaVu Sans" w:hAnsi="DejaVu Sans" w:eastAsia="DejaVu Sans" w:cs="DejaVu Sans"/>
          <w:sz w:val="22"/>
          <w:lang w:val="ru-RU"/>
        </w:rPr>
        <w:t xml:space="preserve">Монография</w:t>
      </w:r>
    </w:p>
    <w:p>
      <w:pPr>
        <w:spacing w:after="120"/>
      </w:pPr>
      <w:r>
        <w:rPr>
          <w:rFonts w:ascii="DejaVu Sans" w:hAnsi="DejaVu Sans" w:eastAsia="DejaVu Sans" w:cs="DejaVu Sans"/>
          <w:sz w:val="22"/>
          <w:lang w:val="ru-RU"/>
        </w:rPr>
        <w:t xml:space="preserve">2026</w:t>
      </w:r>
    </w:p>
    <w:p>
      <w:pPr>
        <w:spacing w:after="120"/>
      </w:pPr>
      <w:r>
        <w:rPr>
          <w:rFonts w:ascii="DejaVu Sans" w:hAnsi="DejaVu Sans" w:eastAsia="DejaVu Sans" w:cs="DejaVu Sans"/>
          <w:sz w:val="22"/>
          <w:lang w:val="ru-RU"/>
        </w:rPr>
        <w:t xml:space="preserve">Рабочая исследовательская редакция</w:t>
      </w:r>
    </w:p>
    <w:p>
      <w:pPr>
        <w:spacing w:after="120"/>
      </w:pPr>
      <w:r>
        <w:rPr>
          <w:rFonts w:ascii="DejaVu Sans" w:hAnsi="DejaVu Sans" w:eastAsia="DejaVu Sans" w:cs="DejaVu Sans"/>
          <w:sz w:val="22"/>
          <w:lang w:val="ru-RU"/>
        </w:rPr>
        <w:t xml:space="preserve">Редакционный макет незавершённой монографии. Не готовая книга, не проверенная молитвенная памятка и не церковно одобренное издание.</w:t>
      </w:r>
    </w:p>
    <w:p>
      <w:r>
        <w:br w:type="page"/>
      </w:r>
    </w:p>
    <w:p>
      <w:pPr>
        <w:keepNext/>
        <w:spacing w:after="120"/>
        <w:outlineLvl w:val="0"/>
      </w:pPr>
      <w:r>
        <w:rPr>
          <w:rFonts w:ascii="DejaVu Sans" w:hAnsi="DejaVu Sans" w:eastAsia="DejaVu Sans" w:cs="DejaVu Sans"/>
          <w:b/>
          <w:sz w:val="28"/>
          <w:lang w:val="ru-RU"/>
        </w:rPr>
        <w:t xml:space="preserve">Аннотация</w:t>
      </w:r>
    </w:p>
    <w:p>
      <w:pPr>
        <w:spacing w:after="120"/>
      </w:pPr>
      <w:r>
        <w:rPr>
          <w:rFonts w:ascii="DejaVu Sans" w:hAnsi="DejaVu Sans" w:eastAsia="DejaVu Sans" w:cs="DejaVu Sans"/>
          <w:sz w:val="22"/>
          <w:lang w:val="ru-RU"/>
        </w:rPr>
        <w:t xml:space="preserve">Работа поставлена как сравнение основных молитв и поведения посетителя храма в трёх традициях. Эта редакция сохраняет исследовательский вопрос, границы доказательств и параллельные составительские вопросы на трёх языках. Подтверждённое пересечение пока не установлено; отсутствие проверки не означает отсутствия общей практики.</w:t>
      </w:r>
    </w:p>
    <w:p>
      <w:pPr>
        <w:keepNext/>
        <w:spacing w:after="120"/>
        <w:outlineLvl w:val="0"/>
      </w:pPr>
      <w:r>
        <w:rPr>
          <w:rFonts w:ascii="DejaVu Sans" w:hAnsi="DejaVu Sans" w:eastAsia="DejaVu Sans" w:cs="DejaVu Sans"/>
          <w:b/>
          <w:sz w:val="28"/>
          <w:lang w:val="ru-RU"/>
        </w:rPr>
        <w:t xml:space="preserve">Содержание</w:t>
      </w:r>
    </w:p>
    <w:p>
      <w:pPr>
        <w:spacing w:after="120"/>
      </w:pPr>
      <w:r>
        <w:rPr>
          <w:rFonts w:ascii="DejaVu Sans" w:hAnsi="DejaVu Sans" w:eastAsia="DejaVu Sans" w:cs="DejaVu Sans"/>
          <w:sz w:val="22"/>
          <w:lang w:val="ru-RU"/>
        </w:rPr>
        <w:t xml:space="preserve">1. Введение: вопросы посетителя</w:t>
      </w:r>
    </w:p>
    <w:p>
      <w:pPr>
        <w:spacing w:after="120"/>
      </w:pPr>
      <w:r>
        <w:rPr>
          <w:rFonts w:ascii="DejaVu Sans" w:hAnsi="DejaVu Sans" w:eastAsia="DejaVu Sans" w:cs="DejaVu Sans"/>
          <w:sz w:val="22"/>
          <w:lang w:val="ru-RU"/>
        </w:rPr>
        <w:t xml:space="preserve">2. Границы сравнения и метод</w:t>
      </w:r>
    </w:p>
    <w:p>
      <w:pPr>
        <w:spacing w:after="120"/>
      </w:pPr>
      <w:r>
        <w:rPr>
          <w:rFonts w:ascii="DejaVu Sans" w:hAnsi="DejaVu Sans" w:eastAsia="DejaVu Sans" w:cs="DejaVu Sans"/>
          <w:sz w:val="22"/>
          <w:lang w:val="ru-RU"/>
        </w:rPr>
        <w:t xml:space="preserve">3. Подтверждённый молитвенный минимум</w:t>
      </w:r>
    </w:p>
    <w:p>
      <w:pPr>
        <w:spacing w:after="120"/>
      </w:pPr>
      <w:r>
        <w:rPr>
          <w:rFonts w:ascii="DejaVu Sans" w:hAnsi="DejaVu Sans" w:eastAsia="DejaVu Sans" w:cs="DejaVu Sans"/>
          <w:sz w:val="22"/>
          <w:lang w:val="ru-RU"/>
        </w:rPr>
        <w:t xml:space="preserve">4. Подтверждённые общие обычаи</w:t>
      </w:r>
    </w:p>
    <w:p>
      <w:pPr>
        <w:spacing w:after="120"/>
      </w:pPr>
      <w:r>
        <w:rPr>
          <w:rFonts w:ascii="DejaVu Sans" w:hAnsi="DejaVu Sans" w:eastAsia="DejaVu Sans" w:cs="DejaVu Sans"/>
          <w:sz w:val="22"/>
          <w:lang w:val="ru-RU"/>
        </w:rPr>
        <w:t xml:space="preserve">5. Параллельные вопросы посетителя: редакционный макет</w:t>
      </w:r>
    </w:p>
    <w:p>
      <w:pPr>
        <w:spacing w:after="120"/>
      </w:pPr>
      <w:r>
        <w:rPr>
          <w:rFonts w:ascii="DejaVu Sans" w:hAnsi="DejaVu Sans" w:eastAsia="DejaVu Sans" w:cs="DejaVu Sans"/>
          <w:sz w:val="22"/>
          <w:lang w:val="ru-RU"/>
        </w:rPr>
        <w:t xml:space="preserve">6. Комментарии к различиям</w:t>
      </w:r>
    </w:p>
    <w:p>
      <w:pPr>
        <w:spacing w:after="120"/>
      </w:pPr>
      <w:r>
        <w:rPr>
          <w:rFonts w:ascii="DejaVu Sans" w:hAnsi="DejaVu Sans" w:eastAsia="DejaVu Sans" w:cs="DejaVu Sans"/>
          <w:sz w:val="22"/>
          <w:lang w:val="ru-RU"/>
        </w:rPr>
        <w:t xml:space="preserve">7. Источники и очередь проверки</w:t>
      </w:r>
    </w:p>
    <w:p>
      <w:pPr>
        <w:spacing w:after="120"/>
      </w:pPr>
      <w:r>
        <w:rPr>
          <w:rFonts w:ascii="DejaVu Sans" w:hAnsi="DejaVu Sans" w:eastAsia="DejaVu Sans" w:cs="DejaVu Sans"/>
          <w:sz w:val="22"/>
          <w:lang w:val="ru-RU"/>
        </w:rPr>
        <w:t xml:space="preserve">8. Ограничения проверки</w:t>
      </w:r>
    </w:p>
    <w:p>
      <w:pPr>
        <w:keepNext/>
        <w:spacing w:after="120"/>
        <w:outlineLvl w:val="0"/>
      </w:pPr>
      <w:r>
        <w:rPr>
          <w:rFonts w:ascii="DejaVu Sans" w:hAnsi="DejaVu Sans" w:eastAsia="DejaVu Sans" w:cs="DejaVu Sans"/>
          <w:b/>
          <w:sz w:val="28"/>
          <w:lang w:val="ru-RU"/>
        </w:rPr>
        <w:t xml:space="preserve">1. Введение: вопросы посетителя</w:t>
      </w:r>
    </w:p>
    <w:p>
      <w:pPr>
        <w:spacing w:after="120"/>
      </w:pPr>
      <w:r>
        <w:rPr>
          <w:rFonts w:ascii="DejaVu Sans" w:hAnsi="DejaVu Sans" w:eastAsia="DejaVu Sans" w:cs="DejaVu Sans"/>
          <w:sz w:val="22"/>
          <w:lang w:val="ru-RU"/>
        </w:rPr>
        <w:t xml:space="preserve">Условная ситуация: человек впервые приходит в незнакомый храм и не знает, можно ли сейчас войти. За первым вопросом возникают следующие: где остановиться, как присоединиться к молитве, когда выйти, не мешая другим? Это рамка исследования, а не описание личного опыта автора и не единый обязательный ритуал.</w:t>
      </w:r>
    </w:p>
    <w:p>
      <w:pPr>
        <w:spacing w:after="120"/>
      </w:pPr>
      <w:r>
        <w:rPr>
          <w:rFonts w:ascii="DejaVu Sans" w:hAnsi="DejaVu Sans" w:eastAsia="DejaVu Sans" w:cs="DejaVu Sans"/>
          <w:sz w:val="22"/>
          <w:lang w:val="ru-RU"/>
        </w:rPr>
        <w:t xml:space="preserve">Возможность и способ участия посетителя в молитве также остаются вопросами к конкретной общине, а не заранее данным общим ответом.</w:t>
      </w:r>
    </w:p>
    <w:p>
      <w:pPr>
        <w:spacing w:after="120"/>
      </w:pPr>
      <w:r>
        <w:rPr>
          <w:rFonts w:ascii="DejaVu Sans" w:hAnsi="DejaVu Sans" w:eastAsia="DejaVu Sans" w:cs="DejaVu Sans"/>
          <w:sz w:val="22"/>
          <w:lang w:val="ru-RU"/>
        </w:rPr>
        <w:t xml:space="preserve">Ответ полезен лишь тогда, когда понятно, для какой общины, службы и редакции текста он проверен. Поэтому ниже сначала обозначены пределы сравнения, а не предложена универсальная последовательность действий.</w:t>
      </w:r>
    </w:p>
    <w:p>
      <w:pPr>
        <w:keepNext/>
        <w:spacing w:after="120"/>
        <w:outlineLvl w:val="0"/>
      </w:pPr>
      <w:r>
        <w:rPr>
          <w:rFonts w:ascii="DejaVu Sans" w:hAnsi="DejaVu Sans" w:eastAsia="DejaVu Sans" w:cs="DejaVu Sans"/>
          <w:b/>
          <w:sz w:val="28"/>
          <w:lang w:val="ru-RU"/>
        </w:rPr>
        <w:t xml:space="preserve">2. Границы сравнения и метод</w:t>
      </w:r>
    </w:p>
    <w:p>
      <w:pPr>
        <w:spacing w:after="120"/>
      </w:pPr>
      <w:r>
        <w:rPr>
          <w:rFonts w:ascii="DejaVu Sans" w:hAnsi="DejaVu Sans" w:eastAsia="DejaVu Sans" w:cs="DejaVu Sans"/>
          <w:sz w:val="22"/>
          <w:lang w:val="ru-RU"/>
        </w:rPr>
        <w:t xml:space="preserve">Сравниваются греко-православная практика Кипра, Армянская апостольская церковь по англоязычным церковным источникам и Болгарская православная церковь. Английский — язык исследования армянских источников, не утверждение о языке богослужения в Армении. Армянскую апостольскую традицию нельзя автоматически отождествлять с византийскими традициями Кипра и Болгарии.</w:t>
      </w:r>
    </w:p>
    <w:p>
      <w:pPr>
        <w:spacing w:after="120"/>
      </w:pPr>
      <w:r>
        <w:rPr>
          <w:rFonts w:ascii="DejaVu Sans" w:hAnsi="DejaVu Sans" w:eastAsia="DejaVu Sans" w:cs="DejaVu Sans"/>
          <w:sz w:val="22"/>
          <w:lang w:val="ru-RU"/>
        </w:rPr>
        <w:t xml:space="preserve">Найденные армянские направления связаны с англоязычными церковными организациями диаспоры в США: Vemkar и Eastern Prelacy. Их юрисдикции, адресаты и применимость к общинам непосредственно в Армении требуют отдельной проверки. Они не представляют автоматически все местные практики Армянской апостольской церкви.</w:t>
      </w:r>
    </w:p>
    <w:p>
      <w:pPr>
        <w:spacing w:after="120"/>
      </w:pPr>
      <w:r>
        <w:rPr>
          <w:rFonts w:ascii="DejaVu Sans" w:hAnsi="DejaVu Sans" w:eastAsia="DejaVu Sans" w:cs="DejaVu Sans"/>
          <w:sz w:val="22"/>
          <w:lang w:val="ru-RU"/>
        </w:rPr>
        <w:t xml:space="preserve">Исходный промпт прочитан полностью через GitHub MCP из коммита 391a15499a34310efd9dcd5ac85c038a344f7f0d. Библиография, 12 параметров оценки и результаты дедупликации вынесены в отдельный каталог books-ranked.md. Они не являются параллельным переводом.</w:t>
      </w:r>
    </w:p>
    <w:p>
      <w:pPr>
        <w:spacing w:after="120"/>
      </w:pPr>
      <w:r>
        <w:rPr>
          <w:rFonts w:ascii="DejaVu Sans" w:hAnsi="DejaVu Sans" w:eastAsia="DejaVu Sans" w:cs="DejaVu Sans"/>
          <w:sz w:val="22"/>
          <w:lang w:val="ru-RU"/>
        </w:rPr>
        <w:t xml:space="preserve">Поисковая ссылка означает обнаружение кандидата. Для включения молитвы или обычая в пересечение требуется проверить источник каждой из трёх традиций. Совпадение названия молитвы не доказывает буквального совпадения редакций. Для публикации конкретного текста отдельно требуются установленные права.</w:t>
      </w:r>
    </w:p>
    <w:p>
      <w:pPr>
        <w:keepNext/>
        <w:spacing w:after="120"/>
        <w:outlineLvl w:val="0"/>
      </w:pPr>
      <w:r>
        <w:rPr>
          <w:rFonts w:ascii="DejaVu Sans" w:hAnsi="DejaVu Sans" w:eastAsia="DejaVu Sans" w:cs="DejaVu Sans"/>
          <w:b/>
          <w:sz w:val="28"/>
          <w:lang w:val="ru-RU"/>
        </w:rPr>
        <w:t xml:space="preserve">3. Подтверждённый молитвенный минимум</w:t>
      </w:r>
    </w:p>
    <w:p>
      <w:pPr>
        <w:spacing w:after="120"/>
      </w:pPr>
      <w:r>
        <w:rPr>
          <w:rFonts w:ascii="DejaVu Sans" w:hAnsi="DejaVu Sans" w:eastAsia="DejaVu Sans" w:cs="DejaVu Sans"/>
          <w:sz w:val="22"/>
          <w:lang w:val="ru-RU"/>
        </w:rPr>
        <w:t xml:space="preserve">В этой редакции нет элементов, прошедших проверку по всем трём традициям. Тексты молитв не воспроизводятся и не заменяются составительским пересказом. «Отче наш», краткие молитвенные возгласы и их языковые редакции остаются в очереди проверки, а не объявляются установленным общим минимумом.</w:t>
      </w:r>
    </w:p>
    <w:p>
      <w:pPr>
        <w:keepNext/>
        <w:spacing w:after="120"/>
        <w:outlineLvl w:val="0"/>
      </w:pPr>
      <w:r>
        <w:rPr>
          <w:rFonts w:ascii="DejaVu Sans" w:hAnsi="DejaVu Sans" w:eastAsia="DejaVu Sans" w:cs="DejaVu Sans"/>
          <w:b/>
          <w:sz w:val="28"/>
          <w:lang w:val="ru-RU"/>
        </w:rPr>
        <w:t xml:space="preserve">4. Подтверждённые общие обычаи</w:t>
      </w:r>
    </w:p>
    <w:p>
      <w:pPr>
        <w:spacing w:after="120"/>
      </w:pPr>
      <w:r>
        <w:rPr>
          <w:rFonts w:ascii="DejaVu Sans" w:hAnsi="DejaVu Sans" w:eastAsia="DejaVu Sans" w:cs="DejaVu Sans"/>
          <w:sz w:val="22"/>
          <w:lang w:val="ru-RU"/>
        </w:rPr>
        <w:t xml:space="preserve">Общее правило для трёх традиций пока не подтверждено непосредственно просмотренными первичными источниками. Вопросы об одежде, тишине, месте посетителя и времени входа/выхода требуют отдельного свидетельства каждой юрисдикции. Они не превращены в обязательные предписания.</w:t>
      </w:r>
    </w:p>
    <w:p>
      <w:r>
        <w:br w:type="page"/>
      </w:r>
    </w:p>
    <w:p>
      <w:pPr>
        <w:keepNext/>
        <w:spacing w:after="120"/>
        <w:outlineLvl w:val="0"/>
      </w:pPr>
      <w:r>
        <w:rPr>
          <w:rFonts w:ascii="DejaVu Sans" w:hAnsi="DejaVu Sans" w:eastAsia="DejaVu Sans" w:cs="DejaVu Sans"/>
          <w:b/>
          <w:sz w:val="28"/>
          <w:lang w:val="ru-RU"/>
        </w:rPr>
        <w:t xml:space="preserve">5. Параллельные вопросы посетителя: редакционный макет</w:t>
      </w:r>
    </w:p>
    <w:p>
      <w:pPr>
        <w:spacing w:after="120"/>
      </w:pPr>
      <w:r>
        <w:rPr>
          <w:rFonts w:ascii="DejaVu Sans" w:hAnsi="DejaVu Sans" w:eastAsia="DejaVu Sans" w:cs="DejaVu Sans"/>
          <w:sz w:val="22"/>
          <w:lang w:val="ru-RU"/>
        </w:rPr>
        <w:t xml:space="preserve">Следующая таблица содержит только составительские переводы вопросов для дальнейшей проверки. Это не молитвы, не цитаты, не официальные церковные формулировки и не подтверждённые общие обычаи. Каждая строка передаёт один вопрос. Языковая проверка средствами ИИ не заменяет редактора — носителя языка.</w:t>
      </w:r>
    </w:p>
    <w:p>
      <w:pPr>
        <w:spacing w:after="120"/>
      </w:pPr>
      <w:r>
        <w:rPr>
          <w:rFonts w:ascii="DejaVu Sans" w:hAnsi="DejaVu Sans" w:eastAsia="DejaVu Sans" w:cs="DejaVu Sans"/>
          <w:sz w:val="22"/>
          <w:lang w:val="ru-RU"/>
        </w:rPr>
        <w:t xml:space="preserve">Английский столбец передаёт тот же вопрос посетителя; это не перевод на армянский язык и не цитата из армянского церковного источника.</w:t>
      </w:r>
    </w:p>
    <w:tbl>
      <w:tblPr>
        <w:tblW w:w="14400" w:type="dxa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ayout w:type="fixed"/>
      </w:tblPr>
      <w:tblGrid>
        <w:gridCol w:w="4800"/>
        <w:gridCol w:w="4800"/>
        <w:gridCol w:w="4800"/>
      </w:tblGrid>
      <w:tr>
        <w:trPr>
          <w:tblHeader w:val="true"/>
        </w:trPr>
        <w:tc>
          <w:tcPr>
            <w:tcW w:w="4800" w:type="dxa"/>
          </w:tcPr>
          <w:p>
            <w:pPr>
              <w:spacing w:after="120"/>
            </w:pPr>
            <w:r>
              <w:rPr>
                <w:rFonts w:ascii="DejaVu Sans" w:hAnsi="DejaVu Sans" w:eastAsia="DejaVu Sans" w:cs="DejaVu Sans"/>
                <w:sz w:val="22"/>
                <w:lang w:val="el-GR"/>
              </w:rPr>
              <w:t xml:space="preserve">Ελληνικά</w:t>
            </w:r>
          </w:p>
        </w:tc>
        <w:tc>
          <w:tcPr>
            <w:tcW w:w="4800" w:type="dxa"/>
          </w:tcPr>
          <w:p>
            <w:pPr>
              <w:spacing w:after="120"/>
            </w:pPr>
            <w:r>
              <w:rPr>
                <w:rFonts w:ascii="DejaVu Sans" w:hAnsi="DejaVu Sans" w:eastAsia="DejaVu Sans" w:cs="DejaVu Sans"/>
                <w:sz w:val="22"/>
                <w:lang w:val="en-US"/>
              </w:rPr>
              <w:t xml:space="preserve">English</w:t>
            </w:r>
          </w:p>
        </w:tc>
        <w:tc>
          <w:tcPr>
            <w:tcW w:w="4800" w:type="dxa"/>
          </w:tcPr>
          <w:p>
            <w:pPr>
              <w:spacing w:after="120"/>
            </w:pPr>
            <w:r>
              <w:rPr>
                <w:rFonts w:ascii="DejaVu Sans" w:hAnsi="DejaVu Sans" w:eastAsia="DejaVu Sans" w:cs="DejaVu Sans"/>
                <w:sz w:val="22"/>
                <w:lang w:val="bg-BG"/>
              </w:rPr>
              <w:t xml:space="preserve">Български</w:t>
            </w:r>
          </w:p>
        </w:tc>
      </w:tr>
      <w:tr>
        <w:tc>
          <w:tcPr>
            <w:tcW w:w="4800" w:type="dxa"/>
          </w:tcPr>
          <w:p>
            <w:pPr>
              <w:spacing w:after="120"/>
            </w:pPr>
            <w:r>
              <w:rPr>
                <w:rFonts w:ascii="DejaVu Sans" w:hAnsi="DejaVu Sans" w:eastAsia="DejaVu Sans" w:cs="DejaVu Sans"/>
                <w:sz w:val="22"/>
                <w:lang w:val="el-GR"/>
              </w:rPr>
              <w:t xml:space="preserve">Μπορώ να μπω τώρα χωρίς να ενοχλήσω την ακολουθία;</w:t>
            </w:r>
          </w:p>
        </w:tc>
        <w:tc>
          <w:tcPr>
            <w:tcW w:w="4800" w:type="dxa"/>
          </w:tcPr>
          <w:p>
            <w:pPr>
              <w:spacing w:after="120"/>
            </w:pPr>
            <w:r>
              <w:rPr>
                <w:rFonts w:ascii="DejaVu Sans" w:hAnsi="DejaVu Sans" w:eastAsia="DejaVu Sans" w:cs="DejaVu Sans"/>
                <w:sz w:val="22"/>
                <w:lang w:val="en-US"/>
              </w:rPr>
              <w:t xml:space="preserve">May I enter now without disturbing the service?</w:t>
            </w:r>
          </w:p>
        </w:tc>
        <w:tc>
          <w:tcPr>
            <w:tcW w:w="4800" w:type="dxa"/>
          </w:tcPr>
          <w:p>
            <w:pPr>
              <w:spacing w:after="120"/>
            </w:pPr>
            <w:r>
              <w:rPr>
                <w:rFonts w:ascii="DejaVu Sans" w:hAnsi="DejaVu Sans" w:eastAsia="DejaVu Sans" w:cs="DejaVu Sans"/>
                <w:sz w:val="22"/>
                <w:lang w:val="bg-BG"/>
              </w:rPr>
              <w:t xml:space="preserve">Мога ли да вляза сега, без да преча на богослужението?</w:t>
            </w:r>
          </w:p>
        </w:tc>
      </w:tr>
      <w:tr>
        <w:tc>
          <w:tcPr>
            <w:tcW w:w="4800" w:type="dxa"/>
          </w:tcPr>
          <w:p>
            <w:pPr>
              <w:spacing w:after="120"/>
            </w:pPr>
            <w:r>
              <w:rPr>
                <w:rFonts w:ascii="DejaVu Sans" w:hAnsi="DejaVu Sans" w:eastAsia="DejaVu Sans" w:cs="DejaVu Sans"/>
                <w:sz w:val="22"/>
                <w:lang w:val="el-GR"/>
              </w:rPr>
              <w:t xml:space="preserve">Πού μπορώ να σταθώ;</w:t>
            </w:r>
          </w:p>
        </w:tc>
        <w:tc>
          <w:tcPr>
            <w:tcW w:w="4800" w:type="dxa"/>
          </w:tcPr>
          <w:p>
            <w:pPr>
              <w:spacing w:after="120"/>
            </w:pPr>
            <w:r>
              <w:rPr>
                <w:rFonts w:ascii="DejaVu Sans" w:hAnsi="DejaVu Sans" w:eastAsia="DejaVu Sans" w:cs="DejaVu Sans"/>
                <w:sz w:val="22"/>
                <w:lang w:val="en-US"/>
              </w:rPr>
              <w:t xml:space="preserve">Where may I stand?</w:t>
            </w:r>
          </w:p>
        </w:tc>
        <w:tc>
          <w:tcPr>
            <w:tcW w:w="4800" w:type="dxa"/>
          </w:tcPr>
          <w:p>
            <w:pPr>
              <w:spacing w:after="120"/>
            </w:pPr>
            <w:r>
              <w:rPr>
                <w:rFonts w:ascii="DejaVu Sans" w:hAnsi="DejaVu Sans" w:eastAsia="DejaVu Sans" w:cs="DejaVu Sans"/>
                <w:sz w:val="22"/>
                <w:lang w:val="bg-BG"/>
              </w:rPr>
              <w:t xml:space="preserve">Къде мога да застана?</w:t>
            </w:r>
          </w:p>
        </w:tc>
      </w:tr>
      <w:tr>
        <w:tc>
          <w:tcPr>
            <w:tcW w:w="4800" w:type="dxa"/>
          </w:tcPr>
          <w:p>
            <w:pPr>
              <w:spacing w:after="120"/>
            </w:pPr>
            <w:r>
              <w:rPr>
                <w:rFonts w:ascii="DejaVu Sans" w:hAnsi="DejaVu Sans" w:eastAsia="DejaVu Sans" w:cs="DejaVu Sans"/>
                <w:sz w:val="22"/>
                <w:lang w:val="el-GR"/>
              </w:rPr>
              <w:t xml:space="preserve">Ποιο κείμενο προσευχής χρησιμοποιείται σε αυτή την κοινότητα;</w:t>
            </w:r>
          </w:p>
        </w:tc>
        <w:tc>
          <w:tcPr>
            <w:tcW w:w="4800" w:type="dxa"/>
          </w:tcPr>
          <w:p>
            <w:pPr>
              <w:spacing w:after="120"/>
            </w:pPr>
            <w:r>
              <w:rPr>
                <w:rFonts w:ascii="DejaVu Sans" w:hAnsi="DejaVu Sans" w:eastAsia="DejaVu Sans" w:cs="DejaVu Sans"/>
                <w:sz w:val="22"/>
                <w:lang w:val="en-US"/>
              </w:rPr>
              <w:t xml:space="preserve">Which prayer text is used in this community?</w:t>
            </w:r>
          </w:p>
        </w:tc>
        <w:tc>
          <w:tcPr>
            <w:tcW w:w="4800" w:type="dxa"/>
          </w:tcPr>
          <w:p>
            <w:pPr>
              <w:spacing w:after="120"/>
            </w:pPr>
            <w:r>
              <w:rPr>
                <w:rFonts w:ascii="DejaVu Sans" w:hAnsi="DejaVu Sans" w:eastAsia="DejaVu Sans" w:cs="DejaVu Sans"/>
                <w:sz w:val="22"/>
                <w:lang w:val="bg-BG"/>
              </w:rPr>
              <w:t xml:space="preserve">Кой молитвен текст се използва в тази общност?</w:t>
            </w:r>
          </w:p>
        </w:tc>
      </w:tr>
      <w:tr>
        <w:tc>
          <w:tcPr>
            <w:tcW w:w="4800" w:type="dxa"/>
          </w:tcPr>
          <w:p>
            <w:pPr>
              <w:spacing w:after="120"/>
            </w:pPr>
            <w:r>
              <w:rPr>
                <w:rFonts w:ascii="DejaVu Sans" w:hAnsi="DejaVu Sans" w:eastAsia="DejaVu Sans" w:cs="DejaVu Sans"/>
                <w:sz w:val="22"/>
                <w:lang w:val="el-GR"/>
              </w:rPr>
              <w:t xml:space="preserve">Πότε μπορώ να φύγω χωρίς να ενοχλήσω τους άλλους;</w:t>
            </w:r>
          </w:p>
        </w:tc>
        <w:tc>
          <w:tcPr>
            <w:tcW w:w="4800" w:type="dxa"/>
          </w:tcPr>
          <w:p>
            <w:pPr>
              <w:spacing w:after="120"/>
            </w:pPr>
            <w:r>
              <w:rPr>
                <w:rFonts w:ascii="DejaVu Sans" w:hAnsi="DejaVu Sans" w:eastAsia="DejaVu Sans" w:cs="DejaVu Sans"/>
                <w:sz w:val="22"/>
                <w:lang w:val="en-US"/>
              </w:rPr>
              <w:t xml:space="preserve">When may I leave without disturbing others?</w:t>
            </w:r>
          </w:p>
        </w:tc>
        <w:tc>
          <w:tcPr>
            <w:tcW w:w="4800" w:type="dxa"/>
          </w:tcPr>
          <w:p>
            <w:pPr>
              <w:spacing w:after="120"/>
            </w:pPr>
            <w:r>
              <w:rPr>
                <w:rFonts w:ascii="DejaVu Sans" w:hAnsi="DejaVu Sans" w:eastAsia="DejaVu Sans" w:cs="DejaVu Sans"/>
                <w:sz w:val="22"/>
                <w:lang w:val="bg-BG"/>
              </w:rPr>
              <w:t xml:space="preserve">Кога мога да си тръгна, без да преча на другите?</w:t>
            </w:r>
          </w:p>
        </w:tc>
      </w:tr>
    </w:tbl>
    <w:p>
      <w:pPr>
        <w:keepNext/>
        <w:spacing w:after="120"/>
        <w:outlineLvl w:val="0"/>
      </w:pPr>
      <w:r>
        <w:rPr>
          <w:rFonts w:ascii="DejaVu Sans" w:hAnsi="DejaVu Sans" w:eastAsia="DejaVu Sans" w:cs="DejaVu Sans"/>
          <w:b/>
          <w:sz w:val="28"/>
          <w:lang w:val="ru-RU"/>
        </w:rPr>
        <w:t xml:space="preserve">6. Комментарии к различиям</w:t>
      </w:r>
    </w:p>
    <w:p>
      <w:pPr>
        <w:spacing w:after="120"/>
      </w:pPr>
      <w:r>
        <w:rPr>
          <w:rFonts w:ascii="DejaVu Sans" w:hAnsi="DejaVu Sans" w:eastAsia="DejaVu Sans" w:cs="DejaVu Sans"/>
          <w:sz w:val="22"/>
          <w:lang w:val="ru-RU"/>
        </w:rPr>
        <w:t xml:space="preserve">Источник греческой православной традиции вне Кипра не устанавливает местную кипрскую практику. Английская редакция армянского молитвенника не подтверждает употребление её формулировок в двух других церквах. Печатный болгарский молитвенник и сетевые главы нельзя считать разными книгами без доказательства самостоятельности изданий.</w:t>
      </w:r>
    </w:p>
    <w:p>
      <w:pPr>
        <w:spacing w:after="120"/>
      </w:pPr>
      <w:r>
        <w:rPr>
          <w:rFonts w:ascii="DejaVu Sans" w:hAnsi="DejaVu Sans" w:eastAsia="DejaVu Sans" w:cs="DejaVu Sans"/>
          <w:sz w:val="22"/>
          <w:lang w:val="ru-RU"/>
        </w:rPr>
        <w:t xml:space="preserve">В следующей редакции нужно отдельно сопоставить обращения, окончания молитв, роль священнослужителя и мирянина, а также контекст личной молитвы и общей службы. Пока такие различия не проверены, они не заполнены догадками.</w:t>
      </w:r>
    </w:p>
    <w:p>
      <w:pPr>
        <w:keepNext/>
        <w:spacing w:after="120"/>
        <w:outlineLvl w:val="0"/>
      </w:pPr>
      <w:r>
        <w:rPr>
          <w:rFonts w:ascii="DejaVu Sans" w:hAnsi="DejaVu Sans" w:eastAsia="DejaVu Sans" w:cs="DejaVu Sans"/>
          <w:b/>
          <w:sz w:val="28"/>
          <w:lang w:val="ru-RU"/>
        </w:rPr>
        <w:t xml:space="preserve">7. Источники и очередь проверки</w:t>
      </w:r>
    </w:p>
    <w:p>
      <w:pPr>
        <w:spacing w:after="120"/>
      </w:pPr>
      <w:r>
        <w:rPr>
          <w:rFonts w:ascii="DejaVu Sans" w:hAnsi="DejaVu Sans" w:eastAsia="DejaVu Sans" w:cs="DejaVu Sans"/>
          <w:sz w:val="22"/>
          <w:lang w:val="ru-RU"/>
        </w:rPr>
        <w:t xml:space="preserve">Ниже — направления проверки, а не доказательная база готового пересечения. Их статус, библиография и права отмечаются в отдельном каталоге и манифесте.</w:t>
      </w:r>
    </w:p>
    <w:p>
      <w:pPr>
        <w:spacing w:after="120"/>
      </w:pPr>
      <w:r>
        <w:rPr>
          <w:rFonts w:ascii="DejaVu Sans" w:hAnsi="DejaVu Sans" w:eastAsia="DejaVu Sans" w:cs="DejaVu Sans"/>
          <w:sz w:val="22"/>
          <w:lang w:val="ru-RU"/>
        </w:rPr>
        <w:t xml:space="preserve">Церковь Кипра, «Προσευχητάριο: Πρωϊνή προσευχή»: </w:t>
      </w:r>
      <w:hyperlink r:id="url1">
        <w:r>
          <w:rPr>
            <w:rFonts w:ascii="DejaVu Sans" w:hAnsi="DejaVu Sans" w:eastAsia="DejaVu Sans" w:cs="DejaVu Sans"/>
            <w:sz w:val="22"/>
            <w:lang w:val="ru-RU"/>
          </w:rPr>
          <w:t xml:space="preserve">https://churchofcyprus.org.cy/8571</w:t>
        </w:r>
      </w:hyperlink>
    </w:p>
    <w:p>
      <w:pPr>
        <w:spacing w:after="120"/>
      </w:pPr>
      <w:r>
        <w:rPr>
          <w:rFonts w:ascii="DejaVu Sans" w:hAnsi="DejaVu Sans" w:eastAsia="DejaVu Sans" w:cs="DejaVu Sans"/>
          <w:sz w:val="22"/>
          <w:lang w:val="ru-RU"/>
        </w:rPr>
        <w:t xml:space="preserve">Митрополия Тримифунта, кандидат «Προσευχητάριον»; PDF и выходные данные не просмотрены: </w:t>
      </w:r>
      <w:hyperlink r:id="url2">
        <w:r>
          <w:rPr>
            <w:rFonts w:ascii="DejaVu Sans" w:hAnsi="DejaVu Sans" w:eastAsia="DejaVu Sans" w:cs="DejaVu Sans"/>
            <w:sz w:val="22"/>
            <w:lang w:val="ru-RU"/>
          </w:rPr>
          <w:t xml:space="preserve">https://imtrimythountos.org.cy/prosefxitarion/</w:t>
        </w:r>
      </w:hyperlink>
    </w:p>
    <w:p>
      <w:pPr>
        <w:spacing w:after="120"/>
      </w:pPr>
      <w:r>
        <w:rPr>
          <w:rFonts w:ascii="DejaVu Sans" w:hAnsi="DejaVu Sans" w:eastAsia="DejaVu Sans" w:cs="DejaVu Sans"/>
          <w:sz w:val="22"/>
          <w:lang w:val="ru-RU"/>
        </w:rPr>
        <w:t xml:space="preserve">Церковь Кипра, направление поиска статьи о входе в храм; советы не проверены: </w:t>
      </w:r>
      <w:hyperlink r:id="url3">
        <w:r>
          <w:rPr>
            <w:rFonts w:ascii="DejaVu Sans" w:hAnsi="DejaVu Sans" w:eastAsia="DejaVu Sans" w:cs="DejaVu Sans"/>
            <w:sz w:val="22"/>
            <w:lang w:val="ru-RU"/>
          </w:rPr>
          <w:t xml:space="preserve">https://churchofcyprus.org.cy/8418</w:t>
        </w:r>
      </w:hyperlink>
    </w:p>
    <w:p>
      <w:pPr>
        <w:spacing w:after="120"/>
      </w:pPr>
      <w:r>
        <w:rPr>
          <w:rFonts w:ascii="DejaVu Sans" w:hAnsi="DejaVu Sans" w:eastAsia="DejaVu Sans" w:cs="DejaVu Sans"/>
          <w:sz w:val="22"/>
          <w:lang w:val="ru-RU"/>
        </w:rPr>
        <w:t xml:space="preserve">Болгарская патриархия, каталог молитвенника: </w:t>
      </w:r>
      <w:hyperlink r:id="url4">
        <w:r>
          <w:rPr>
            <w:rFonts w:ascii="DejaVu Sans" w:hAnsi="DejaVu Sans" w:eastAsia="DejaVu Sans" w:cs="DejaVu Sans"/>
            <w:sz w:val="22"/>
            <w:lang w:val="ru-RU"/>
          </w:rPr>
          <w:t xml:space="preserve">https://bg-patriarshia.bg/bookshop-books/molitvenik</w:t>
        </w:r>
      </w:hyperlink>
    </w:p>
    <w:p>
      <w:pPr>
        <w:spacing w:after="120"/>
      </w:pPr>
      <w:r>
        <w:rPr>
          <w:rFonts w:ascii="DejaVu Sans" w:hAnsi="DejaVu Sans" w:eastAsia="DejaVu Sans" w:cs="DejaVu Sans"/>
          <w:sz w:val="22"/>
          <w:lang w:val="ru-RU"/>
        </w:rPr>
        <w:t xml:space="preserve">Болгарская патриархия, сетевые молитвенные разделы: </w:t>
      </w:r>
      <w:hyperlink r:id="url5">
        <w:r>
          <w:rPr>
            <w:rFonts w:ascii="DejaVu Sans" w:hAnsi="DejaVu Sans" w:eastAsia="DejaVu Sans" w:cs="DejaVu Sans"/>
            <w:sz w:val="22"/>
            <w:lang w:val="ru-RU"/>
          </w:rPr>
          <w:t xml:space="preserve">https://bg-patriarshia.bg/liturgical-prayer</w:t>
        </w:r>
      </w:hyperlink>
    </w:p>
    <w:p>
      <w:pPr>
        <w:spacing w:after="120"/>
      </w:pPr>
      <w:r>
        <w:rPr>
          <w:rFonts w:ascii="DejaVu Sans" w:hAnsi="DejaVu Sans" w:eastAsia="DejaVu Sans" w:cs="DejaVu Sans"/>
          <w:sz w:val="22"/>
          <w:lang w:val="ru-RU"/>
        </w:rPr>
        <w:t xml:space="preserve">Armenian Prelacy, объявление издания «In Faith I Confess»: </w:t>
      </w:r>
      <w:hyperlink r:id="url6">
        <w:r>
          <w:rPr>
            <w:rFonts w:ascii="DejaVu Sans" w:hAnsi="DejaVu Sans" w:eastAsia="DejaVu Sans" w:cs="DejaVu Sans"/>
            <w:sz w:val="22"/>
            <w:lang w:val="ru-RU"/>
          </w:rPr>
          <w:t xml:space="preserve">https://armenianprelacy.org/2022/06/16/new-edition-of-st-nerses-shnorhalis-in-faith-i-confess/</w:t>
        </w:r>
      </w:hyperlink>
    </w:p>
    <w:p>
      <w:pPr>
        <w:spacing w:after="120"/>
      </w:pPr>
      <w:r>
        <w:rPr>
          <w:rFonts w:ascii="DejaVu Sans" w:hAnsi="DejaVu Sans" w:eastAsia="DejaVu Sans" w:cs="DejaVu Sans"/>
          <w:sz w:val="22"/>
          <w:lang w:val="ru-RU"/>
        </w:rPr>
        <w:t xml:space="preserve">Vemkar, направление проверки брошюры об этикете: </w:t>
      </w:r>
      <w:hyperlink r:id="url7">
        <w:r>
          <w:rPr>
            <w:rFonts w:ascii="DejaVu Sans" w:hAnsi="DejaVu Sans" w:eastAsia="DejaVu Sans" w:cs="DejaVu Sans"/>
            <w:sz w:val="22"/>
            <w:lang w:val="ru-RU"/>
          </w:rPr>
          <w:t xml:space="preserve">https://vemkar.us/wp-content/uploads/2025/01/VTS-Church-Etiquette-WEB.pdf</w:t>
        </w:r>
      </w:hyperlink>
    </w:p>
    <w:p>
      <w:pPr>
        <w:keepNext/>
        <w:spacing w:after="120"/>
        <w:outlineLvl w:val="0"/>
      </w:pPr>
      <w:r>
        <w:rPr>
          <w:rFonts w:ascii="DejaVu Sans" w:hAnsi="DejaVu Sans" w:eastAsia="DejaVu Sans" w:cs="DejaVu Sans"/>
          <w:b/>
          <w:sz w:val="28"/>
          <w:lang w:val="ru-RU"/>
        </w:rPr>
        <w:t xml:space="preserve">8. Ограничения проверки</w:t>
      </w:r>
    </w:p>
    <w:p>
      <w:pPr>
        <w:spacing w:after="120"/>
      </w:pPr>
      <w:r>
        <w:rPr>
          <w:rFonts w:ascii="DejaVu Sans" w:hAnsi="DejaVu Sans" w:eastAsia="DejaVu Sans" w:cs="DejaVu Sans"/>
          <w:sz w:val="22"/>
          <w:lang w:val="ru-RU"/>
        </w:rPr>
        <w:t xml:space="preserve">Дата исследования: 18 октября 2026 года. В терминале GitHub доступен, а проверенные церковные домены возвращают ошибку DNS. Встроенный поиск даёт ссылки и выдержки, но прямой просмотр первичных страниц ограничен. Браузерный инструмент недоступен из-за ошибки транспорта. Это не основание объявлять сайты недоступными для всех.</w:t>
      </w:r>
    </w:p>
    <w:p>
      <w:pPr>
        <w:spacing w:after="120"/>
      </w:pPr>
      <w:r>
        <w:rPr>
          <w:rFonts w:ascii="DejaVu Sans" w:hAnsi="DejaVu Sans" w:eastAsia="DejaVu Sans" w:cs="DejaVu Sans"/>
          <w:sz w:val="22"/>
          <w:lang w:val="ru-RU"/>
        </w:rPr>
        <w:t xml:space="preserve">Никакие полные сторонние книги или современные переводы молитв в этот макет не импортированы. Составительские вопросы в таблице не считаются преобразованной книгой. Внешнее рецензирование, благословение и профессиональная языковая редактура носителями соответствующих языков не заявляются. Независимые проверки ИИ и решения редакции фиксируются в editorial-review.md.</w:t>
      </w:r>
    </w:p>
    <w:p>
      <w:pPr>
        <w:spacing w:after="120"/>
      </w:pPr>
      <w:r>
        <w:rPr>
          <w:rFonts w:ascii="DejaVu Sans" w:hAnsi="DejaVu Sans" w:eastAsia="DejaVu Sans" w:cs="DejaVu Sans"/>
          <w:sz w:val="22"/>
          <w:lang w:val="ru-RU"/>
        </w:rPr>
        <w:t xml:space="preserve">DOCX собран стандартной библиотекой Python. Проверяются непустой ZIP, XML, word/document.xml, сохранность текста, три равные ячейки, повтор заголовка и поле номера страницы. Визуальный просмотр в Word или другом рендерере не выполнен; переносы страниц и отсутствие визуальных дефектов требуют проверки человеком.</w:t>
      </w:r>
    </w:p>
    <w:sectPr>
      <w:footerReference w:type="default" r:id="footer"/>
      <w:pgSz w:w="16838" w:h="11906" w:orient="landscape"/>
      <w:pgMar w:top="850" w:right="1219" w:bottom="850" w:left="1219" w:header="400" w:footer="40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fldSimple w:instr="PAGE"/>
  </w:p>
</w:ftr>
</file>

<file path=word/_rels/document.xml.rels><?xml version='1.0' encoding='utf-8'?>
<ns0:Relationships xmlns:ns0="http://schemas.openxmlformats.org/package/2006/relationships"><ns0:Relationship Id="footer" Type="http://schemas.openxmlformats.org/officeDocument/2006/relationships/footer" Target="footer1.xml" /><ns0:Relationship Id="url1" Type="http://schemas.openxmlformats.org/officeDocument/2006/relationships/hyperlink" Target="https://churchofcyprus.org.cy/8571" TargetMode="External" /><ns0:Relationship Id="url2" Type="http://schemas.openxmlformats.org/officeDocument/2006/relationships/hyperlink" Target="https://imtrimythountos.org.cy/prosefxitarion/" TargetMode="External" /><ns0:Relationship Id="url3" Type="http://schemas.openxmlformats.org/officeDocument/2006/relationships/hyperlink" Target="https://churchofcyprus.org.cy/8418" TargetMode="External" /><ns0:Relationship Id="url4" Type="http://schemas.openxmlformats.org/officeDocument/2006/relationships/hyperlink" Target="https://bg-patriarshia.bg/bookshop-books/molitvenik" TargetMode="External" /><ns0:Relationship Id="url5" Type="http://schemas.openxmlformats.org/officeDocument/2006/relationships/hyperlink" Target="https://bg-patriarshia.bg/liturgical-prayer" TargetMode="External" /><ns0:Relationship Id="url6" Type="http://schemas.openxmlformats.org/officeDocument/2006/relationships/hyperlink" Target="https://armenianprelacy.org/2022/06/16/new-edition-of-st-nerses-shnorhalis-in-faith-i-confess/" TargetMode="External" /><ns0:Relationship Id="url7" Type="http://schemas.openxmlformats.org/officeDocument/2006/relationships/hyperlink" Target="https://vemkar.us/wp-content/uploads/2025/01/VTS-Church-Etiquette-WEB.pdf" TargetMode="External" /></ns0:Relationships>
</file>