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'1.0' encoding='utf-8'?>
<ns0:Relationships xmlns:ns0="http://schemas.openxmlformats.org/package/2006/relationships"><ns0:Relationship Id="document" Type="http://schemas.openxmlformats.org/officeDocument/2006/relationships/officeDocument" Target="word/document.xml" /></ns0: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650" w:after="420" w:line="288" w:lineRule="auto"/>
        <w:jc w:val="center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Гаврилов Леонид Геннадьевич</w:t>
      </w:r>
    </w:p>
    <w:p>
      <w:pPr>
        <w:pBdr>
          <w:bottom w:val="single" w:sz="4" w:space="12" w:color="9B2424"/>
        </w:pBdr>
        <w:spacing w:before="240" w:after="420" w:line="288" w:lineRule="auto"/>
        <w:jc w:val="center"/>
      </w:pPr>
      <w:r>
        <w:rPr>
          <w:rFonts w:ascii="Liberation Serif" w:hAnsi="Liberation Serif" w:eastAsia="Liberation Serif" w:cs="Liberation Serif"/>
          <w:color w:val="000000"/>
          <w:sz w:val="34"/>
          <w:lang w:val="ru-RU"/>
        </w:rPr>
        <w:t xml:space="preserve">Основные молитвы и поведение в храме</w:t>
      </w:r>
    </w:p>
    <w:p>
      <w:pPr>
        <w:spacing w:before="240" w:after="420" w:line="288" w:lineRule="auto"/>
        <w:jc w:val="center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Кипр, Армения, Болгария: сравнительное исследование и трёхъязычная памятка</w:t>
      </w:r>
    </w:p>
    <w:p>
      <w:pPr>
        <w:spacing w:before="240" w:after="420" w:line="288" w:lineRule="auto"/>
        <w:jc w:val="center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Монография</w:t>
      </w:r>
    </w:p>
    <w:p>
      <w:pPr>
        <w:spacing w:before="240" w:after="420" w:line="288" w:lineRule="auto"/>
        <w:jc w:val="center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2026</w:t>
      </w:r>
    </w:p>
    <w:p>
      <w:pPr>
        <w:pBdr>
          <w:bottom w:val="single" w:sz="4" w:space="12" w:color="9B2424"/>
        </w:pBdr>
        <w:spacing w:before="240" w:after="420" w:line="288" w:lineRule="auto"/>
        <w:jc w:val="center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Рабочая исследовательская редакция</w:t>
      </w:r>
    </w:p>
    <w:p>
      <w:pPr>
        <w:spacing w:before="240" w:after="420" w:line="288" w:lineRule="auto"/>
        <w:jc w:val="center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Редакционный макет незавершённой монографии. Не готовая книга, не проверенная молитвенная памятка и не церковно одобренное издание.</w:t>
      </w:r>
    </w:p>
    <w:p>
      <w:r>
        <w:br w:type="page"/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Аннотация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Работа поставлена как сравнение основных молитв и поведения посетителя храма в трёх традициях. Эта редакция сохраняет исследовательский вопрос, границы доказательств и параллельные составительские вопросы на трёх языках. Подтверждённое пересечение пока не установлено; отсутствие проверки не означает отсутствия общей практики.</w:t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Содержание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1. Введение: вопросы посетителя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2. Границы сравнения и метод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3. Подтверждённый молитвенный минимум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4. Подтверждённые общие обычаи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5. Параллельные вопросы посетителя: редакционный макет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6. Комментарии к различиям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7. Источники и очередь проверки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8. Ограничения проверки</w:t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1. Введение: вопросы посетителя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Условная ситуация: человек впервые приходит в незнакомый храм и не знает, можно ли сейчас войти. За первым вопросом возникают следующие: где остановиться, как присоединиться к молитве, когда выйти, не мешая другим? Это рамка исследования, а не описание личного опыта автора и не единый обязательный ритуал.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Возможность и способ участия посетителя в молитве также остаются вопросами к конкретной общине, а не заранее данным общим ответом.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Ответ полезен лишь тогда, когда понятно, для какой общины, службы и редакции текста он проверен. Поэтому ниже сначала обозначены пределы сравнения, а не предложена универсальная последовательность действий.</w:t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2. Границы сравнения и метод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Сравниваются греко-православная практика Кипра, Армянская апостольская церковь по англоязычным церковным источникам и Болгарская православная церковь. Английский — язык исследования армянских источников, не утверждение о языке богослужения в Армении. Армянскую апостольскую традицию нельзя автоматически отождествлять с византийскими традициями Кипра и Болгарии.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Найденные армянские направления связаны с англоязычными церковными организациями диаспоры в США: Vemkar и Eastern Prelacy. Их юрисдикции, адресаты и применимость к общинам непосредственно в Армении требуют отдельной проверки. Они не представляют автоматически все местные практики Армянской апостольской церкви.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Исходный промпт прочитан полностью через GitHub MCP из коммита 391a15499a34310efd9dcd5ac85c038a344f7f0d. Библиография, 12 параметров оценки и результаты дедупликации вынесены в отдельный каталог books-ranked.md. Они не являются параллельным переводом.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Поисковая ссылка означает обнаружение кандидата. Для включения молитвы или обычая в пересечение требуется проверить источник каждой из трёх традиций. Совпадение названия молитвы не доказывает буквального совпадения редакций. Для публикации конкретного текста отдельно требуются установленные права.</w:t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3. Подтверждённый молитвенный минимум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В этой редакции нет элементов, прошедших проверку по всем трём традициям. Тексты молитв не воспроизводятся и не заменяются составительским пересказом. «Отче наш», краткие молитвенные возгласы и их языковые редакции остаются в очереди проверки, а не объявляются установленным общим минимумом.</w:t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4. Подтверждённые общие обычаи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Общее правило для трёх традиций пока не подтверждено непосредственно просмотренными первичными источниками. Вопросы об одежде, тишине, месте посетителя и времени входа/выхода требуют отдельного свидетельства каждой юрисдикции. Они не превращены в обязательные предписания.</w:t>
      </w:r>
    </w:p>
    <w:p>
      <w:r>
        <w:br w:type="page"/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5. Параллельные вопросы посетителя: редакционный макет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Следующая таблица содержит только составительские переводы вопросов для дальнейшей проверки. Это не молитвы, не цитаты, не официальные церковные формулировки и не подтверждённые общие обычаи. Каждая строка передаёт один вопрос. Языковая проверка средствами ИИ не заменяет редактора — носителя языка.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Английский столбец передаёт тот же вопрос посетителя; это не перевод на армянский язык и не цитата из армянского церковного источника.</w:t>
      </w:r>
    </w:p>
    <w:tbl>
      <w:tblPr>
        <w:tblW w:w="14400" w:type="dxa"/>
        <w:tblBorders>
          <w:top w:val="single" w:sz="3" w:color="BBBBBB"/>
          <w:bottom w:val="single" w:sz="3" w:color="BBBBBB"/>
          <w:insideV w:val="single" w:sz="3" w:color="BBBBBB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800"/>
        <w:gridCol w:w="4800"/>
        <w:gridCol w:w="4800"/>
      </w:tblGrid>
      <w:tr>
        <w:trPr>
          <w:tblHeader w:val="true"/>
        </w:trPr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b/>
                <w:color w:val="9B2424"/>
                <w:sz w:val="23"/>
                <w:lang w:val="el-GR"/>
              </w:rPr>
              <w:t xml:space="preserve">Ελληνικά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b/>
                <w:color w:val="9B2424"/>
                <w:sz w:val="23"/>
                <w:lang w:val="en-US"/>
              </w:rPr>
              <w:t xml:space="preserve">English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b/>
                <w:color w:val="9B2424"/>
                <w:sz w:val="23"/>
                <w:lang w:val="bg-BG"/>
              </w:rPr>
              <w:t xml:space="preserve">Български</w:t>
            </w:r>
          </w:p>
        </w:tc>
      </w:tr>
      <w:tr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l-GR"/>
              </w:rPr>
              <w:t xml:space="preserve">Μπορώ να μπω τώρα χωρίς να ενοχλήσω την ακολουθία;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n-US"/>
              </w:rPr>
              <w:t xml:space="preserve">May I enter now without disturbing the service?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bg-BG"/>
              </w:rPr>
              <w:t xml:space="preserve">Мога ли да вляза сега, без да преча на богослужението?</w:t>
            </w:r>
          </w:p>
        </w:tc>
      </w:tr>
      <w:tr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l-GR"/>
              </w:rPr>
              <w:t xml:space="preserve">Πού μπορώ να σταθώ;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n-US"/>
              </w:rPr>
              <w:t xml:space="preserve">Where may I stand?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bg-BG"/>
              </w:rPr>
              <w:t xml:space="preserve">Къде мога да застана?</w:t>
            </w:r>
          </w:p>
        </w:tc>
      </w:tr>
      <w:tr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l-GR"/>
              </w:rPr>
              <w:t xml:space="preserve">Ποιο κείμενο προσευχής χρησιμοποιείται σε αυτή την κοινότητα;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n-US"/>
              </w:rPr>
              <w:t xml:space="preserve">Which prayer text is used in this community?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bg-BG"/>
              </w:rPr>
              <w:t xml:space="preserve">Кой молитвен текст се използва в тази общност?</w:t>
            </w:r>
          </w:p>
        </w:tc>
      </w:tr>
      <w:tr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l-GR"/>
              </w:rPr>
              <w:t xml:space="preserve">Πότε μπορώ να φύγω χωρίς να ενοχλήσω τους άλλους;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en-US"/>
              </w:rPr>
              <w:t xml:space="preserve">When may I leave without disturbing others?</w:t>
            </w:r>
          </w:p>
        </w:tc>
        <w:tc>
          <w:tcPr>
            <w:tcW w:w="4800" w:type="dxa"/>
          </w:tcPr>
          <w:p>
            <w:pPr>
              <w:spacing w:before="0" w:after="140" w:line="288" w:lineRule="auto"/>
            </w:pPr>
            <w:r>
              <w:rPr>
                <w:rFonts w:ascii="Liberation Serif" w:hAnsi="Liberation Serif" w:eastAsia="Liberation Serif" w:cs="Liberation Serif"/>
                <w:color w:val="000000"/>
                <w:sz w:val="23"/>
                <w:lang w:val="bg-BG"/>
              </w:rPr>
              <w:t xml:space="preserve">Кога мога да си тръгна, без да преча на другите?</w:t>
            </w:r>
          </w:p>
        </w:tc>
      </w:tr>
    </w:tbl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6. Комментарии к различиям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Источник греческой православной традиции вне Кипра не устанавливает местную кипрскую практику. Английская редакция армянского молитвенника не подтверждает употребление её формулировок в двух других церквах. Печатный болгарский молитвенник и сетевые главы нельзя считать разными книгами без доказательства самостоятельности изданий.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В следующей редакции нужно отдельно сопоставить обращения, окончания молитв, роль священнослужителя и мирянина, а также контекст личной молитвы и общей службы. Пока такие различия не проверены, они не заполнены догадками.</w:t>
      </w:r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7. Источники и очередь проверки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Ниже — направления проверки, а не доказательная база готового пересечения. Их статус, библиография и права отмечаются в отдельном каталоге и манифесте.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Церковь Кипра, «Προσευχητάριο: Πρωϊνή προσευχή»: </w:t>
      </w:r>
      <w:hyperlink r:id="url1">
        <w:r>
          <w:rPr>
            <w:rFonts w:ascii="Liberation Serif" w:hAnsi="Liberation Serif" w:eastAsia="Liberation Serif" w:cs="Liberation Serif"/>
            <w:color w:val="000000"/>
            <w:sz w:val="23"/>
            <w:u w:val="single"/>
            <w:lang w:val="ru-RU"/>
          </w:rPr>
          <w:t xml:space="preserve">https://churchofcyprus.org.cy/8571</w:t>
        </w:r>
      </w:hyperlink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Митрополия Тримифунта, кандидат «Προσευχητάριον»; PDF и выходные данные не просмотрены: </w:t>
      </w:r>
      <w:hyperlink r:id="url2">
        <w:r>
          <w:rPr>
            <w:rFonts w:ascii="Liberation Serif" w:hAnsi="Liberation Serif" w:eastAsia="Liberation Serif" w:cs="Liberation Serif"/>
            <w:color w:val="000000"/>
            <w:sz w:val="23"/>
            <w:u w:val="single"/>
            <w:lang w:val="ru-RU"/>
          </w:rPr>
          <w:t xml:space="preserve">https://imtrimythountos.org.cy/prosefxitarion/</w:t>
        </w:r>
      </w:hyperlink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Церковь Кипра, направление поиска статьи о входе в храм; советы не проверены: </w:t>
      </w:r>
      <w:hyperlink r:id="url3">
        <w:r>
          <w:rPr>
            <w:rFonts w:ascii="Liberation Serif" w:hAnsi="Liberation Serif" w:eastAsia="Liberation Serif" w:cs="Liberation Serif"/>
            <w:color w:val="000000"/>
            <w:sz w:val="23"/>
            <w:u w:val="single"/>
            <w:lang w:val="ru-RU"/>
          </w:rPr>
          <w:t xml:space="preserve">https://churchofcyprus.org.cy/8418</w:t>
        </w:r>
      </w:hyperlink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Болгарская патриархия, каталог молитвенника: </w:t>
      </w:r>
      <w:hyperlink r:id="url4">
        <w:r>
          <w:rPr>
            <w:rFonts w:ascii="Liberation Serif" w:hAnsi="Liberation Serif" w:eastAsia="Liberation Serif" w:cs="Liberation Serif"/>
            <w:color w:val="000000"/>
            <w:sz w:val="23"/>
            <w:u w:val="single"/>
            <w:lang w:val="ru-RU"/>
          </w:rPr>
          <w:t xml:space="preserve">https://bg-patriarshia.bg/bookshop-books/molitvenik</w:t>
        </w:r>
      </w:hyperlink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Болгарская патриархия, сетевые молитвенные разделы: </w:t>
      </w:r>
      <w:hyperlink r:id="url5">
        <w:r>
          <w:rPr>
            <w:rFonts w:ascii="Liberation Serif" w:hAnsi="Liberation Serif" w:eastAsia="Liberation Serif" w:cs="Liberation Serif"/>
            <w:color w:val="000000"/>
            <w:sz w:val="23"/>
            <w:u w:val="single"/>
            <w:lang w:val="ru-RU"/>
          </w:rPr>
          <w:t xml:space="preserve">https://bg-patriarshia.bg/liturgical-prayer</w:t>
        </w:r>
      </w:hyperlink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Armenian Prelacy, объявление издания «In Faith I Confess»: </w:t>
      </w:r>
      <w:hyperlink r:id="url6">
        <w:r>
          <w:rPr>
            <w:rFonts w:ascii="Liberation Serif" w:hAnsi="Liberation Serif" w:eastAsia="Liberation Serif" w:cs="Liberation Serif"/>
            <w:color w:val="000000"/>
            <w:sz w:val="23"/>
            <w:u w:val="single"/>
            <w:lang w:val="ru-RU"/>
          </w:rPr>
          <w:t xml:space="preserve">https://armenianprelacy.org/2022/06/16/new-edition-of-st-nerses-shnorhalis-in-faith-i-confess/</w:t>
        </w:r>
      </w:hyperlink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Vemkar, направление проверки брошюры об этикете: </w:t>
      </w:r>
      <w:hyperlink r:id="url7">
        <w:r>
          <w:rPr>
            <w:rFonts w:ascii="Liberation Serif" w:hAnsi="Liberation Serif" w:eastAsia="Liberation Serif" w:cs="Liberation Serif"/>
            <w:color w:val="000000"/>
            <w:sz w:val="23"/>
            <w:u w:val="single"/>
            <w:lang w:val="ru-RU"/>
          </w:rPr>
          <w:t xml:space="preserve">https://vemkar.us/wp-content/uploads/2025/01/VTS-Church-Etiquette-WEB.pdf</w:t>
        </w:r>
      </w:hyperlink>
    </w:p>
    <w:p>
      <w:pPr>
        <w:keepNext/>
        <w:spacing w:before="0" w:after="140" w:line="288" w:lineRule="auto"/>
        <w:outlineLvl w:val="0"/>
      </w:pPr>
      <w:r>
        <w:rPr>
          <w:rFonts w:ascii="Liberation Serif" w:hAnsi="Liberation Serif" w:eastAsia="Liberation Serif" w:cs="Liberation Serif"/>
          <w:b/>
          <w:color w:val="9B2424"/>
          <w:sz w:val="28"/>
          <w:lang w:val="ru-RU"/>
        </w:rPr>
        <w:t xml:space="preserve">8. Ограничения проверки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Дата исследования: 18 октября 2026 года. В терминале GitHub доступен, а проверенные церковные домены возвращают ошибку DNS. Встроенный поиск даёт ссылки и выдержки, но прямой просмотр первичных страниц ограничен. Браузерный инструмент недоступен из-за ошибки транспорта. Это не основание объявлять сайты недоступными для всех.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Никакие полные сторонние книги или современные переводы молитв в этот макет не импортированы. Составительские вопросы в таблице не считаются преобразованной книгой. Внешнее рецензирование, благословение и профессиональная языковая редактура носителями соответствующих языков не заявляются. Независимые проверки ИИ и решения редакции фиксируются в editorial-review.md.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DOCX собран стандартной библиотекой Python. Проверяются непустой ZIP, XML, word/document.xml, сохранность текста, три равные ячейки, повтор заголовка и поле номера страницы. Визуальный просмотр в Word или другом рендерере не выполнен; переносы страниц и отсутствие визуальных дефектов требуют проверки человеком.</w:t>
      </w:r>
    </w:p>
    <w:p>
      <w:pPr>
        <w:spacing w:before="0" w:after="140" w:line="288" w:lineRule="auto"/>
      </w:pPr>
      <w:r>
        <w:rPr>
          <w:rFonts w:ascii="Liberation Serif" w:hAnsi="Liberation Serif" w:eastAsia="Liberation Serif" w:cs="Liberation Serif"/>
          <w:color w:val="000000"/>
          <w:sz w:val="23"/>
          <w:lang w:val="ru-RU"/>
        </w:rPr>
        <w:t xml:space="preserve">После обновления задания этот исторический макет сохранён; текущая цель — пять авторских руководств. Новая спецификация и статусы находятся в current-task.md и books/manifest.json. Оформление обновлено по design-spec.md: Liberation Serif, чёрный текст и тёмно-красные рубрики. Само изменение дизайна не подтверждает молитвы или правила.</w:t>
      </w:r>
    </w:p>
    <w:sectPr>
      <w:footerReference w:type="default" r:id="footer"/>
      <w:pgSz w:w="16838" w:h="11906" w:orient="landscape"/>
      <w:pgMar w:top="850" w:right="1219" w:bottom="850" w:left="1219" w:header="400" w:footer="40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rPr>
          <w:rFonts w:ascii="Liberation Serif" w:hAnsi="Liberation Serif"/>
          <w:sz w:val="20"/>
          <w:lang w:val="ru-RU"/>
        </w:rPr>
      </w:r>
    </w:fldSimple>
  </w:p>
</w:ftr>
</file>

<file path=word/_rels/document.xml.rels><?xml version='1.0' encoding='utf-8'?>
<ns0:Relationships xmlns:ns0="http://schemas.openxmlformats.org/package/2006/relationships"><ns0:Relationship Id="footer" Type="http://schemas.openxmlformats.org/officeDocument/2006/relationships/footer" Target="footer1.xml" /><ns0:Relationship Id="url1" Type="http://schemas.openxmlformats.org/officeDocument/2006/relationships/hyperlink" Target="https://churchofcyprus.org.cy/8571" TargetMode="External" /><ns0:Relationship Id="url2" Type="http://schemas.openxmlformats.org/officeDocument/2006/relationships/hyperlink" Target="https://imtrimythountos.org.cy/prosefxitarion/" TargetMode="External" /><ns0:Relationship Id="url3" Type="http://schemas.openxmlformats.org/officeDocument/2006/relationships/hyperlink" Target="https://churchofcyprus.org.cy/8418" TargetMode="External" /><ns0:Relationship Id="url4" Type="http://schemas.openxmlformats.org/officeDocument/2006/relationships/hyperlink" Target="https://bg-patriarshia.bg/bookshop-books/molitvenik" TargetMode="External" /><ns0:Relationship Id="url5" Type="http://schemas.openxmlformats.org/officeDocument/2006/relationships/hyperlink" Target="https://bg-patriarshia.bg/liturgical-prayer" TargetMode="External" /><ns0:Relationship Id="url6" Type="http://schemas.openxmlformats.org/officeDocument/2006/relationships/hyperlink" Target="https://armenianprelacy.org/2022/06/16/new-edition-of-st-nerses-shnorhalis-in-faith-i-confess/" TargetMode="External" /><ns0:Relationship Id="url7" Type="http://schemas.openxmlformats.org/officeDocument/2006/relationships/hyperlink" Target="https://vemkar.us/wp-content/uploads/2025/01/VTS-Church-Etiquette-WEB.pdf" TargetMode="External" /></ns0:Relationships>
</file>