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BB17" w14:textId="1E975A0C" w:rsidR="008F1318" w:rsidRDefault="00CA2348">
      <w:pPr>
        <w:rPr>
          <w:rFonts w:ascii="Times New Roman" w:hAnsi="Times New Roman" w:cs="Times New Roman"/>
          <w:color w:val="879BAA" w:themeColor="text2"/>
          <w:sz w:val="52"/>
        </w:rPr>
      </w:pPr>
      <w:r>
        <w:rPr>
          <w:rFonts w:ascii="Times New Roman" w:hAnsi="Times New Roman" w:cs="Times New Roman"/>
          <w:color w:val="879BAA" w:themeColor="text2"/>
          <w:sz w:val="52"/>
        </w:rPr>
        <w:t xml:space="preserve">B. </w:t>
      </w:r>
      <w:r w:rsidR="00306B55">
        <w:rPr>
          <w:rFonts w:ascii="Times New Roman" w:hAnsi="Times New Roman" w:cs="Times New Roman"/>
          <w:color w:val="879BAA" w:themeColor="text2"/>
          <w:sz w:val="52"/>
        </w:rPr>
        <w:t>Antitrust</w:t>
      </w:r>
    </w:p>
    <w:p w14:paraId="34E9BB18" w14:textId="028C42A3" w:rsidR="008F1318" w:rsidRDefault="00CA2348">
      <w:r>
        <w:t xml:space="preserve">Compliance with </w:t>
      </w:r>
      <w:r w:rsidR="00306B55">
        <w:t>Antitrust</w:t>
      </w:r>
      <w:r>
        <w:t xml:space="preserve"> law is of highest importance for Siemens. </w:t>
      </w:r>
    </w:p>
    <w:p w14:paraId="34E9BB1B" w14:textId="64D0DAFC" w:rsidR="008F1318" w:rsidRDefault="00CA2348">
      <w:r>
        <w:t xml:space="preserve">Infringements of </w:t>
      </w:r>
      <w:r w:rsidR="00306B55">
        <w:t>Antitrust</w:t>
      </w:r>
      <w:r>
        <w:t xml:space="preserve"> law result in very significant risks: they range from very large fines and Siemens’ exclusion from public tenders to prison sentences for Siemens employees. In addition, the risks of private damages actions being pursued </w:t>
      </w:r>
      <w:proofErr w:type="gramStart"/>
      <w:r>
        <w:t>on the basis of</w:t>
      </w:r>
      <w:proofErr w:type="gramEnd"/>
      <w:r>
        <w:t xml:space="preserve"> </w:t>
      </w:r>
      <w:r w:rsidR="00306B55">
        <w:t>Antitrust</w:t>
      </w:r>
      <w:r>
        <w:t xml:space="preserve"> law infringements continue to increase. The internationalization of </w:t>
      </w:r>
      <w:r w:rsidR="00306B55">
        <w:t>Antitrust</w:t>
      </w:r>
      <w:r>
        <w:t xml:space="preserve"> enforcement has multiplied these risks – significantly more than 100 countries have now introduced </w:t>
      </w:r>
      <w:r w:rsidR="00306B55">
        <w:t>Antitrust</w:t>
      </w:r>
      <w:r>
        <w:t xml:space="preserve"> laws. For an internationally active company such as Siemens, it is therefore </w:t>
      </w:r>
      <w:proofErr w:type="gramStart"/>
      <w:r>
        <w:t>all the more</w:t>
      </w:r>
      <w:proofErr w:type="gramEnd"/>
      <w:r>
        <w:t xml:space="preserve"> important to conduct its worldwide business operation in compliance with </w:t>
      </w:r>
      <w:r w:rsidR="00306B55">
        <w:t>Antitrust</w:t>
      </w:r>
      <w:r>
        <w:t xml:space="preserve"> law.</w:t>
      </w:r>
      <w:r w:rsidR="00C104CC">
        <w:t xml:space="preserve"> </w:t>
      </w:r>
      <w:bookmarkStart w:id="0" w:name="_Hlk532294934"/>
      <w:r>
        <w:t xml:space="preserve"> 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0225"/>
      </w:tblGrid>
      <w:tr w:rsidR="00EF3171" w14:paraId="672DB637" w14:textId="77777777" w:rsidTr="00632B0B">
        <w:tc>
          <w:tcPr>
            <w:tcW w:w="10225" w:type="dxa"/>
          </w:tcPr>
          <w:p w14:paraId="3038C999" w14:textId="01409D8B" w:rsidR="00EF3171" w:rsidRPr="005B3D33" w:rsidRDefault="00306B55" w:rsidP="00632B0B">
            <w:pPr>
              <w:pStyle w:val="HighlightboxGreyBulletpoints"/>
              <w:numPr>
                <w:ilvl w:val="0"/>
                <w:numId w:val="0"/>
              </w:numPr>
              <w:ind w:left="360" w:hanging="360"/>
            </w:pPr>
            <w:bookmarkStart w:id="1" w:name="_Hlk532294805"/>
            <w:bookmarkEnd w:id="0"/>
            <w:r>
              <w:t>Antitrust</w:t>
            </w:r>
            <w:r w:rsidR="00EF3171" w:rsidRPr="005B3D33">
              <w:t xml:space="preserve"> </w:t>
            </w:r>
            <w:r w:rsidR="00EF3171" w:rsidRPr="00EF3171">
              <w:t>principles</w:t>
            </w:r>
          </w:p>
          <w:p w14:paraId="03E4D03A" w14:textId="42031E28" w:rsidR="008A535D" w:rsidRDefault="004E55AE" w:rsidP="005B3D33">
            <w:pPr>
              <w:pStyle w:val="HighlightboxGreyBulletpoints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E</w:t>
            </w:r>
            <w:r w:rsidR="005B3D33" w:rsidRPr="005B3D33">
              <w:rPr>
                <w:rFonts w:cs="Arial"/>
                <w:b w:val="0"/>
              </w:rPr>
              <w:t xml:space="preserve">mployees must comply with all applicable </w:t>
            </w:r>
            <w:r w:rsidR="00306B55">
              <w:rPr>
                <w:rFonts w:cs="Arial"/>
                <w:b w:val="0"/>
              </w:rPr>
              <w:t>Antitrust</w:t>
            </w:r>
            <w:r w:rsidR="005B3D33" w:rsidRPr="005B3D33">
              <w:rPr>
                <w:rFonts w:cs="Arial"/>
                <w:b w:val="0"/>
              </w:rPr>
              <w:t xml:space="preserve"> laws in accordance with their obligations under such laws</w:t>
            </w:r>
            <w:r w:rsidR="0092148A">
              <w:rPr>
                <w:rFonts w:cs="Arial"/>
                <w:b w:val="0"/>
              </w:rPr>
              <w:t xml:space="preserve"> and</w:t>
            </w:r>
            <w:r w:rsidR="005B3D33" w:rsidRPr="005B3D33">
              <w:rPr>
                <w:rFonts w:cs="Arial"/>
                <w:b w:val="0"/>
              </w:rPr>
              <w:t xml:space="preserve"> with their obligations under </w:t>
            </w:r>
            <w:r w:rsidR="0092148A">
              <w:rPr>
                <w:rFonts w:cs="Arial"/>
                <w:b w:val="0"/>
              </w:rPr>
              <w:t xml:space="preserve">Circular 226 and </w:t>
            </w:r>
            <w:hyperlink r:id="rId11" w:history="1">
              <w:r w:rsidR="005B3D33" w:rsidRPr="005B3D33">
                <w:rPr>
                  <w:rStyle w:val="Hyperlink"/>
                  <w:rFonts w:cs="Arial"/>
                  <w:b w:val="0"/>
                </w:rPr>
                <w:t xml:space="preserve">Chapter </w:t>
              </w:r>
              <w:r w:rsidR="00D26589">
                <w:rPr>
                  <w:rStyle w:val="Hyperlink"/>
                  <w:rFonts w:cs="Arial"/>
                  <w:b w:val="0"/>
                </w:rPr>
                <w:t>G</w:t>
              </w:r>
              <w:r w:rsidR="00067E9D">
                <w:rPr>
                  <w:rStyle w:val="Hyperlink"/>
                  <w:rFonts w:cs="Arial"/>
                  <w:b w:val="0"/>
                </w:rPr>
                <w:t>2</w:t>
              </w:r>
              <w:r w:rsidR="005B3D33" w:rsidRPr="005B3D33">
                <w:rPr>
                  <w:rStyle w:val="Hyperlink"/>
                  <w:rFonts w:cs="Arial"/>
                  <w:b w:val="0"/>
                </w:rPr>
                <w:t xml:space="preserve"> of the Business Conduct Guidelines (“Fair competition and anti-trust laws”)</w:t>
              </w:r>
            </w:hyperlink>
            <w:r w:rsidR="005B3D33" w:rsidRPr="005B3D33">
              <w:rPr>
                <w:rFonts w:cs="Arial"/>
                <w:b w:val="0"/>
              </w:rPr>
              <w:t xml:space="preserve"> and this chapter</w:t>
            </w:r>
            <w:r w:rsidR="008A535D">
              <w:rPr>
                <w:rFonts w:cs="Arial"/>
                <w:b w:val="0"/>
              </w:rPr>
              <w:t>.</w:t>
            </w:r>
          </w:p>
          <w:p w14:paraId="6B6BD81A" w14:textId="4235B1B8" w:rsidR="005754C1" w:rsidRPr="008A535D" w:rsidRDefault="005754C1" w:rsidP="005754C1">
            <w:pPr>
              <w:pStyle w:val="HighlightboxGreyBulletpoints"/>
              <w:rPr>
                <w:rFonts w:cs="Arial"/>
              </w:rPr>
            </w:pPr>
            <w:r w:rsidRPr="005754C1">
              <w:rPr>
                <w:rFonts w:cs="Arial"/>
                <w:b w:val="0"/>
              </w:rPr>
              <w:t xml:space="preserve">The basic principles of </w:t>
            </w:r>
            <w:r w:rsidR="00306B55">
              <w:rPr>
                <w:rFonts w:cs="Arial"/>
                <w:b w:val="0"/>
              </w:rPr>
              <w:t>Antitrust</w:t>
            </w:r>
            <w:r w:rsidRPr="005754C1">
              <w:rPr>
                <w:rFonts w:cs="Arial"/>
                <w:b w:val="0"/>
              </w:rPr>
              <w:t xml:space="preserve"> law are clear and simple: competitors must not enter into anti-competitive agreements with each other, </w:t>
            </w:r>
            <w:proofErr w:type="gramStart"/>
            <w:r w:rsidRPr="005754C1">
              <w:rPr>
                <w:rFonts w:cs="Arial"/>
                <w:b w:val="0"/>
              </w:rPr>
              <w:t>in particular if</w:t>
            </w:r>
            <w:proofErr w:type="gramEnd"/>
            <w:r w:rsidRPr="005754C1">
              <w:rPr>
                <w:rFonts w:cs="Arial"/>
                <w:b w:val="0"/>
              </w:rPr>
              <w:t xml:space="preserve"> they concern hard core conduct such as price fixing or market sharing.</w:t>
            </w:r>
          </w:p>
          <w:p w14:paraId="4F7218C9" w14:textId="25579B68" w:rsidR="005B3D33" w:rsidRPr="00E334C1" w:rsidRDefault="005B3D33" w:rsidP="005B3D33">
            <w:pPr>
              <w:pStyle w:val="HighlightboxGreyBulletpoints"/>
              <w:rPr>
                <w:rFonts w:cs="Arial"/>
                <w:b w:val="0"/>
              </w:rPr>
            </w:pPr>
            <w:r w:rsidRPr="005B3D33">
              <w:rPr>
                <w:rFonts w:cs="Arial"/>
                <w:b w:val="0"/>
              </w:rPr>
              <w:t xml:space="preserve">All (possible) breaches of </w:t>
            </w:r>
            <w:r w:rsidR="00306B55">
              <w:rPr>
                <w:rFonts w:cs="Arial"/>
                <w:b w:val="0"/>
              </w:rPr>
              <w:t>Antitrust</w:t>
            </w:r>
            <w:r w:rsidRPr="005B3D33">
              <w:rPr>
                <w:rFonts w:cs="Arial"/>
                <w:b w:val="0"/>
              </w:rPr>
              <w:t xml:space="preserve"> law must be reported</w:t>
            </w:r>
            <w:r w:rsidR="0092148A">
              <w:rPr>
                <w:rFonts w:cs="Arial"/>
                <w:b w:val="0"/>
              </w:rPr>
              <w:t xml:space="preserve"> without delay. Employees</w:t>
            </w:r>
            <w:r>
              <w:rPr>
                <w:rFonts w:cs="Arial"/>
                <w:b w:val="0"/>
              </w:rPr>
              <w:t xml:space="preserve"> </w:t>
            </w:r>
            <w:r w:rsidRPr="005B3D33">
              <w:rPr>
                <w:rFonts w:cs="Arial"/>
                <w:b w:val="0"/>
              </w:rPr>
              <w:t>can use any of the followi</w:t>
            </w:r>
            <w:r>
              <w:rPr>
                <w:rFonts w:cs="Arial"/>
                <w:b w:val="0"/>
              </w:rPr>
              <w:t xml:space="preserve">ng </w:t>
            </w:r>
            <w:r w:rsidRPr="005B3D33">
              <w:rPr>
                <w:rFonts w:cs="Arial"/>
                <w:b w:val="0"/>
              </w:rPr>
              <w:t>reporting options: Line managers,</w:t>
            </w:r>
            <w:r>
              <w:rPr>
                <w:rFonts w:cs="Arial"/>
                <w:b w:val="0"/>
              </w:rPr>
              <w:t xml:space="preserve"> </w:t>
            </w:r>
            <w:r w:rsidRPr="005B3D33">
              <w:rPr>
                <w:rFonts w:cs="Arial"/>
                <w:b w:val="0"/>
              </w:rPr>
              <w:t>Legal and Compliance, “Tell us” or</w:t>
            </w:r>
            <w:r>
              <w:rPr>
                <w:rFonts w:cs="Arial"/>
                <w:b w:val="0"/>
              </w:rPr>
              <w:t xml:space="preserve"> </w:t>
            </w:r>
            <w:r w:rsidRPr="005B3D33">
              <w:rPr>
                <w:rFonts w:cs="Arial"/>
                <w:b w:val="0"/>
              </w:rPr>
              <w:t>the Siemens-Ombudsman.</w:t>
            </w:r>
          </w:p>
        </w:tc>
      </w:tr>
    </w:tbl>
    <w:bookmarkEnd w:id="1"/>
    <w:p w14:paraId="34E9BB1C" w14:textId="27B67DAA" w:rsidR="008F1318" w:rsidRDefault="00CA2348">
      <w:pPr>
        <w:pStyle w:val="berschrift2"/>
        <w:spacing w:after="120"/>
      </w:pPr>
      <w:r>
        <w:t xml:space="preserve">1. Siemens </w:t>
      </w:r>
      <w:r w:rsidR="00306B55">
        <w:t>Antitrust</w:t>
      </w:r>
      <w:r>
        <w:t xml:space="preserve"> Compliance Program</w:t>
      </w:r>
    </w:p>
    <w:p w14:paraId="34E9BB1E" w14:textId="538B8FE9" w:rsidR="008F1318" w:rsidRDefault="00CA2348">
      <w:r>
        <w:t xml:space="preserve">Senior management and line managers must ensure that, in accordance with their statutory organizational and supervisory obligations, no infringements of </w:t>
      </w:r>
      <w:r w:rsidR="00306B55">
        <w:t>Antitrust</w:t>
      </w:r>
      <w:r>
        <w:t xml:space="preserve"> law are committed and that the company and its employees are protected.</w:t>
      </w:r>
    </w:p>
    <w:p w14:paraId="34E9BB1F" w14:textId="0F698BBA" w:rsidR="008F1318" w:rsidRDefault="00CA2348">
      <w:r>
        <w:t xml:space="preserve">Siemens management does not tolerate any violations of </w:t>
      </w:r>
      <w:r w:rsidR="00306B55">
        <w:t>Antitrust</w:t>
      </w:r>
      <w:r>
        <w:t xml:space="preserve"> law and will take rigorous action against persons guilty of intentional infringement. All employees must be aware of </w:t>
      </w:r>
      <w:r w:rsidR="00306B55">
        <w:t>Antitrust</w:t>
      </w:r>
      <w:r>
        <w:t xml:space="preserve">-related risks, comply with applicable </w:t>
      </w:r>
      <w:r w:rsidR="00306B55">
        <w:t>Antitrust</w:t>
      </w:r>
      <w:r>
        <w:t xml:space="preserve"> rules and consult the experts in Legal and Compliance if in any doubt in any </w:t>
      </w:r>
      <w:proofErr w:type="gramStart"/>
      <w:r>
        <w:t>particular case</w:t>
      </w:r>
      <w:proofErr w:type="gramEnd"/>
      <w:r>
        <w:t xml:space="preserve">. </w:t>
      </w:r>
    </w:p>
    <w:p w14:paraId="34E9BB20" w14:textId="3C628245" w:rsidR="008F1318" w:rsidRDefault="0092148A">
      <w:r>
        <w:t xml:space="preserve">The </w:t>
      </w:r>
      <w:r w:rsidR="00CA2348">
        <w:t>Siemens</w:t>
      </w:r>
      <w:r w:rsidR="00306B55">
        <w:t xml:space="preserve"> Antitrust</w:t>
      </w:r>
      <w:r w:rsidR="00CA2348">
        <w:t xml:space="preserve"> Compliance Program is based on the following principles:</w:t>
      </w:r>
    </w:p>
    <w:p w14:paraId="471DE856" w14:textId="02E0710C" w:rsidR="0092148A" w:rsidRDefault="0092148A" w:rsidP="0092148A">
      <w:pPr>
        <w:pStyle w:val="Listenabsatz"/>
        <w:numPr>
          <w:ilvl w:val="0"/>
          <w:numId w:val="31"/>
        </w:numPr>
      </w:pPr>
      <w:r>
        <w:t xml:space="preserve">clear communication from management regarding the necessity of </w:t>
      </w:r>
      <w:r w:rsidR="00306B55">
        <w:t>Antitrust</w:t>
      </w:r>
      <w:r>
        <w:t xml:space="preserve"> </w:t>
      </w:r>
      <w:proofErr w:type="gramStart"/>
      <w:r w:rsidR="00306B55">
        <w:t>C</w:t>
      </w:r>
      <w:r>
        <w:t>ompliance;</w:t>
      </w:r>
      <w:proofErr w:type="gramEnd"/>
    </w:p>
    <w:p w14:paraId="34E9BB21" w14:textId="3EA3F21B" w:rsidR="008F1318" w:rsidRDefault="00CA2348">
      <w:pPr>
        <w:pStyle w:val="Listenabsatz"/>
        <w:numPr>
          <w:ilvl w:val="0"/>
          <w:numId w:val="31"/>
        </w:numPr>
      </w:pPr>
      <w:r>
        <w:t xml:space="preserve">targeted identification of </w:t>
      </w:r>
      <w:r w:rsidR="00306B55">
        <w:t>Antitrust</w:t>
      </w:r>
      <w:r>
        <w:t xml:space="preserve">-related risks by way of a regular </w:t>
      </w:r>
      <w:r w:rsidR="0092148A" w:rsidRPr="00306B55">
        <w:t>“</w:t>
      </w:r>
      <w:r w:rsidR="00306B55">
        <w:t>Antitrust</w:t>
      </w:r>
      <w:r w:rsidR="0092148A" w:rsidRPr="00306B55">
        <w:t xml:space="preserve"> Risk Exposure Assessment” (“AREA”)</w:t>
      </w:r>
      <w:r w:rsidR="0092148A">
        <w:t xml:space="preserve"> </w:t>
      </w:r>
      <w:r w:rsidR="0092148A" w:rsidRPr="0092148A">
        <w:t xml:space="preserve">and monitoring of new developments and lessons </w:t>
      </w:r>
      <w:proofErr w:type="gramStart"/>
      <w:r w:rsidR="0092148A" w:rsidRPr="0092148A">
        <w:t>learned</w:t>
      </w:r>
      <w:r w:rsidR="0092148A" w:rsidRPr="00306B55">
        <w:t>;</w:t>
      </w:r>
      <w:proofErr w:type="gramEnd"/>
    </w:p>
    <w:p w14:paraId="34E9BB23" w14:textId="01B7D2EA" w:rsidR="008F1318" w:rsidRDefault="00CA2348">
      <w:pPr>
        <w:pStyle w:val="Listenabsatz"/>
        <w:numPr>
          <w:ilvl w:val="0"/>
          <w:numId w:val="31"/>
        </w:numPr>
      </w:pPr>
      <w:r>
        <w:t xml:space="preserve">professional and comprehensive </w:t>
      </w:r>
      <w:r w:rsidR="00306B55">
        <w:t>Antitrust</w:t>
      </w:r>
      <w:r>
        <w:t xml:space="preserve"> advice and </w:t>
      </w:r>
      <w:hyperlink r:id="rId12" w:history="1">
        <w:r w:rsidR="00306B55">
          <w:rPr>
            <w:rStyle w:val="Hyperlink"/>
          </w:rPr>
          <w:t>Antitrust</w:t>
        </w:r>
        <w:r>
          <w:rPr>
            <w:rStyle w:val="Hyperlink"/>
          </w:rPr>
          <w:t xml:space="preserve"> training programs;</w:t>
        </w:r>
      </w:hyperlink>
      <w:r>
        <w:t xml:space="preserve"> </w:t>
      </w:r>
    </w:p>
    <w:p w14:paraId="34E9BB24" w14:textId="516AEBA6" w:rsidR="008F1318" w:rsidRDefault="00CA2348">
      <w:pPr>
        <w:pStyle w:val="Listenabsatz"/>
        <w:numPr>
          <w:ilvl w:val="0"/>
          <w:numId w:val="31"/>
        </w:numPr>
      </w:pPr>
      <w:r>
        <w:t xml:space="preserve">rigorous investigation of, and the imposition of disciplinary sanctions for, infringements of </w:t>
      </w:r>
      <w:r w:rsidR="00306B55">
        <w:t>Antitrust</w:t>
      </w:r>
      <w:r>
        <w:t xml:space="preserve"> law</w:t>
      </w:r>
      <w:r w:rsidR="0092148A">
        <w:t xml:space="preserve"> and</w:t>
      </w:r>
    </w:p>
    <w:p w14:paraId="324DA614" w14:textId="452CDB12" w:rsidR="0092148A" w:rsidRDefault="0092148A" w:rsidP="0092148A">
      <w:pPr>
        <w:pStyle w:val="Listenabsatz"/>
        <w:numPr>
          <w:ilvl w:val="0"/>
          <w:numId w:val="31"/>
        </w:numPr>
      </w:pPr>
      <w:r>
        <w:t xml:space="preserve">regular review and further development of the </w:t>
      </w:r>
      <w:r w:rsidR="00306B55">
        <w:t>Antitrust</w:t>
      </w:r>
      <w:r>
        <w:t xml:space="preserve"> Program.</w:t>
      </w:r>
    </w:p>
    <w:p w14:paraId="34E9BB25" w14:textId="24EAE5CD" w:rsidR="008F1318" w:rsidRDefault="00CA2348">
      <w:pPr>
        <w:pStyle w:val="berschrift2"/>
        <w:spacing w:after="120"/>
      </w:pPr>
      <w:r>
        <w:lastRenderedPageBreak/>
        <w:t>2. Training and supporting materia</w:t>
      </w:r>
      <w:r w:rsidR="00306B55">
        <w:t>l</w:t>
      </w:r>
    </w:p>
    <w:p w14:paraId="54DADEBD" w14:textId="143629F8" w:rsidR="0092148A" w:rsidRDefault="0092148A" w:rsidP="0092148A">
      <w:pPr>
        <w:jc w:val="both"/>
      </w:pPr>
      <w:r>
        <w:t xml:space="preserve">Basic information and supporting material on </w:t>
      </w:r>
      <w:r w:rsidR="00306B55">
        <w:t>Antitrust</w:t>
      </w:r>
      <w:r>
        <w:t xml:space="preserve"> and </w:t>
      </w:r>
      <w:r w:rsidR="00306B55">
        <w:t>T</w:t>
      </w:r>
      <w:r>
        <w:t xml:space="preserve">rade </w:t>
      </w:r>
      <w:r w:rsidR="00306B55">
        <w:t>S</w:t>
      </w:r>
      <w:r>
        <w:t xml:space="preserve">ecrets law and the relevant </w:t>
      </w:r>
      <w:r w:rsidR="00306B55">
        <w:t>C</w:t>
      </w:r>
      <w:r>
        <w:t xml:space="preserve">ompliance requirements are available on the </w:t>
      </w:r>
      <w:hyperlink r:id="rId13" w:history="1">
        <w:r>
          <w:rPr>
            <w:rStyle w:val="Hyperlink"/>
          </w:rPr>
          <w:t>Homepage of LC M&amp;A CMP</w:t>
        </w:r>
      </w:hyperlink>
      <w:r>
        <w:t xml:space="preserve">. There, employees may find general guidance documents as well as papers and presentations dedicated to specific topics like trade association meetings or competitive intelligence. </w:t>
      </w:r>
    </w:p>
    <w:p w14:paraId="6B9FD6C5" w14:textId="77777777" w:rsidR="0092148A" w:rsidRDefault="0092148A" w:rsidP="0092148A">
      <w:pPr>
        <w:jc w:val="both"/>
        <w:rPr>
          <w:szCs w:val="20"/>
        </w:rPr>
      </w:pPr>
      <w:r>
        <w:t>In case of questions, direct contact to the legal experts of LC M&amp;A CMP should be sought.</w:t>
      </w:r>
    </w:p>
    <w:p w14:paraId="34E9BB2B" w14:textId="77777777" w:rsidR="008F1318" w:rsidRDefault="00CA2348">
      <w:pPr>
        <w:pStyle w:val="berschrift2"/>
        <w:spacing w:after="120"/>
      </w:pPr>
      <w:r>
        <w:t>3. History of changes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8"/>
        <w:gridCol w:w="2775"/>
        <w:gridCol w:w="5490"/>
      </w:tblGrid>
      <w:tr w:rsidR="008F1318" w14:paraId="34E9BB2F" w14:textId="77777777">
        <w:tc>
          <w:tcPr>
            <w:tcW w:w="1960" w:type="dxa"/>
            <w:shd w:val="clear" w:color="auto" w:fill="879BAA" w:themeFill="text2"/>
          </w:tcPr>
          <w:p w14:paraId="34E9BB2C" w14:textId="77777777" w:rsidR="008F1318" w:rsidRDefault="00CA2348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Date </w:t>
            </w:r>
          </w:p>
        </w:tc>
        <w:tc>
          <w:tcPr>
            <w:tcW w:w="2775" w:type="dxa"/>
            <w:shd w:val="clear" w:color="auto" w:fill="879BAA" w:themeFill="text2"/>
          </w:tcPr>
          <w:p w14:paraId="34E9BB2D" w14:textId="77777777" w:rsidR="008F1318" w:rsidRDefault="00CA2348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Author</w:t>
            </w:r>
          </w:p>
        </w:tc>
        <w:tc>
          <w:tcPr>
            <w:tcW w:w="5490" w:type="dxa"/>
            <w:shd w:val="clear" w:color="auto" w:fill="879BAA" w:themeFill="text2"/>
          </w:tcPr>
          <w:p w14:paraId="34E9BB2E" w14:textId="77777777" w:rsidR="008F1318" w:rsidRDefault="00CA2348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Major changes of binding content</w:t>
            </w:r>
          </w:p>
        </w:tc>
      </w:tr>
      <w:tr w:rsidR="008F1318" w14:paraId="34E9BB34" w14:textId="77777777">
        <w:tc>
          <w:tcPr>
            <w:tcW w:w="1960" w:type="dxa"/>
          </w:tcPr>
          <w:p w14:paraId="34E9BB30" w14:textId="62348E6F" w:rsidR="008F1318" w:rsidRDefault="003B4064">
            <w:r>
              <w:rPr>
                <w:rFonts w:eastAsia="Times New Roman"/>
              </w:rPr>
              <w:t>January 1, 2019                </w:t>
            </w:r>
          </w:p>
        </w:tc>
        <w:tc>
          <w:tcPr>
            <w:tcW w:w="2775" w:type="dxa"/>
          </w:tcPr>
          <w:p w14:paraId="34E9BB31" w14:textId="709551DB" w:rsidR="008F1318" w:rsidRDefault="00CA2348">
            <w:r>
              <w:t>Gordon Christian</w:t>
            </w:r>
          </w:p>
          <w:p w14:paraId="34E9BB32" w14:textId="77777777" w:rsidR="008F1318" w:rsidRDefault="00CA2348">
            <w:r>
              <w:t xml:space="preserve">Felix </w:t>
            </w:r>
            <w:proofErr w:type="spellStart"/>
            <w:r>
              <w:t>Gloeckner</w:t>
            </w:r>
            <w:proofErr w:type="spellEnd"/>
          </w:p>
        </w:tc>
        <w:tc>
          <w:tcPr>
            <w:tcW w:w="5490" w:type="dxa"/>
          </w:tcPr>
          <w:p w14:paraId="34E9BB33" w14:textId="413E1AC4" w:rsidR="008F1318" w:rsidRDefault="00350386">
            <w:bookmarkStart w:id="2" w:name="_Hlk532293907"/>
            <w:r w:rsidRPr="00350386">
              <w:t xml:space="preserve">First </w:t>
            </w:r>
            <w:r>
              <w:t>r</w:t>
            </w:r>
            <w:r w:rsidRPr="00350386">
              <w:t>elease through the Compliance Handbook based on Siemens Cir</w:t>
            </w:r>
            <w:r>
              <w:t>c</w:t>
            </w:r>
            <w:r w:rsidRPr="00350386">
              <w:t>ular SC No. 226 “Global Compliance”</w:t>
            </w:r>
            <w:r>
              <w:t>,</w:t>
            </w:r>
            <w:r w:rsidRPr="00350386">
              <w:t xml:space="preserve"> Appendix </w:t>
            </w:r>
            <w:r>
              <w:t>1</w:t>
            </w:r>
            <w:bookmarkEnd w:id="2"/>
            <w:r>
              <w:t>.</w:t>
            </w:r>
          </w:p>
        </w:tc>
      </w:tr>
      <w:tr w:rsidR="000B2D2D" w14:paraId="67893069" w14:textId="77777777">
        <w:tc>
          <w:tcPr>
            <w:tcW w:w="1960" w:type="dxa"/>
          </w:tcPr>
          <w:p w14:paraId="2CDCF827" w14:textId="0DBE772F" w:rsidR="000B2D2D" w:rsidRDefault="000B2D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</w:t>
            </w:r>
            <w:r w:rsidR="00306B55">
              <w:rPr>
                <w:rFonts w:eastAsia="Times New Roman"/>
              </w:rPr>
              <w:t>uly 1</w:t>
            </w:r>
            <w:r>
              <w:rPr>
                <w:rFonts w:eastAsia="Times New Roman"/>
              </w:rPr>
              <w:t>, 2020</w:t>
            </w:r>
          </w:p>
        </w:tc>
        <w:tc>
          <w:tcPr>
            <w:tcW w:w="2775" w:type="dxa"/>
          </w:tcPr>
          <w:p w14:paraId="3428C8A9" w14:textId="58DE3474" w:rsidR="000B2D2D" w:rsidRDefault="000B2D2D">
            <w:r>
              <w:t>Julia Wirth</w:t>
            </w:r>
          </w:p>
        </w:tc>
        <w:tc>
          <w:tcPr>
            <w:tcW w:w="5490" w:type="dxa"/>
          </w:tcPr>
          <w:p w14:paraId="1BA6C2BB" w14:textId="59E84445" w:rsidR="000B2D2D" w:rsidRPr="00350386" w:rsidRDefault="000B2D2D">
            <w:r>
              <w:t>Addition of links to supporting material</w:t>
            </w:r>
          </w:p>
        </w:tc>
      </w:tr>
      <w:tr w:rsidR="0092148A" w:rsidRPr="00BD201D" w14:paraId="1991CC8F" w14:textId="77777777">
        <w:tc>
          <w:tcPr>
            <w:tcW w:w="1960" w:type="dxa"/>
          </w:tcPr>
          <w:p w14:paraId="45C8F103" w14:textId="0DF693D6" w:rsidR="0092148A" w:rsidRDefault="00306B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</w:t>
            </w:r>
            <w:r w:rsidR="0092148A">
              <w:rPr>
                <w:rFonts w:eastAsia="Times New Roman"/>
              </w:rPr>
              <w:t>, 2020</w:t>
            </w:r>
          </w:p>
        </w:tc>
        <w:tc>
          <w:tcPr>
            <w:tcW w:w="2775" w:type="dxa"/>
          </w:tcPr>
          <w:p w14:paraId="48D2DD01" w14:textId="56520DDE" w:rsidR="0092148A" w:rsidRPr="00306B55" w:rsidRDefault="0092148A">
            <w:pPr>
              <w:rPr>
                <w:lang w:val="de-DE"/>
              </w:rPr>
            </w:pPr>
            <w:r w:rsidRPr="00306B55">
              <w:rPr>
                <w:lang w:val="de-DE"/>
              </w:rPr>
              <w:t>Georg Böttc</w:t>
            </w:r>
            <w:r>
              <w:rPr>
                <w:lang w:val="de-DE"/>
              </w:rPr>
              <w:t>h</w:t>
            </w:r>
            <w:r w:rsidRPr="00306B55">
              <w:rPr>
                <w:lang w:val="de-DE"/>
              </w:rPr>
              <w:t>er, Hubert Klinger</w:t>
            </w:r>
          </w:p>
        </w:tc>
        <w:tc>
          <w:tcPr>
            <w:tcW w:w="5490" w:type="dxa"/>
          </w:tcPr>
          <w:p w14:paraId="5C7542D5" w14:textId="119E9624" w:rsidR="0092148A" w:rsidRPr="00BD201D" w:rsidRDefault="0092148A" w:rsidP="00306B55">
            <w:pPr>
              <w:tabs>
                <w:tab w:val="left" w:pos="922"/>
              </w:tabs>
            </w:pPr>
            <w:r w:rsidRPr="00306B55">
              <w:t>Shortening and streamlining of whole chapter</w:t>
            </w:r>
            <w:r w:rsidR="00BD201D">
              <w:t xml:space="preserve"> in accordance with changes to Circular 226</w:t>
            </w:r>
          </w:p>
        </w:tc>
      </w:tr>
    </w:tbl>
    <w:p w14:paraId="34E9BB35" w14:textId="77777777" w:rsidR="008F1318" w:rsidRPr="00BD201D" w:rsidRDefault="008F1318"/>
    <w:p w14:paraId="34E9BB36" w14:textId="77777777" w:rsidR="008F1318" w:rsidRDefault="00CA2348">
      <w:pPr>
        <w:pStyle w:val="berschrift2"/>
        <w:spacing w:after="120"/>
      </w:pPr>
      <w:r>
        <w:t>4. Contacts</w:t>
      </w:r>
    </w:p>
    <w:p w14:paraId="34E9BB37" w14:textId="77777777" w:rsidR="008F1318" w:rsidRDefault="00CA2348">
      <w:pPr>
        <w:pStyle w:val="HighlightboxGreyBulletpoints"/>
      </w:pPr>
      <w:r>
        <w:t xml:space="preserve">Compliance Officer </w:t>
      </w:r>
    </w:p>
    <w:p w14:paraId="34E9BB38" w14:textId="77777777" w:rsidR="008F1318" w:rsidRDefault="00CA2348">
      <w:pPr>
        <w:ind w:left="360"/>
      </w:pPr>
      <w:r>
        <w:rPr>
          <w:rFonts w:eastAsia="Siemens Sans" w:cs="Arial"/>
          <w:lang w:eastAsia="de-DE"/>
        </w:rPr>
        <w:t xml:space="preserve">The Compliance Officer responsible for your unit can be found through the following </w:t>
      </w:r>
      <w:hyperlink r:id="rId14" w:history="1">
        <w:r>
          <w:rPr>
            <w:rStyle w:val="Hyperlink"/>
            <w:rFonts w:eastAsia="Siemens Sans" w:cs="Arial"/>
            <w:lang w:eastAsia="de-DE"/>
          </w:rPr>
          <w:t>link</w:t>
        </w:r>
      </w:hyperlink>
      <w:r>
        <w:rPr>
          <w:rFonts w:eastAsia="Siemens Sans" w:cs="Arial"/>
          <w:lang w:eastAsia="de-DE"/>
        </w:rPr>
        <w:t>.</w:t>
      </w:r>
      <w:r>
        <w:t xml:space="preserve"> </w:t>
      </w:r>
    </w:p>
    <w:p w14:paraId="34E9BB39" w14:textId="77777777" w:rsidR="008F1318" w:rsidRDefault="00CA2348">
      <w:pPr>
        <w:pStyle w:val="HighlightboxGreyBulletpoints"/>
      </w:pPr>
      <w:r>
        <w:t>Corporate Governance Owner</w:t>
      </w:r>
    </w:p>
    <w:p w14:paraId="34E9BB3A" w14:textId="5776EE94" w:rsidR="008F1318" w:rsidRDefault="00CA2348">
      <w:pPr>
        <w:ind w:left="360"/>
      </w:pPr>
      <w:r>
        <w:rPr>
          <w:lang w:eastAsia="de-DE"/>
        </w:rPr>
        <w:t xml:space="preserve">The contact person for </w:t>
      </w:r>
      <w:r w:rsidR="00306B55">
        <w:rPr>
          <w:lang w:eastAsia="de-DE"/>
        </w:rPr>
        <w:t>Antitrust</w:t>
      </w:r>
      <w:r>
        <w:rPr>
          <w:lang w:eastAsia="de-DE"/>
        </w:rPr>
        <w:t xml:space="preserve"> is: </w:t>
      </w:r>
      <w:bookmarkStart w:id="3" w:name="_Toc421711309"/>
      <w:bookmarkStart w:id="4" w:name="_Toc421711315"/>
      <w:bookmarkStart w:id="5" w:name="_bookmark1"/>
      <w:bookmarkStart w:id="6" w:name="_bookmark2"/>
      <w:bookmarkStart w:id="7" w:name="_bookmark3"/>
      <w:bookmarkStart w:id="8" w:name="_bookmark4"/>
      <w:bookmarkStart w:id="9" w:name="_bookmark5"/>
      <w:bookmarkStart w:id="10" w:name="_bookmark6"/>
      <w:bookmarkStart w:id="11" w:name="_bookmark7"/>
      <w:bookmarkStart w:id="12" w:name="_bookmark8"/>
      <w:bookmarkStart w:id="13" w:name="_bookmark9"/>
      <w:bookmarkStart w:id="14" w:name="_bookmark10"/>
      <w:bookmarkStart w:id="15" w:name="_bookmark11"/>
      <w:bookmarkStart w:id="16" w:name="_bookmark13"/>
      <w:bookmarkStart w:id="17" w:name="_bookmark14"/>
      <w:bookmarkStart w:id="18" w:name="_bookmark15"/>
      <w:bookmarkStart w:id="19" w:name="_bookmark16"/>
      <w:bookmarkStart w:id="20" w:name="_bookmark17"/>
      <w:bookmarkStart w:id="21" w:name="_bookmark18"/>
      <w:bookmarkStart w:id="22" w:name="_bookmark22"/>
      <w:bookmarkStart w:id="23" w:name="_bookmark23"/>
      <w:bookmarkStart w:id="24" w:name="_bookmark25"/>
      <w:bookmarkStart w:id="25" w:name="_bookmark26"/>
      <w:bookmarkStart w:id="26" w:name="_bookmark27"/>
      <w:bookmarkStart w:id="27" w:name="_bookmark28"/>
      <w:bookmarkStart w:id="28" w:name="_bookmark29"/>
      <w:bookmarkStart w:id="29" w:name="_bookmark30"/>
      <w:bookmarkStart w:id="30" w:name="_bookmark31"/>
      <w:bookmarkStart w:id="31" w:name="_bookmark32"/>
      <w:bookmarkStart w:id="32" w:name="_bookmark33"/>
      <w:bookmarkStart w:id="33" w:name="_bookmark3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34E9BB3B" w14:textId="21466972" w:rsidR="008F1318" w:rsidRDefault="00306B55">
      <w:pPr>
        <w:ind w:left="360"/>
      </w:pPr>
      <w:hyperlink r:id="rId15" w:history="1">
        <w:r w:rsidR="00CA2348" w:rsidRPr="00CA2348">
          <w:rPr>
            <w:rStyle w:val="Hyperlink"/>
          </w:rPr>
          <w:t>Georg Boettcher</w:t>
        </w:r>
      </w:hyperlink>
      <w:r w:rsidR="00CA2348">
        <w:t xml:space="preserve"> (Chief Counsel Competition)</w:t>
      </w:r>
    </w:p>
    <w:p w14:paraId="34E9BB3C" w14:textId="35C4F791" w:rsidR="008F1318" w:rsidRPr="00657727" w:rsidRDefault="00CA2348">
      <w:pPr>
        <w:ind w:left="360"/>
      </w:pPr>
      <w:r w:rsidRPr="00657727">
        <w:rPr>
          <w:lang w:eastAsia="de-DE"/>
        </w:rPr>
        <w:t>The contact persons for</w:t>
      </w:r>
      <w:r w:rsidR="00F315BC" w:rsidRPr="00657727">
        <w:rPr>
          <w:lang w:eastAsia="de-DE"/>
        </w:rPr>
        <w:t xml:space="preserve"> the</w:t>
      </w:r>
      <w:r w:rsidRPr="00657727">
        <w:rPr>
          <w:lang w:eastAsia="de-DE"/>
        </w:rPr>
        <w:t xml:space="preserve"> Compliance Handbook content </w:t>
      </w:r>
      <w:r w:rsidR="00306B55">
        <w:rPr>
          <w:lang w:eastAsia="de-DE"/>
        </w:rPr>
        <w:t>Antitrust</w:t>
      </w:r>
      <w:r w:rsidRPr="00657727">
        <w:rPr>
          <w:lang w:eastAsia="de-DE"/>
        </w:rPr>
        <w:t xml:space="preserve"> are: </w:t>
      </w:r>
    </w:p>
    <w:p w14:paraId="0E15F0A4" w14:textId="77777777" w:rsidR="00657727" w:rsidRPr="005D6C92" w:rsidRDefault="00E91048" w:rsidP="00657727">
      <w:pPr>
        <w:ind w:left="360"/>
        <w:rPr>
          <w:rFonts w:eastAsia="Calibri" w:cs="Arial"/>
          <w:color w:val="0000FF" w:themeColor="hyperlink"/>
          <w:szCs w:val="20"/>
          <w:u w:val="single"/>
          <w:lang w:val="de-DE"/>
        </w:rPr>
      </w:pPr>
      <w:hyperlink r:id="rId16" w:history="1">
        <w:r w:rsidR="00657727" w:rsidRPr="005D6C92">
          <w:rPr>
            <w:rFonts w:eastAsia="Calibri" w:cs="Arial"/>
            <w:color w:val="0000FF" w:themeColor="hyperlink"/>
            <w:szCs w:val="20"/>
            <w:u w:val="single"/>
            <w:lang w:val="de-DE"/>
          </w:rPr>
          <w:t>Annette Kraus (LC CO IR)</w:t>
        </w:r>
      </w:hyperlink>
    </w:p>
    <w:p w14:paraId="34E9BB41" w14:textId="7EF76303" w:rsidR="008F1318" w:rsidRPr="00306B55" w:rsidRDefault="00306B55" w:rsidP="00306B55">
      <w:pPr>
        <w:pStyle w:val="KeinAbsatzformat"/>
        <w:ind w:firstLine="360"/>
        <w:rPr>
          <w:rFonts w:ascii="Arial" w:hAnsi="Arial" w:cs="Arial"/>
          <w:sz w:val="20"/>
          <w:szCs w:val="20"/>
        </w:rPr>
      </w:pPr>
      <w:hyperlink r:id="rId17" w:history="1">
        <w:hyperlink r:id="rId18" w:history="1">
          <w:r w:rsidR="00657727" w:rsidRPr="005D6C92">
            <w:rPr>
              <w:rFonts w:ascii="Arial" w:eastAsia="Calibri" w:hAnsi="Arial" w:cs="Arial"/>
              <w:color w:val="0000FF" w:themeColor="hyperlink"/>
              <w:sz w:val="20"/>
              <w:szCs w:val="20"/>
              <w:u w:val="single"/>
            </w:rPr>
            <w:t>Georg Boettcher</w:t>
          </w:r>
        </w:hyperlink>
        <w:r w:rsidR="00657727" w:rsidRPr="005D6C92">
          <w:rPr>
            <w:rFonts w:ascii="Arial" w:eastAsia="Calibri" w:hAnsi="Arial" w:cs="Arial"/>
            <w:color w:val="0000FF" w:themeColor="hyperlink"/>
            <w:sz w:val="20"/>
            <w:szCs w:val="20"/>
            <w:u w:val="single"/>
          </w:rPr>
          <w:t xml:space="preserve"> (LC M&amp;A CMP)</w:t>
        </w:r>
      </w:hyperlink>
      <w:r w:rsidR="00657727" w:rsidRPr="005D6C92">
        <w:rPr>
          <w:rFonts w:ascii="Arial" w:eastAsia="Calibri" w:hAnsi="Arial" w:cs="Arial"/>
          <w:sz w:val="20"/>
          <w:szCs w:val="20"/>
        </w:rPr>
        <w:t xml:space="preserve"> </w:t>
      </w:r>
    </w:p>
    <w:sectPr w:rsidR="008F1318" w:rsidRPr="00306B5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871" w:right="1021" w:bottom="1474" w:left="1134" w:header="2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9BB44" w14:textId="77777777" w:rsidR="008F1318" w:rsidRDefault="00CA2348">
      <w:pPr>
        <w:spacing w:after="0" w:line="240" w:lineRule="auto"/>
      </w:pPr>
      <w:r>
        <w:separator/>
      </w:r>
    </w:p>
  </w:endnote>
  <w:endnote w:type="continuationSeparator" w:id="0">
    <w:p w14:paraId="34E9BB45" w14:textId="77777777" w:rsidR="008F1318" w:rsidRDefault="00CA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emens Sans">
    <w:panose1 w:val="00000000000000000000"/>
    <w:charset w:val="00"/>
    <w:family w:val="auto"/>
    <w:pitch w:val="variable"/>
    <w:sig w:usb0="A00002FF" w:usb1="0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8432A" w14:textId="77777777" w:rsidR="00E33749" w:rsidRDefault="00E337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9BB51" w14:textId="77777777" w:rsidR="008F1318" w:rsidRDefault="00CA2348">
    <w:pPr>
      <w:pStyle w:val="Fuzeile"/>
    </w:pPr>
    <w:r>
      <w:t>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A7811" w14:textId="77777777" w:rsidR="00E33749" w:rsidRDefault="00E3374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9BB42" w14:textId="77777777" w:rsidR="008F1318" w:rsidRDefault="00CA2348">
      <w:pPr>
        <w:spacing w:after="0" w:line="240" w:lineRule="auto"/>
      </w:pPr>
      <w:r>
        <w:separator/>
      </w:r>
    </w:p>
  </w:footnote>
  <w:footnote w:type="continuationSeparator" w:id="0">
    <w:p w14:paraId="34E9BB43" w14:textId="77777777" w:rsidR="008F1318" w:rsidRDefault="00CA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98DA1" w14:textId="77777777" w:rsidR="00E33749" w:rsidRDefault="00E3374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Head"/>
      <w:tblW w:w="12569" w:type="dxa"/>
      <w:tblInd w:w="-1134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1020"/>
      <w:gridCol w:w="624"/>
      <w:gridCol w:w="9752"/>
      <w:gridCol w:w="1173"/>
    </w:tblGrid>
    <w:tr w:rsidR="008F1318" w14:paraId="34E9BB4A" w14:textId="77777777" w:rsidTr="008F131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567"/>
      </w:trPr>
      <w:tc>
        <w:tcPr>
          <w:tcW w:w="1020" w:type="dxa"/>
        </w:tcPr>
        <w:p w14:paraId="34E9BB46" w14:textId="77777777" w:rsidR="008F1318" w:rsidRDefault="00CA2348">
          <w:pPr>
            <w:pStyle w:val="Kopfzeile"/>
            <w:ind w:left="-426"/>
          </w:pPr>
          <w:r>
            <w:t>z</w:t>
          </w:r>
        </w:p>
      </w:tc>
      <w:tc>
        <w:tcPr>
          <w:tcW w:w="624" w:type="dxa"/>
        </w:tcPr>
        <w:p w14:paraId="34E9BB47" w14:textId="77777777" w:rsidR="008F1318" w:rsidRDefault="008F1318">
          <w:pPr>
            <w:pStyle w:val="Kopfzeile"/>
            <w:ind w:left="-641"/>
          </w:pPr>
        </w:p>
      </w:tc>
      <w:tc>
        <w:tcPr>
          <w:tcW w:w="9752" w:type="dxa"/>
        </w:tcPr>
        <w:p w14:paraId="34E9BB48" w14:textId="77777777" w:rsidR="008F1318" w:rsidRDefault="008F1318">
          <w:pPr>
            <w:pStyle w:val="Kopfzeile"/>
          </w:pPr>
        </w:p>
      </w:tc>
      <w:tc>
        <w:tcPr>
          <w:tcW w:w="1173" w:type="dxa"/>
        </w:tcPr>
        <w:p w14:paraId="34E9BB49" w14:textId="77777777" w:rsidR="008F1318" w:rsidRDefault="008F1318">
          <w:pPr>
            <w:pStyle w:val="Kopfzeile"/>
          </w:pPr>
        </w:p>
      </w:tc>
    </w:tr>
    <w:tr w:rsidR="008F1318" w14:paraId="34E9BB4F" w14:textId="77777777" w:rsidTr="008F1318">
      <w:trPr>
        <w:cantSplit/>
        <w:trHeight w:hRule="exact" w:val="575"/>
      </w:trPr>
      <w:tc>
        <w:tcPr>
          <w:tcW w:w="1020" w:type="dxa"/>
        </w:tcPr>
        <w:p w14:paraId="34E9BB4B" w14:textId="77777777" w:rsidR="008F1318" w:rsidRDefault="008F1318">
          <w:pPr>
            <w:pStyle w:val="Fuzeile"/>
          </w:pPr>
        </w:p>
      </w:tc>
      <w:tc>
        <w:tcPr>
          <w:tcW w:w="624" w:type="dxa"/>
          <w:vAlign w:val="bottom"/>
        </w:tcPr>
        <w:p w14:paraId="34E9BB4C" w14:textId="77777777" w:rsidR="008F1318" w:rsidRDefault="00CA2348">
          <w:pPr>
            <w:pStyle w:val="Fuzeile"/>
            <w:jc w:val="center"/>
          </w:pPr>
          <w:r>
            <w:rPr>
              <w:noProof/>
            </w:rPr>
            <w:drawing>
              <wp:inline distT="0" distB="0" distL="0" distR="0" wp14:anchorId="34E9BB52" wp14:editId="34E9BB53">
                <wp:extent cx="346710" cy="305061"/>
                <wp:effectExtent l="19050" t="0" r="0" b="0"/>
                <wp:docPr id="5" name="Bild 2" descr="C:\Users\TONSC00A\AppData\Local\Microsoft\Windows\Temporary Internet Files\Content.Word\Icon_Legal_Handbook_Schriftrol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ONSC00A\AppData\Local\Microsoft\Windows\Temporary Internet Files\Content.Word\Icon_Legal_Handbook_Schriftrol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763" cy="3059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52" w:type="dxa"/>
        </w:tcPr>
        <w:p w14:paraId="34E9BB4D" w14:textId="04728393" w:rsidR="008F1318" w:rsidRDefault="00CA2348">
          <w:pPr>
            <w:pStyle w:val="Header"/>
          </w:pPr>
          <w:r>
            <w:t xml:space="preserve">Compliance </w:t>
          </w:r>
          <w:r w:rsidR="00E33749">
            <w:t>Handbook</w:t>
          </w:r>
          <w:r>
            <w:t xml:space="preserve"> | </w:t>
          </w:r>
          <w:r w:rsidR="00E33749">
            <w:t xml:space="preserve">Part 1 | </w:t>
          </w:r>
          <w:r>
            <w:t xml:space="preserve">B. </w:t>
          </w:r>
          <w:r w:rsidR="00306B55">
            <w:t>Antitrust</w:t>
          </w:r>
          <w:r>
            <w:t xml:space="preserve"> </w:t>
          </w:r>
        </w:p>
      </w:tc>
      <w:tc>
        <w:tcPr>
          <w:tcW w:w="1173" w:type="dxa"/>
        </w:tcPr>
        <w:p w14:paraId="34E9BB4E" w14:textId="77777777" w:rsidR="008F1318" w:rsidRDefault="008F1318">
          <w:pPr>
            <w:pStyle w:val="Header"/>
          </w:pPr>
        </w:p>
      </w:tc>
    </w:tr>
  </w:tbl>
  <w:p w14:paraId="34E9BB50" w14:textId="77777777" w:rsidR="008F1318" w:rsidRDefault="008F131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3FF1A" w14:textId="77777777" w:rsidR="00E33749" w:rsidRDefault="00E3374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6155B"/>
    <w:multiLevelType w:val="hybridMultilevel"/>
    <w:tmpl w:val="060AFF3A"/>
    <w:lvl w:ilvl="0" w:tplc="6EF05930">
      <w:start w:val="1"/>
      <w:numFmt w:val="lowerLetter"/>
      <w:pStyle w:val="eManualAufzhlunga"/>
      <w:lvlText w:val="%1)"/>
      <w:lvlJc w:val="left"/>
      <w:pPr>
        <w:tabs>
          <w:tab w:val="num" w:pos="1004"/>
        </w:tabs>
        <w:ind w:left="1004" w:hanging="436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11F04B90"/>
    <w:multiLevelType w:val="multilevel"/>
    <w:tmpl w:val="D5C8EBA6"/>
    <w:lvl w:ilvl="0">
      <w:start w:val="1"/>
      <w:numFmt w:val="decimal"/>
      <w:pStyle w:val="Numbers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350" w:hanging="99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857F67"/>
    <w:multiLevelType w:val="hybridMultilevel"/>
    <w:tmpl w:val="5824EF12"/>
    <w:lvl w:ilvl="0" w:tplc="9B8CD03E">
      <w:start w:val="1"/>
      <w:numFmt w:val="bullet"/>
      <w:pStyle w:val="CopyBulletpoints"/>
      <w:lvlText w:val=""/>
      <w:lvlJc w:val="left"/>
      <w:pPr>
        <w:ind w:left="360" w:hanging="360"/>
      </w:pPr>
      <w:rPr>
        <w:rFonts w:ascii="Symbol" w:hAnsi="Symbol" w:hint="default"/>
        <w:color w:val="BECDD7" w:themeColor="background2"/>
      </w:rPr>
    </w:lvl>
    <w:lvl w:ilvl="1" w:tplc="931403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B40F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EFE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DF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61D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67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AB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22C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01167"/>
    <w:multiLevelType w:val="hybridMultilevel"/>
    <w:tmpl w:val="7B0C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4596D"/>
    <w:multiLevelType w:val="hybridMultilevel"/>
    <w:tmpl w:val="1C4AA6CA"/>
    <w:lvl w:ilvl="0" w:tplc="E84AE93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D33C9"/>
    <w:multiLevelType w:val="hybridMultilevel"/>
    <w:tmpl w:val="C694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975D5"/>
    <w:multiLevelType w:val="hybridMultilevel"/>
    <w:tmpl w:val="62A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001CF"/>
    <w:multiLevelType w:val="hybridMultilevel"/>
    <w:tmpl w:val="3E14EF9A"/>
    <w:lvl w:ilvl="0" w:tplc="A406EF52">
      <w:start w:val="1"/>
      <w:numFmt w:val="upperLetter"/>
      <w:pStyle w:val="berschrift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DAE6A88" w:tentative="1">
      <w:start w:val="1"/>
      <w:numFmt w:val="lowerLetter"/>
      <w:lvlText w:val="%2."/>
      <w:lvlJc w:val="left"/>
      <w:pPr>
        <w:ind w:left="1440" w:hanging="360"/>
      </w:pPr>
    </w:lvl>
    <w:lvl w:ilvl="2" w:tplc="83AAA582" w:tentative="1">
      <w:start w:val="1"/>
      <w:numFmt w:val="lowerRoman"/>
      <w:lvlText w:val="%3."/>
      <w:lvlJc w:val="right"/>
      <w:pPr>
        <w:ind w:left="2160" w:hanging="180"/>
      </w:pPr>
    </w:lvl>
    <w:lvl w:ilvl="3" w:tplc="0E726AE8" w:tentative="1">
      <w:start w:val="1"/>
      <w:numFmt w:val="decimal"/>
      <w:lvlText w:val="%4."/>
      <w:lvlJc w:val="left"/>
      <w:pPr>
        <w:ind w:left="2880" w:hanging="360"/>
      </w:pPr>
    </w:lvl>
    <w:lvl w:ilvl="4" w:tplc="BDC4BAA0" w:tentative="1">
      <w:start w:val="1"/>
      <w:numFmt w:val="lowerLetter"/>
      <w:lvlText w:val="%5."/>
      <w:lvlJc w:val="left"/>
      <w:pPr>
        <w:ind w:left="3600" w:hanging="360"/>
      </w:pPr>
    </w:lvl>
    <w:lvl w:ilvl="5" w:tplc="1F28A842" w:tentative="1">
      <w:start w:val="1"/>
      <w:numFmt w:val="lowerRoman"/>
      <w:lvlText w:val="%6."/>
      <w:lvlJc w:val="right"/>
      <w:pPr>
        <w:ind w:left="4320" w:hanging="180"/>
      </w:pPr>
    </w:lvl>
    <w:lvl w:ilvl="6" w:tplc="5FCEF82A" w:tentative="1">
      <w:start w:val="1"/>
      <w:numFmt w:val="decimal"/>
      <w:lvlText w:val="%7."/>
      <w:lvlJc w:val="left"/>
      <w:pPr>
        <w:ind w:left="5040" w:hanging="360"/>
      </w:pPr>
    </w:lvl>
    <w:lvl w:ilvl="7" w:tplc="EE720D6C" w:tentative="1">
      <w:start w:val="1"/>
      <w:numFmt w:val="lowerLetter"/>
      <w:lvlText w:val="%8."/>
      <w:lvlJc w:val="left"/>
      <w:pPr>
        <w:ind w:left="5760" w:hanging="360"/>
      </w:pPr>
    </w:lvl>
    <w:lvl w:ilvl="8" w:tplc="4BA447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62075"/>
    <w:multiLevelType w:val="hybridMultilevel"/>
    <w:tmpl w:val="B6F450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06CD1"/>
    <w:multiLevelType w:val="hybridMultilevel"/>
    <w:tmpl w:val="E8BE5AF6"/>
    <w:lvl w:ilvl="0" w:tplc="B4ACC7D6">
      <w:numFmt w:val="bullet"/>
      <w:lvlText w:val="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0058E"/>
    <w:multiLevelType w:val="multilevel"/>
    <w:tmpl w:val="B3B00628"/>
    <w:styleLink w:val="Formatvorlag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F522F6"/>
    <w:multiLevelType w:val="hybridMultilevel"/>
    <w:tmpl w:val="DD5A6E00"/>
    <w:lvl w:ilvl="0" w:tplc="747E762A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81AD6" w:tentative="1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18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80FD6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829DC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5DC4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0DF26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ED42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67526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BE45F4"/>
    <w:multiLevelType w:val="hybridMultilevel"/>
    <w:tmpl w:val="D2243924"/>
    <w:lvl w:ilvl="0" w:tplc="8F2AD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D0C5F"/>
    <w:multiLevelType w:val="hybridMultilevel"/>
    <w:tmpl w:val="369C8CF0"/>
    <w:lvl w:ilvl="0" w:tplc="1C36B64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FB6301"/>
    <w:multiLevelType w:val="hybridMultilevel"/>
    <w:tmpl w:val="CCBA7F16"/>
    <w:lvl w:ilvl="0" w:tplc="65CCE03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25D42"/>
    <w:multiLevelType w:val="hybridMultilevel"/>
    <w:tmpl w:val="4124815E"/>
    <w:lvl w:ilvl="0" w:tplc="0FC0B704">
      <w:start w:val="1"/>
      <w:numFmt w:val="bullet"/>
      <w:pStyle w:val="DoDontBulletpoints"/>
      <w:lvlText w:val="▌"/>
      <w:lvlJc w:val="left"/>
      <w:pPr>
        <w:ind w:left="360" w:hanging="360"/>
      </w:pPr>
      <w:rPr>
        <w:rFonts w:ascii="Arial" w:hAnsi="Arial" w:hint="default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7"/>
  </w:num>
  <w:num w:numId="5">
    <w:abstractNumId w:val="10"/>
  </w:num>
  <w:num w:numId="6">
    <w:abstractNumId w:val="0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6"/>
  </w:num>
  <w:num w:numId="16">
    <w:abstractNumId w:val="5"/>
  </w:num>
  <w:num w:numId="17">
    <w:abstractNumId w:val="2"/>
  </w:num>
  <w:num w:numId="18">
    <w:abstractNumId w:val="2"/>
  </w:num>
  <w:num w:numId="19">
    <w:abstractNumId w:val="2"/>
  </w:num>
  <w:num w:numId="20">
    <w:abstractNumId w:val="12"/>
  </w:num>
  <w:num w:numId="21">
    <w:abstractNumId w:val="2"/>
  </w:num>
  <w:num w:numId="22">
    <w:abstractNumId w:val="2"/>
  </w:num>
  <w:num w:numId="23">
    <w:abstractNumId w:val="2"/>
  </w:num>
  <w:num w:numId="24">
    <w:abstractNumId w:val="7"/>
  </w:num>
  <w:num w:numId="25">
    <w:abstractNumId w:val="11"/>
  </w:num>
  <w:num w:numId="26">
    <w:abstractNumId w:val="15"/>
  </w:num>
  <w:num w:numId="27">
    <w:abstractNumId w:val="15"/>
  </w:num>
  <w:num w:numId="28">
    <w:abstractNumId w:val="15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3"/>
  </w:num>
  <w:num w:numId="32">
    <w:abstractNumId w:val="8"/>
  </w:num>
  <w:num w:numId="33">
    <w:abstractNumId w:val="15"/>
  </w:num>
  <w:num w:numId="34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318"/>
    <w:rsid w:val="00067E9D"/>
    <w:rsid w:val="00085872"/>
    <w:rsid w:val="000B2D2D"/>
    <w:rsid w:val="000F2635"/>
    <w:rsid w:val="00103B58"/>
    <w:rsid w:val="001322A8"/>
    <w:rsid w:val="00280A64"/>
    <w:rsid w:val="00292869"/>
    <w:rsid w:val="00302EA2"/>
    <w:rsid w:val="00306B55"/>
    <w:rsid w:val="00313080"/>
    <w:rsid w:val="00350386"/>
    <w:rsid w:val="003B4064"/>
    <w:rsid w:val="004E55AE"/>
    <w:rsid w:val="005754C1"/>
    <w:rsid w:val="005B3D33"/>
    <w:rsid w:val="005D6C92"/>
    <w:rsid w:val="00657727"/>
    <w:rsid w:val="007D3970"/>
    <w:rsid w:val="008A535D"/>
    <w:rsid w:val="008F1318"/>
    <w:rsid w:val="0092148A"/>
    <w:rsid w:val="00BD201D"/>
    <w:rsid w:val="00C104CC"/>
    <w:rsid w:val="00CA2348"/>
    <w:rsid w:val="00D26589"/>
    <w:rsid w:val="00E31E45"/>
    <w:rsid w:val="00E33749"/>
    <w:rsid w:val="00E356CE"/>
    <w:rsid w:val="00E91048"/>
    <w:rsid w:val="00EE3D01"/>
    <w:rsid w:val="00EF3171"/>
    <w:rsid w:val="00F3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4:docId w14:val="34E9BB17"/>
  <w15:docId w15:val="{DCB0D079-2E2A-4EC4-A248-2A26EB9B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_Copy Arial 10pt"/>
    <w:next w:val="KeinAbsatzformat"/>
    <w:qFormat/>
    <w:pPr>
      <w:spacing w:after="140" w:line="300" w:lineRule="auto"/>
    </w:pPr>
    <w:rPr>
      <w:sz w:val="20"/>
    </w:rPr>
  </w:style>
  <w:style w:type="paragraph" w:styleId="berschrift1">
    <w:name w:val="heading 1"/>
    <w:aliases w:val="_Headline 18 pt"/>
    <w:basedOn w:val="Standard"/>
    <w:next w:val="Standard"/>
    <w:link w:val="berschrift1Zchn"/>
    <w:uiPriority w:val="9"/>
    <w:qFormat/>
    <w:pPr>
      <w:keepNext/>
      <w:keepLines/>
      <w:numPr>
        <w:numId w:val="4"/>
      </w:numPr>
      <w:spacing w:after="600"/>
      <w:outlineLvl w:val="0"/>
    </w:pPr>
    <w:rPr>
      <w:rFonts w:ascii="Times New Roman" w:eastAsiaTheme="majorEastAsia" w:hAnsi="Times New Roman" w:cstheme="majorBidi"/>
      <w:bCs/>
      <w:color w:val="BECDD7" w:themeColor="background2"/>
      <w:sz w:val="52"/>
      <w:szCs w:val="28"/>
    </w:rPr>
  </w:style>
  <w:style w:type="paragraph" w:styleId="berschrift2">
    <w:name w:val="heading 2"/>
    <w:aliases w:val="_Headline Times 30 pt"/>
    <w:next w:val="Standard"/>
    <w:link w:val="berschrift2Zchn"/>
    <w:uiPriority w:val="9"/>
    <w:unhideWhenUsed/>
    <w:qFormat/>
    <w:pPr>
      <w:keepNext/>
      <w:keepLines/>
      <w:spacing w:before="360" w:after="480"/>
      <w:outlineLvl w:val="1"/>
    </w:pPr>
    <w:rPr>
      <w:rFonts w:ascii="Times New Roman" w:eastAsiaTheme="majorEastAsia" w:hAnsi="Times New Roman" w:cstheme="majorBidi"/>
      <w:bCs/>
      <w:color w:val="879BAA" w:themeColor="text2"/>
      <w:sz w:val="48"/>
      <w:szCs w:val="26"/>
    </w:rPr>
  </w:style>
  <w:style w:type="paragraph" w:styleId="berschrift3">
    <w:name w:val="heading 3"/>
    <w:aliases w:val="_Headline 11pt"/>
    <w:next w:val="Standard"/>
    <w:link w:val="berschrift3Zchn"/>
    <w:uiPriority w:val="9"/>
    <w:unhideWhenUsed/>
    <w:qFormat/>
    <w:pPr>
      <w:spacing w:before="200"/>
      <w:outlineLvl w:val="2"/>
    </w:pPr>
    <w:rPr>
      <w:rFonts w:eastAsiaTheme="majorEastAsia" w:cstheme="majorBidi"/>
      <w:b/>
      <w:color w:val="006487" w:themeColor="accent3"/>
      <w:szCs w:val="26"/>
    </w:rPr>
  </w:style>
  <w:style w:type="paragraph" w:styleId="berschrift4">
    <w:name w:val="heading 4"/>
    <w:aliases w:val="_"/>
    <w:basedOn w:val="berschrift3"/>
    <w:next w:val="KeinAbsatzformat"/>
    <w:link w:val="berschrift4Zchn"/>
    <w:uiPriority w:val="9"/>
    <w:unhideWhenUsed/>
    <w:qFormat/>
    <w:pPr>
      <w:outlineLvl w:val="3"/>
    </w:pPr>
    <w:rPr>
      <w:bCs/>
      <w:iCs/>
    </w:rPr>
  </w:style>
  <w:style w:type="paragraph" w:styleId="berschrift5">
    <w:name w:val="heading 5"/>
    <w:basedOn w:val="berschrift3"/>
    <w:next w:val="KeinAbsatzformat"/>
    <w:link w:val="berschrift5Zchn"/>
    <w:uiPriority w:val="9"/>
    <w:unhideWhenUsed/>
    <w:qFormat/>
    <w:pPr>
      <w:keepNext/>
      <w:keepLines/>
      <w:numPr>
        <w:ilvl w:val="4"/>
      </w:numPr>
      <w:tabs>
        <w:tab w:val="left" w:pos="1418"/>
      </w:tabs>
      <w:ind w:left="1418" w:hanging="1418"/>
      <w:jc w:val="both"/>
      <w:outlineLvl w:val="4"/>
    </w:pPr>
  </w:style>
  <w:style w:type="paragraph" w:styleId="berschrift6">
    <w:name w:val="heading 6"/>
    <w:basedOn w:val="berschrift3"/>
    <w:next w:val="KeinAbsatzformat"/>
    <w:link w:val="berschrift6Zchn"/>
    <w:uiPriority w:val="9"/>
    <w:unhideWhenUsed/>
    <w:qFormat/>
    <w:pPr>
      <w:keepNext/>
      <w:keepLines/>
      <w:outlineLvl w:val="5"/>
    </w:pPr>
    <w:rPr>
      <w:iCs/>
    </w:rPr>
  </w:style>
  <w:style w:type="paragraph" w:styleId="berschrift7">
    <w:name w:val="heading 7"/>
    <w:basedOn w:val="Standard"/>
    <w:next w:val="Standard"/>
    <w:link w:val="berschrift7Zchn"/>
    <w:qFormat/>
    <w:pPr>
      <w:keepNext/>
      <w:tabs>
        <w:tab w:val="num" w:pos="1296"/>
      </w:tabs>
      <w:spacing w:after="200" w:line="276" w:lineRule="auto"/>
      <w:ind w:left="1296" w:hanging="1296"/>
      <w:outlineLvl w:val="6"/>
    </w:pPr>
    <w:rPr>
      <w:sz w:val="22"/>
    </w:rPr>
  </w:style>
  <w:style w:type="paragraph" w:styleId="berschrift8">
    <w:name w:val="heading 8"/>
    <w:basedOn w:val="Standard"/>
    <w:next w:val="Standard"/>
    <w:link w:val="berschrift8Zchn"/>
    <w:qFormat/>
    <w:pPr>
      <w:tabs>
        <w:tab w:val="num" w:pos="1440"/>
      </w:tabs>
      <w:spacing w:before="240" w:after="60" w:line="276" w:lineRule="auto"/>
      <w:ind w:left="1440" w:hanging="1440"/>
      <w:outlineLvl w:val="7"/>
    </w:pPr>
    <w:rPr>
      <w:i/>
      <w:iCs/>
      <w:sz w:val="22"/>
      <w:szCs w:val="24"/>
    </w:rPr>
  </w:style>
  <w:style w:type="paragraph" w:styleId="berschrift9">
    <w:name w:val="heading 9"/>
    <w:basedOn w:val="Standard"/>
    <w:next w:val="Standard"/>
    <w:link w:val="berschrift9Zchn"/>
    <w:qFormat/>
    <w:pPr>
      <w:tabs>
        <w:tab w:val="num" w:pos="1584"/>
      </w:tabs>
      <w:spacing w:before="240" w:after="60" w:line="276" w:lineRule="auto"/>
      <w:ind w:left="1584" w:hanging="1584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_Headline 18 pt Zchn"/>
    <w:basedOn w:val="Absatz-Standardschriftart"/>
    <w:link w:val="berschrift1"/>
    <w:uiPriority w:val="9"/>
    <w:rPr>
      <w:rFonts w:ascii="Times New Roman" w:eastAsiaTheme="majorEastAsia" w:hAnsi="Times New Roman" w:cstheme="majorBidi"/>
      <w:bCs/>
      <w:color w:val="BECDD7" w:themeColor="background2"/>
      <w:sz w:val="52"/>
      <w:szCs w:val="28"/>
    </w:rPr>
  </w:style>
  <w:style w:type="paragraph" w:styleId="KeinLeerraum">
    <w:name w:val="No Spacing"/>
    <w:uiPriority w:val="1"/>
    <w:pPr>
      <w:spacing w:after="0" w:line="240" w:lineRule="auto"/>
    </w:pPr>
    <w:rPr>
      <w:sz w:val="20"/>
    </w:rPr>
  </w:style>
  <w:style w:type="character" w:customStyle="1" w:styleId="berschrift2Zchn">
    <w:name w:val="Überschrift 2 Zchn"/>
    <w:aliases w:val="_Headline Times 30 pt Zchn"/>
    <w:basedOn w:val="Absatz-Standardschriftart"/>
    <w:link w:val="berschrift2"/>
    <w:uiPriority w:val="9"/>
    <w:rPr>
      <w:rFonts w:ascii="Times New Roman" w:eastAsiaTheme="majorEastAsia" w:hAnsi="Times New Roman" w:cstheme="majorBidi"/>
      <w:bCs/>
      <w:color w:val="879BAA" w:themeColor="text2"/>
      <w:sz w:val="48"/>
      <w:szCs w:val="26"/>
    </w:rPr>
  </w:style>
  <w:style w:type="character" w:customStyle="1" w:styleId="berschrift3Zchn">
    <w:name w:val="Überschrift 3 Zchn"/>
    <w:aliases w:val="_Headline 11pt Zchn"/>
    <w:basedOn w:val="Absatz-Standardschriftart"/>
    <w:link w:val="berschrift3"/>
    <w:uiPriority w:val="9"/>
    <w:rPr>
      <w:rFonts w:eastAsiaTheme="majorEastAsia" w:cstheme="majorBidi"/>
      <w:b/>
      <w:color w:val="006487" w:themeColor="accent3"/>
      <w:szCs w:val="26"/>
    </w:rPr>
  </w:style>
  <w:style w:type="character" w:styleId="SchwacheHervorhebung">
    <w:name w:val="Subtle Emphasis"/>
    <w:basedOn w:val="Absatz-Standardschriftart"/>
    <w:uiPriority w:val="19"/>
    <w:qFormat/>
    <w:rPr>
      <w:b/>
      <w:i w:val="0"/>
      <w:iCs/>
      <w:color w:val="000000" w:themeColor="text1"/>
    </w:rPr>
  </w:style>
  <w:style w:type="character" w:styleId="Hervorhebung">
    <w:name w:val="Emphasis"/>
    <w:basedOn w:val="Absatz-Standardschriftart"/>
    <w:uiPriority w:val="20"/>
    <w:qFormat/>
    <w:rPr>
      <w:b/>
      <w:i w:val="0"/>
      <w:iCs/>
    </w:rPr>
  </w:style>
  <w:style w:type="paragraph" w:styleId="Zitat">
    <w:name w:val="Quote"/>
    <w:basedOn w:val="Standard"/>
    <w:next w:val="Standard"/>
    <w:link w:val="ZitatZchn"/>
    <w:uiPriority w:val="2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sz w:val="20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 w:val="0"/>
      <w:iCs/>
      <w:color w:val="879BAA" w:themeColor="text2"/>
    </w:rPr>
  </w:style>
  <w:style w:type="paragraph" w:styleId="IntensivesZitat">
    <w:name w:val="Intense Quote"/>
    <w:basedOn w:val="Standard"/>
    <w:next w:val="Standard"/>
    <w:link w:val="IntensivesZitatZchn"/>
    <w:uiPriority w:val="30"/>
    <w:pP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bCs/>
      <w:i/>
      <w:iCs/>
      <w:sz w:val="20"/>
    </w:rPr>
  </w:style>
  <w:style w:type="paragraph" w:styleId="Titel">
    <w:name w:val="Title"/>
    <w:basedOn w:val="Standard"/>
    <w:next w:val="Standard"/>
    <w:link w:val="TitelZchn"/>
    <w:uiPriority w:val="10"/>
    <w:pPr>
      <w:spacing w:after="300" w:line="240" w:lineRule="auto"/>
      <w:contextualSpacing/>
    </w:pPr>
    <w:rPr>
      <w:rFonts w:ascii="Times New Roman" w:eastAsiaTheme="majorEastAsia" w:hAnsi="Times New Roman" w:cstheme="majorBidi"/>
      <w:color w:val="879BAA" w:themeColor="text2"/>
      <w:spacing w:val="5"/>
      <w:kern w:val="28"/>
      <w:sz w:val="6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Times New Roman" w:eastAsiaTheme="majorEastAsia" w:hAnsi="Times New Roman" w:cstheme="majorBidi"/>
      <w:color w:val="879BAA" w:themeColor="text2"/>
      <w:spacing w:val="5"/>
      <w:kern w:val="28"/>
      <w:sz w:val="6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eastAsiaTheme="majorEastAsia" w:cstheme="majorBidi"/>
      <w:b/>
      <w:iCs/>
      <w:color w:val="879BAA" w:themeColor="text2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ajorEastAsia" w:cstheme="majorBidi"/>
      <w:b/>
      <w:iCs/>
      <w:color w:val="879BAA" w:themeColor="text2"/>
    </w:rPr>
  </w:style>
  <w:style w:type="paragraph" w:customStyle="1" w:styleId="Footer">
    <w:name w:val="_Footer"/>
    <w:basedOn w:val="KeinAbsatzformat"/>
    <w:next w:val="KeinAbsatzformat"/>
    <w:qFormat/>
    <w:rPr>
      <w:color w:val="879BAA" w:themeColor="text2"/>
      <w:sz w:val="15"/>
    </w:rPr>
  </w:style>
  <w:style w:type="paragraph" w:customStyle="1" w:styleId="KeinAbsatzformat">
    <w:name w:val="[Kein Absatzformat]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character" w:styleId="Kommentarzeichen">
    <w:name w:val="annotation reference"/>
    <w:basedOn w:val="Absatz-Standardschriftart"/>
    <w:uiPriority w:val="99"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aliases w:val="Highlight_Box_Stone 35%"/>
    <w:basedOn w:val="NormaleTabelle"/>
    <w:pPr>
      <w:spacing w:after="0" w:line="240" w:lineRule="auto"/>
    </w:pPr>
    <w:rPr>
      <w:color w:val="006487" w:themeColor="accent3"/>
      <w:sz w:val="20"/>
    </w:rPr>
    <w:tblPr>
      <w:tblCellMar>
        <w:top w:w="340" w:type="dxa"/>
        <w:left w:w="340" w:type="dxa"/>
        <w:bottom w:w="227" w:type="dxa"/>
        <w:right w:w="454" w:type="dxa"/>
      </w:tblCellMar>
    </w:tblPr>
    <w:tcPr>
      <w:shd w:val="clear" w:color="auto" w:fill="F2F5F7" w:themeFill="background2" w:themeFillTint="33"/>
    </w:tcPr>
  </w:style>
  <w:style w:type="character" w:styleId="IntensiverVerweis">
    <w:name w:val="Intense Reference"/>
    <w:basedOn w:val="Absatz-Standardschriftart"/>
    <w:uiPriority w:val="32"/>
    <w:rPr>
      <w:b/>
      <w:bCs/>
      <w:smallCaps/>
      <w:color w:val="D7D7CD" w:themeColor="accent2"/>
      <w:spacing w:val="5"/>
      <w:u w:val="single"/>
    </w:rPr>
  </w:style>
  <w:style w:type="character" w:customStyle="1" w:styleId="berschrift4Zchn">
    <w:name w:val="Überschrift 4 Zchn"/>
    <w:aliases w:val="_ Zchn"/>
    <w:basedOn w:val="Absatz-Standardschriftart"/>
    <w:link w:val="berschrift4"/>
    <w:uiPriority w:val="9"/>
    <w:rPr>
      <w:rFonts w:eastAsiaTheme="majorEastAsia" w:cstheme="majorBidi"/>
      <w:b/>
      <w:bCs/>
      <w:iCs/>
      <w:color w:val="006487" w:themeColor="accent3"/>
      <w:szCs w:val="26"/>
    </w:rPr>
  </w:style>
  <w:style w:type="paragraph" w:customStyle="1" w:styleId="CopyBulletpoints">
    <w:name w:val="_Copy Bulletpoints"/>
    <w:basedOn w:val="Standard"/>
    <w:qFormat/>
    <w:pPr>
      <w:numPr>
        <w:numId w:val="1"/>
      </w:numPr>
      <w:spacing w:after="240"/>
      <w:contextualSpacing/>
    </w:pPr>
    <w:rPr>
      <w:lang w:val="en-GB"/>
    </w:rPr>
  </w:style>
  <w:style w:type="paragraph" w:customStyle="1" w:styleId="Page">
    <w:name w:val="_Page"/>
    <w:next w:val="KeinAbsatzformat"/>
    <w:qFormat/>
    <w:pPr>
      <w:spacing w:after="0"/>
      <w:jc w:val="right"/>
    </w:pPr>
    <w:rPr>
      <w:b/>
      <w:sz w:val="18"/>
      <w:szCs w:val="18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Fuzeile">
    <w:name w:val="footer"/>
    <w:next w:val="KeinAbsatzformat"/>
    <w:link w:val="FuzeileZchn"/>
    <w:uiPriority w:val="99"/>
    <w:unhideWhenUsed/>
    <w:pPr>
      <w:tabs>
        <w:tab w:val="center" w:pos="4536"/>
        <w:tab w:val="right" w:pos="9072"/>
      </w:tabs>
      <w:spacing w:after="0" w:line="360" w:lineRule="auto"/>
    </w:pPr>
    <w:rPr>
      <w:color w:val="879BAA" w:themeColor="text2"/>
      <w:sz w:val="15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879BAA" w:themeColor="text2"/>
      <w:sz w:val="15"/>
    </w:rPr>
  </w:style>
  <w:style w:type="paragraph" w:customStyle="1" w:styleId="DoDontHeadline1">
    <w:name w:val="_Do/Don't Headline 1"/>
    <w:next w:val="KeinAbsatzformat"/>
    <w:qFormat/>
    <w:rPr>
      <w:rFonts w:eastAsiaTheme="majorEastAsia" w:cstheme="majorBidi"/>
      <w:b/>
      <w:bCs/>
      <w:noProof/>
      <w:color w:val="006487" w:themeColor="accent3"/>
      <w:szCs w:val="26"/>
      <w:lang w:val="en-GB"/>
    </w:rPr>
  </w:style>
  <w:style w:type="table" w:styleId="HelleSchattierung-Akzent5">
    <w:name w:val="Light Shading Accent 5"/>
    <w:basedOn w:val="NormaleTabelle"/>
    <w:uiPriority w:val="60"/>
    <w:pPr>
      <w:spacing w:after="0" w:line="240" w:lineRule="auto"/>
    </w:pPr>
    <w:rPr>
      <w:color w:val="4A1234" w:themeColor="accent5" w:themeShade="BF"/>
    </w:rPr>
    <w:tblPr>
      <w:tblStyleRowBandSize w:val="1"/>
      <w:tblStyleColBandSize w:val="1"/>
      <w:tblBorders>
        <w:top w:val="single" w:sz="8" w:space="0" w:color="641946" w:themeColor="accent5"/>
        <w:bottom w:val="single" w:sz="8" w:space="0" w:color="64194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1946" w:themeColor="accent5"/>
          <w:left w:val="nil"/>
          <w:bottom w:val="single" w:sz="8" w:space="0" w:color="64194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1946" w:themeColor="accent5"/>
          <w:left w:val="nil"/>
          <w:bottom w:val="single" w:sz="8" w:space="0" w:color="64194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B2D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B2D5" w:themeFill="accent5" w:themeFillTint="3F"/>
      </w:tcPr>
    </w:tblStylePr>
  </w:style>
  <w:style w:type="paragraph" w:customStyle="1" w:styleId="DoDontHeadline2">
    <w:name w:val="_Do/Don't Headline 2"/>
    <w:basedOn w:val="Standard"/>
    <w:qFormat/>
    <w:pPr>
      <w:contextualSpacing/>
    </w:pPr>
    <w:rPr>
      <w:b/>
      <w:color w:val="FFFFFF" w:themeColor="background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DoDontCopy">
    <w:name w:val="_Do/Don't Copy"/>
    <w:qFormat/>
    <w:pPr>
      <w:spacing w:after="40"/>
    </w:pPr>
    <w:rPr>
      <w:color w:val="FFFFFF" w:themeColor="background1"/>
      <w:sz w:val="20"/>
    </w:rPr>
  </w:style>
  <w:style w:type="paragraph" w:customStyle="1" w:styleId="HighlightboxGreyBulletpoints">
    <w:name w:val="_Highlightbox_Grey: Bulletpoints"/>
    <w:basedOn w:val="DoDontBulletpoints"/>
    <w:qFormat/>
    <w:pPr>
      <w:spacing w:after="120"/>
      <w:ind w:left="360" w:hanging="360"/>
    </w:pPr>
    <w:rPr>
      <w:b/>
      <w:color w:val="006487" w:themeColor="accent3"/>
      <w:sz w:val="20"/>
      <w:szCs w:val="20"/>
    </w:rPr>
  </w:style>
  <w:style w:type="paragraph" w:customStyle="1" w:styleId="DoDontBulletpoints">
    <w:name w:val="_Do/Don't Bulletpoints"/>
    <w:basedOn w:val="Standard"/>
    <w:qFormat/>
    <w:pPr>
      <w:numPr>
        <w:numId w:val="3"/>
      </w:numPr>
      <w:spacing w:line="240" w:lineRule="auto"/>
      <w:ind w:left="284" w:hanging="284"/>
    </w:pPr>
    <w:rPr>
      <w:color w:val="FFFFFF" w:themeColor="background1"/>
      <w:sz w:val="18"/>
    </w:rPr>
  </w:style>
  <w:style w:type="paragraph" w:customStyle="1" w:styleId="HighlightboxGreyHeadlineNaturalBlue">
    <w:name w:val="_Highlightbox_Grey: Headline Natural Blue"/>
    <w:basedOn w:val="Standard"/>
    <w:qFormat/>
    <w:pPr>
      <w:tabs>
        <w:tab w:val="left" w:pos="426"/>
      </w:tabs>
      <w:spacing w:after="120" w:line="240" w:lineRule="auto"/>
    </w:pPr>
    <w:rPr>
      <w:b/>
      <w:color w:val="006487" w:themeColor="accent3"/>
    </w:rPr>
  </w:style>
  <w:style w:type="paragraph" w:customStyle="1" w:styleId="ExamplesCopy">
    <w:name w:val="_Examples Copy"/>
    <w:basedOn w:val="Standard"/>
    <w:pPr>
      <w:tabs>
        <w:tab w:val="left" w:pos="426"/>
      </w:tabs>
      <w:spacing w:after="0" w:line="240" w:lineRule="auto"/>
      <w:ind w:right="227"/>
      <w:contextualSpacing/>
    </w:pPr>
    <w:rPr>
      <w:b/>
      <w:i/>
      <w:color w:val="006487" w:themeColor="accent3"/>
    </w:rPr>
  </w:style>
  <w:style w:type="character" w:styleId="SchwacherVerweis">
    <w:name w:val="Subtle Reference"/>
    <w:basedOn w:val="Absatz-Standardschriftart"/>
    <w:uiPriority w:val="31"/>
    <w:rPr>
      <w:caps w:val="0"/>
      <w:smallCaps w:val="0"/>
      <w:color w:val="BECDD7" w:themeColor="background2"/>
      <w:u w:val="none"/>
    </w:rPr>
  </w:style>
  <w:style w:type="paragraph" w:customStyle="1" w:styleId="HighlightboxGreyCopy">
    <w:name w:val="_Highlightbox_Grey: Copy"/>
    <w:basedOn w:val="HighlightboxGreyHeadlineNaturalBlue"/>
    <w:qFormat/>
    <w:rPr>
      <w:b w:val="0"/>
    </w:rPr>
  </w:style>
  <w:style w:type="character" w:styleId="Buchtitel">
    <w:name w:val="Book Title"/>
    <w:basedOn w:val="Absatz-Standardschriftart"/>
    <w:uiPriority w:val="33"/>
    <w:rPr>
      <w:b w:val="0"/>
      <w:bCs/>
      <w:i/>
      <w:caps w:val="0"/>
      <w:smallCaps w:val="0"/>
      <w:spacing w:val="0"/>
    </w:rPr>
  </w:style>
  <w:style w:type="paragraph" w:customStyle="1" w:styleId="Underlinepictures">
    <w:name w:val="_Underline: pictures"/>
    <w:aliases w:val="graphics,tables"/>
    <w:basedOn w:val="KeinAbsatzformat"/>
    <w:qFormat/>
    <w:pPr>
      <w:spacing w:before="113" w:after="454"/>
      <w:ind w:left="454"/>
    </w:pPr>
    <w:rPr>
      <w:rFonts w:ascii="Arial" w:hAnsi="Arial" w:cs="Arial"/>
      <w:i/>
      <w:sz w:val="18"/>
      <w:szCs w:val="18"/>
    </w:rPr>
  </w:style>
  <w:style w:type="character" w:customStyle="1" w:styleId="Naturalblue">
    <w:name w:val="_Natural blue"/>
    <w:basedOn w:val="Absatz-Standardschriftart"/>
    <w:uiPriority w:val="1"/>
    <w:qFormat/>
    <w:rPr>
      <w:color w:val="006487" w:themeColor="accent3"/>
    </w:rPr>
  </w:style>
  <w:style w:type="paragraph" w:customStyle="1" w:styleId="Numbers">
    <w:name w:val="_Numbers"/>
    <w:basedOn w:val="Standard"/>
    <w:qFormat/>
    <w:pPr>
      <w:numPr>
        <w:numId w:val="2"/>
      </w:numPr>
      <w:tabs>
        <w:tab w:val="left" w:pos="426"/>
      </w:tabs>
      <w:ind w:left="442" w:hanging="357"/>
      <w:contextualSpacing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Pr>
      <w:sz w:val="15"/>
    </w:rPr>
  </w:style>
  <w:style w:type="paragraph" w:customStyle="1" w:styleId="Header">
    <w:name w:val="_Header"/>
    <w:next w:val="KeinAbsatzformat"/>
    <w:qFormat/>
    <w:rPr>
      <w:sz w:val="15"/>
    </w:rPr>
  </w:style>
  <w:style w:type="table" w:customStyle="1" w:styleId="HelleSchattierung-Akzent11">
    <w:name w:val="Helle Schattierung - Akzent 11"/>
    <w:basedOn w:val="NormaleTabelle"/>
    <w:uiPriority w:val="60"/>
    <w:pPr>
      <w:spacing w:after="0" w:line="240" w:lineRule="auto"/>
    </w:pPr>
    <w:rPr>
      <w:color w:val="84846B" w:themeColor="accent1" w:themeShade="BF"/>
    </w:rPr>
    <w:tblPr>
      <w:tblStyleRowBandSize w:val="1"/>
      <w:tblStyleColBandSize w:val="1"/>
      <w:tblBorders>
        <w:top w:val="single" w:sz="8" w:space="0" w:color="AAAA96" w:themeColor="accent1"/>
        <w:bottom w:val="single" w:sz="8" w:space="0" w:color="AAAA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A96" w:themeColor="accent1"/>
          <w:left w:val="nil"/>
          <w:bottom w:val="single" w:sz="8" w:space="0" w:color="AAAA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A96" w:themeColor="accent1"/>
          <w:left w:val="nil"/>
          <w:bottom w:val="single" w:sz="8" w:space="0" w:color="AAAA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A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AE5" w:themeFill="accent1" w:themeFillTint="3F"/>
      </w:tcPr>
    </w:tblStylePr>
  </w:style>
  <w:style w:type="table" w:styleId="HelleListe-Akzent3">
    <w:name w:val="Light List Accent 3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6487" w:themeColor="accent3"/>
        <w:left w:val="single" w:sz="8" w:space="0" w:color="006487" w:themeColor="accent3"/>
        <w:bottom w:val="single" w:sz="8" w:space="0" w:color="006487" w:themeColor="accent3"/>
        <w:right w:val="single" w:sz="8" w:space="0" w:color="00648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4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  <w:tblStylePr w:type="band1Horz">
      <w:tblPr/>
      <w:tcPr>
        <w:tcBorders>
          <w:top w:val="single" w:sz="8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</w:style>
  <w:style w:type="table" w:customStyle="1" w:styleId="Head">
    <w:name w:val="Head"/>
    <w:basedOn w:val="NormaleTabelle"/>
    <w:uiPriority w:val="99"/>
    <w:pPr>
      <w:spacing w:after="0" w:line="240" w:lineRule="auto"/>
    </w:pPr>
    <w:rPr>
      <w:sz w:val="15"/>
    </w:rPr>
    <w:tblPr>
      <w:tblCellMar>
        <w:top w:w="85" w:type="dxa"/>
        <w:left w:w="0" w:type="dxa"/>
        <w:bottom w:w="91" w:type="dxa"/>
        <w:right w:w="0" w:type="dxa"/>
      </w:tblCellMar>
    </w:tblPr>
    <w:tcPr>
      <w:shd w:val="clear" w:color="auto" w:fill="F2F5F7" w:themeFill="background2" w:themeFillTint="33"/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9BAA" w:themeFill="text2"/>
      </w:tcPr>
    </w:tblStylePr>
  </w:style>
  <w:style w:type="table" w:styleId="HelleListe-Akzent2">
    <w:name w:val="Light List Accent 2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D7D7CD" w:themeColor="accent2"/>
        <w:left w:val="single" w:sz="8" w:space="0" w:color="D7D7CD" w:themeColor="accent2"/>
        <w:bottom w:val="single" w:sz="8" w:space="0" w:color="D7D7CD" w:themeColor="accent2"/>
        <w:right w:val="single" w:sz="8" w:space="0" w:color="D7D7C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D7C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  <w:tblStylePr w:type="band1Horz">
      <w:tblPr/>
      <w:tcPr>
        <w:tcBorders>
          <w:top w:val="single" w:sz="8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</w:style>
  <w:style w:type="table" w:customStyle="1" w:styleId="Invisible">
    <w:name w:val="Invisible"/>
    <w:basedOn w:val="NormaleTabelle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eastAsiaTheme="majorEastAsia" w:cstheme="majorBidi"/>
      <w:b/>
      <w:color w:val="006487" w:themeColor="accent3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eastAsiaTheme="majorEastAsia" w:cstheme="majorBidi"/>
      <w:b/>
      <w:iCs/>
      <w:color w:val="006487" w:themeColor="accent3"/>
      <w:szCs w:val="26"/>
    </w:rPr>
  </w:style>
  <w:style w:type="numbering" w:customStyle="1" w:styleId="Formatvorlage1">
    <w:name w:val="Formatvorlage1"/>
    <w:uiPriority w:val="99"/>
    <w:pPr>
      <w:numPr>
        <w:numId w:val="5"/>
      </w:numPr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pPr>
      <w:spacing w:after="200" w:line="276" w:lineRule="auto"/>
    </w:pPr>
    <w:rPr>
      <w:sz w:val="22"/>
    </w:rPr>
  </w:style>
  <w:style w:type="character" w:customStyle="1" w:styleId="FunotentextZchn">
    <w:name w:val="Fußnotentext Zchn"/>
    <w:basedOn w:val="Absatz-Standardschriftart"/>
    <w:link w:val="Funotentext"/>
    <w:uiPriority w:val="99"/>
  </w:style>
  <w:style w:type="paragraph" w:customStyle="1" w:styleId="eManualAufzhlunga">
    <w:name w:val="eManual Aufzählung a"/>
    <w:aliases w:val="b"/>
    <w:basedOn w:val="Standard"/>
    <w:uiPriority w:val="99"/>
    <w:pPr>
      <w:numPr>
        <w:numId w:val="6"/>
      </w:numPr>
      <w:spacing w:after="200" w:line="360" w:lineRule="atLeast"/>
      <w:jc w:val="both"/>
    </w:pPr>
    <w:rPr>
      <w:rFonts w:cs="Arial"/>
      <w:sz w:val="22"/>
    </w:rPr>
  </w:style>
  <w:style w:type="character" w:styleId="Funotenzeichen">
    <w:name w:val="footnote reference"/>
    <w:basedOn w:val="Absatz-Standardschriftart"/>
    <w:unhideWhenUsed/>
    <w:rPr>
      <w:vertAlign w:val="superscript"/>
    </w:rPr>
  </w:style>
  <w:style w:type="character" w:customStyle="1" w:styleId="berschrift7Zchn">
    <w:name w:val="Überschrift 7 Zchn"/>
    <w:basedOn w:val="Absatz-Standardschriftart"/>
    <w:link w:val="berschrift7"/>
  </w:style>
  <w:style w:type="character" w:customStyle="1" w:styleId="berschrift8Zchn">
    <w:name w:val="Überschrift 8 Zchn"/>
    <w:basedOn w:val="Absatz-Standardschriftart"/>
    <w:link w:val="berschrift8"/>
    <w:rPr>
      <w:i/>
      <w:iCs/>
      <w:szCs w:val="24"/>
    </w:rPr>
  </w:style>
  <w:style w:type="character" w:customStyle="1" w:styleId="berschrift9Zchn">
    <w:name w:val="Überschrift 9 Zchn"/>
    <w:basedOn w:val="Absatz-Standardschriftart"/>
    <w:link w:val="berschrift9"/>
    <w:rPr>
      <w:rFonts w:cs="Arial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yperlink1">
    <w:name w:val="hyperlink1"/>
    <w:basedOn w:val="Absatz-Standardschriftart"/>
    <w:rPr>
      <w:strike w:val="0"/>
      <w:dstrike w:val="0"/>
      <w:color w:val="990000"/>
      <w:u w:val="none"/>
      <w:effect w:val="non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table" w:customStyle="1" w:styleId="HighlightBoxStone351">
    <w:name w:val="Highlight_Box_Stone 35%1"/>
    <w:basedOn w:val="NormaleTabelle"/>
    <w:next w:val="Tabellenraster"/>
    <w:uiPriority w:val="59"/>
    <w:pPr>
      <w:spacing w:after="0" w:line="240" w:lineRule="auto"/>
    </w:pPr>
    <w:rPr>
      <w:color w:val="006487" w:themeColor="accent3"/>
      <w:sz w:val="20"/>
    </w:rPr>
    <w:tblPr>
      <w:tblCellMar>
        <w:top w:w="340" w:type="dxa"/>
        <w:left w:w="340" w:type="dxa"/>
        <w:bottom w:w="227" w:type="dxa"/>
        <w:right w:w="454" w:type="dxa"/>
      </w:tblCellMar>
    </w:tblPr>
    <w:tcPr>
      <w:shd w:val="clear" w:color="auto" w:fill="F2F5F7" w:themeFill="background2" w:themeFillTint="33"/>
    </w:tcPr>
  </w:style>
  <w:style w:type="character" w:styleId="NichtaufgelsteErwhnung">
    <w:name w:val="Unresolved Mention"/>
    <w:basedOn w:val="Absatz-Standardschriftart"/>
    <w:uiPriority w:val="99"/>
    <w:semiHidden/>
    <w:unhideWhenUsed/>
    <w:rsid w:val="00CA2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6802">
                  <w:marLeft w:val="2256"/>
                  <w:marRight w:val="2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4932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8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6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4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5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74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62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35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890">
          <w:marLeft w:val="56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425">
          <w:marLeft w:val="56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tranet.for.siemens.com/cms/059/en/about/org/Pages/legal_cmp.aspx" TargetMode="External"/><Relationship Id="rId18" Type="http://schemas.openxmlformats.org/officeDocument/2006/relationships/hyperlink" Target="https://scd.siemens.com/luz/IdentitySearch?cn=BOETTCHER+FRIEDRICH+GEORG+Z001PJ1T&amp;tcgid=Z001PJ1T&amp;c=CO&amp;o=SIEMENS&amp;ou=EM&amp;l=TEJ+B&amp;department=LC+LAM+RC-CO&amp;&amp;utI=I&amp;utX=X&amp;utT=T&amp;rtH=H&amp;rtS=S&amp;rtZ=Z&amp;rtO=O&amp;rtAktiv=A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intranet.for.siemens.com/cms/059/en/about/org/Pages/legal_cmp.aspx" TargetMode="External"/><Relationship Id="rId17" Type="http://schemas.openxmlformats.org/officeDocument/2006/relationships/hyperlink" Target="https://scd.siemens.com/luz/IdentitySearch?cn=BOETTCHER+GEORG+Z001PJ1T&amp;tcgid=Z001PJ1T&amp;c=DE&amp;o=SIEMENS&amp;ou=LC&amp;l=MCH+P&amp;department=LC+M%26A+CMP&amp;&amp;utI=I&amp;utX=X&amp;utT=T&amp;rtH=H&amp;rtS=S&amp;rtZ=Z&amp;rtO=O&amp;rtAktiv=A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cd.siemens.com/luz/IdentitySearch?cn=KRAUS+ANNETTE+Z002K99S&amp;tcgid=Z002K99S&amp;c=DE&amp;o=SIEMENS&amp;ou=LC&amp;l=MCH+P&amp;department=LC+CO+IR&amp;&amp;utI=I&amp;utX=X&amp;utT=T&amp;rtH=H&amp;rtS=S&amp;rtZ=Z&amp;rtO=O&amp;rtAktiv=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tranet.legal-compliance.siemens.com/docs/2019_SAG_BCG_English_FINAL.pdf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scd.siemens.com/luz/IdentitySearch?cn=BOETTCHER+FRIEDRICH+GEORG+Z001PJ1T&amp;tcgid=Z001PJ1T&amp;c=CO&amp;o=SIEMENS&amp;ou=EM&amp;l=TEJ+B&amp;department=LC+LAM+RC-CO&amp;&amp;utI=I&amp;utX=X&amp;utT=T&amp;rtH=H&amp;rtS=S&amp;rtZ=Z&amp;rtO=O&amp;rtAktiv=A" TargetMode="Externa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ntranet.for.siemens.com/cms/059/de/about/org/Pages/compliance_organization.aspx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3d9vu\AppData\Local\Microsoft\Windows\Temporary%20Internet%20Files\Content.Outlook\KT277LDL\SCL_140916_Legal_Handbook_Template_Lay07.dotx" TargetMode="External"/></Relationships>
</file>

<file path=word/theme/theme1.xml><?xml version="1.0" encoding="utf-8"?>
<a:theme xmlns:a="http://schemas.openxmlformats.org/drawingml/2006/main" name="SIM_newsletter">
  <a:themeElements>
    <a:clrScheme name="Siemens AG">
      <a:dk1>
        <a:sysClr val="windowText" lastClr="000000"/>
      </a:dk1>
      <a:lt1>
        <a:sysClr val="window" lastClr="FFFFFF"/>
      </a:lt1>
      <a:dk2>
        <a:srgbClr val="879BAA"/>
      </a:dk2>
      <a:lt2>
        <a:srgbClr val="BECDD7"/>
      </a:lt2>
      <a:accent1>
        <a:srgbClr val="AAAA96"/>
      </a:accent1>
      <a:accent2>
        <a:srgbClr val="D7D7CD"/>
      </a:accent2>
      <a:accent3>
        <a:srgbClr val="006487"/>
      </a:accent3>
      <a:accent4>
        <a:srgbClr val="647D2D"/>
      </a:accent4>
      <a:accent5>
        <a:srgbClr val="641946"/>
      </a:accent5>
      <a:accent6>
        <a:srgbClr val="EB780A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e1f5f8-4a5f-4619-969f-c34e20667274">
      <Value>99</Value>
    </TaxCatchAll>
    <MaintainPublication xmlns="91B9760D-53D8-425F-9F7F-8911CF84EED2">Publish</MaintainPublication>
    <nb766c42a6d34ad7b224884871f9394f xmlns="91b9760d-53d8-425f-9f7f-8911cf84eed2">
      <Terms xmlns="http://schemas.microsoft.com/office/infopath/2007/PartnerControls">
        <TermInfo xmlns="http://schemas.microsoft.com/office/infopath/2007/PartnerControls">
          <TermName xmlns="http://schemas.microsoft.com/office/infopath/2007/PartnerControls">B. Antitrust</TermName>
          <TermId xmlns="http://schemas.microsoft.com/office/infopath/2007/PartnerControls">72fd58d9-2249-4182-9c40-4cad31185cc0</TermId>
        </TermInfo>
      </Terms>
    </nb766c42a6d34ad7b224884871f9394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ource Library Content Type" ma:contentTypeID="0x010100DA792F68E16F46C1935D46987B61C0F50099EFCC051DBFF746BCEF6C3628588333" ma:contentTypeVersion="3" ma:contentTypeDescription="Source Library Content Type" ma:contentTypeScope="" ma:versionID="52b79649b671b7cf6b980e9492bceffc">
  <xsd:schema xmlns:xsd="http://www.w3.org/2001/XMLSchema" xmlns:xs="http://www.w3.org/2001/XMLSchema" xmlns:p="http://schemas.microsoft.com/office/2006/metadata/properties" xmlns:ns2="91B9760D-53D8-425F-9F7F-8911CF84EED2" xmlns:ns3="91b9760d-53d8-425f-9f7f-8911cf84eed2" xmlns:ns4="6ee1f5f8-4a5f-4619-969f-c34e20667274" targetNamespace="http://schemas.microsoft.com/office/2006/metadata/properties" ma:root="true" ma:fieldsID="ab9dd9530a4bae8b2da3ad282918049b" ns2:_="" ns3:_="" ns4:_="">
    <xsd:import namespace="91B9760D-53D8-425F-9F7F-8911CF84EED2"/>
    <xsd:import namespace="91b9760d-53d8-425f-9f7f-8911cf84eed2"/>
    <xsd:import namespace="6ee1f5f8-4a5f-4619-969f-c34e20667274"/>
    <xsd:element name="properties">
      <xsd:complexType>
        <xsd:sequence>
          <xsd:element name="documentManagement">
            <xsd:complexType>
              <xsd:all>
                <xsd:element ref="ns2:MaintainPublication"/>
                <xsd:element ref="ns3:nb766c42a6d34ad7b224884871f9394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9760D-53D8-425F-9F7F-8911CF84EED2" elementFormDefault="qualified">
    <xsd:import namespace="http://schemas.microsoft.com/office/2006/documentManagement/types"/>
    <xsd:import namespace="http://schemas.microsoft.com/office/infopath/2007/PartnerControls"/>
    <xsd:element name="MaintainPublication" ma:index="9" ma:displayName="Maintain publication" ma:default="Publish" ma:format="Dropdown" ma:internalName="MaintainPublication">
      <xsd:simpleType>
        <xsd:restriction base="dms:Choice">
          <xsd:enumeration value="Publish"/>
          <xsd:enumeration value="Ignore"/>
          <xsd:enumeration value="Un-publish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9760d-53d8-425f-9f7f-8911cf84eed2" elementFormDefault="qualified">
    <xsd:import namespace="http://schemas.microsoft.com/office/2006/documentManagement/types"/>
    <xsd:import namespace="http://schemas.microsoft.com/office/infopath/2007/PartnerControls"/>
    <xsd:element name="nb766c42a6d34ad7b224884871f9394f" ma:index="11" nillable="true" ma:taxonomy="true" ma:internalName="nb766c42a6d34ad7b224884871f9394f" ma:taxonomyFieldName="TOC" ma:displayName="TOC" ma:default="" ma:fieldId="{7b766c42-a6d3-4ad7-b224-884871f9394f}" ma:sspId="407be2cf-81e9-4a29-bb69-6cc8cd970df2" ma:termSetId="fc876880-718d-4551-830e-d86cc8c7db1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1f5f8-4a5f-4619-969f-c34e206672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37966c-1784-403a-a85c-bfb82e633b6a}" ma:internalName="TaxCatchAll" ma:showField="CatchAllData" ma:web="6ee1f5f8-4a5f-4619-969f-c34e206672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C410B-8DA4-4E57-8D14-A0D69B388DE0}">
  <ds:schemaRefs>
    <ds:schemaRef ds:uri="http://schemas.microsoft.com/office/2006/documentManagement/types"/>
    <ds:schemaRef ds:uri="91b9760d-53d8-425f-9f7f-8911cf84eed2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6ee1f5f8-4a5f-4619-969f-c34e20667274"/>
    <ds:schemaRef ds:uri="http://purl.org/dc/terms/"/>
    <ds:schemaRef ds:uri="91B9760D-53D8-425F-9F7F-8911CF84EED2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340680D-646E-4F44-BA00-04EB703E5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99D60-3808-495B-8C09-681256B8F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9760D-53D8-425F-9F7F-8911CF84EED2"/>
    <ds:schemaRef ds:uri="91b9760d-53d8-425f-9f7f-8911cf84eed2"/>
    <ds:schemaRef ds:uri="6ee1f5f8-4a5f-4619-969f-c34e20667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8F78B3-76BD-4539-997C-445E3BB5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SCL_140916_Legal_Handbook_Template_Lay07.dotx</Template>
  <TotalTime>0</TotalTime>
  <Pages>3</Pages>
  <Words>706</Words>
  <Characters>4453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Schieber, Franziska</dc:creator>
  <cp:keywords>C_Restricted</cp:keywords>
  <dc:description/>
  <cp:lastModifiedBy>Hamm-Dueppe, Yvonne (LC CO RFC LF)</cp:lastModifiedBy>
  <cp:revision>51</cp:revision>
  <cp:lastPrinted>2015-08-31T13:30:00Z</cp:lastPrinted>
  <dcterms:created xsi:type="dcterms:W3CDTF">2018-06-24T19:38:00Z</dcterms:created>
  <dcterms:modified xsi:type="dcterms:W3CDTF">2020-09-28T11:11:00Z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0x010100DA792F68E16F46C1935D46987B61C0F50099EFCC051DBFF746BCEF6C3628588333</vt:lpwstr>
  </property>
  <property fmtid="{D5CDD505-2E9C-101B-9397-08002B2CF9AE}" pid="4" name="TOC">
    <vt:lpwstr>99;#B. Antitrust|72fd58d9-2249-4182-9c40-4cad31185cc0</vt:lpwstr>
  </property>
  <property fmtid="{D5CDD505-2E9C-101B-9397-08002B2CF9AE}" pid="5" name="Document Confidentiality">
    <vt:lpwstr>Restricted</vt:lpwstr>
  </property>
  <property fmtid="{D5CDD505-2E9C-101B-9397-08002B2CF9AE}" pid="6" name="MSIP_Label_a59b6cd5-d141-4a33-8bf1-0ca04484304f_Enabled">
    <vt:lpwstr>true</vt:lpwstr>
  </property>
  <property fmtid="{D5CDD505-2E9C-101B-9397-08002B2CF9AE}" pid="7" name="MSIP_Label_a59b6cd5-d141-4a33-8bf1-0ca04484304f_SetDate">
    <vt:lpwstr>2020-09-11T06:42:32Z</vt:lpwstr>
  </property>
  <property fmtid="{D5CDD505-2E9C-101B-9397-08002B2CF9AE}" pid="8" name="MSIP_Label_a59b6cd5-d141-4a33-8bf1-0ca04484304f_Method">
    <vt:lpwstr>Standard</vt:lpwstr>
  </property>
  <property fmtid="{D5CDD505-2E9C-101B-9397-08002B2CF9AE}" pid="9" name="MSIP_Label_a59b6cd5-d141-4a33-8bf1-0ca04484304f_Name">
    <vt:lpwstr>restricted-default</vt:lpwstr>
  </property>
  <property fmtid="{D5CDD505-2E9C-101B-9397-08002B2CF9AE}" pid="10" name="MSIP_Label_a59b6cd5-d141-4a33-8bf1-0ca04484304f_SiteId">
    <vt:lpwstr>38ae3bcd-9579-4fd4-adda-b42e1495d55a</vt:lpwstr>
  </property>
  <property fmtid="{D5CDD505-2E9C-101B-9397-08002B2CF9AE}" pid="11" name="MSIP_Label_a59b6cd5-d141-4a33-8bf1-0ca04484304f_ActionId">
    <vt:lpwstr>306dc031-3dff-4b0b-8441-ed29caafdd50</vt:lpwstr>
  </property>
  <property fmtid="{D5CDD505-2E9C-101B-9397-08002B2CF9AE}" pid="12" name="MSIP_Label_a59b6cd5-d141-4a33-8bf1-0ca04484304f_ContentBits">
    <vt:lpwstr>0</vt:lpwstr>
  </property>
  <property fmtid="{D5CDD505-2E9C-101B-9397-08002B2CF9AE}" pid="13" name="Document_Confidentiality">
    <vt:lpwstr>Restricted</vt:lpwstr>
  </property>
</Properties>
</file>