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9D91F" w14:textId="7A429D2B" w:rsidR="00510827" w:rsidRPr="009D3868" w:rsidRDefault="004B1C2B" w:rsidP="009D3868">
      <w:pPr>
        <w:tabs>
          <w:tab w:val="center" w:pos="5042"/>
        </w:tabs>
        <w:rPr>
          <w:rFonts w:ascii="Times New Roman" w:hAnsi="Times New Roman" w:cs="Times New Roman"/>
          <w:color w:val="879BAA" w:themeColor="text2"/>
          <w:sz w:val="52"/>
          <w:szCs w:val="52"/>
        </w:rPr>
      </w:pPr>
      <w:bookmarkStart w:id="0" w:name="_Ref462314903"/>
      <w:r w:rsidRPr="009D3868">
        <w:rPr>
          <w:rFonts w:ascii="Times New Roman" w:hAnsi="Times New Roman" w:cs="Times New Roman"/>
          <w:color w:val="879BAA" w:themeColor="text2"/>
          <w:sz w:val="52"/>
          <w:szCs w:val="52"/>
        </w:rPr>
        <w:t>4</w:t>
      </w:r>
      <w:r w:rsidR="00AF325F" w:rsidRPr="009D3868">
        <w:rPr>
          <w:rFonts w:ascii="Times New Roman" w:hAnsi="Times New Roman" w:cs="Times New Roman"/>
          <w:color w:val="879BAA" w:themeColor="text2"/>
          <w:sz w:val="52"/>
          <w:szCs w:val="52"/>
        </w:rPr>
        <w:t>.</w:t>
      </w:r>
      <w:bookmarkStart w:id="1" w:name="_Toc456708447"/>
      <w:bookmarkEnd w:id="0"/>
      <w:r w:rsidR="00AF325F" w:rsidRPr="009D3868">
        <w:rPr>
          <w:rFonts w:ascii="Times New Roman" w:hAnsi="Times New Roman" w:cs="Times New Roman"/>
          <w:color w:val="879BAA" w:themeColor="text2"/>
          <w:sz w:val="52"/>
          <w:szCs w:val="52"/>
        </w:rPr>
        <w:t xml:space="preserve"> </w:t>
      </w:r>
      <w:r w:rsidR="002461EA" w:rsidRPr="009D3868">
        <w:rPr>
          <w:rFonts w:ascii="Times New Roman" w:hAnsi="Times New Roman" w:cs="Times New Roman"/>
          <w:color w:val="879BAA" w:themeColor="text2"/>
          <w:sz w:val="52"/>
          <w:szCs w:val="52"/>
        </w:rPr>
        <w:t>Outgoing and incoming payments</w:t>
      </w:r>
      <w:r w:rsidR="00257675" w:rsidRPr="009D3868">
        <w:rPr>
          <w:rFonts w:ascii="Times New Roman" w:hAnsi="Times New Roman" w:cs="Times New Roman"/>
          <w:color w:val="879BAA" w:themeColor="text2"/>
          <w:sz w:val="52"/>
          <w:szCs w:val="52"/>
        </w:rPr>
        <w:t xml:space="preserve"> </w:t>
      </w:r>
    </w:p>
    <w:p w14:paraId="4F4D1473" w14:textId="49BA6AA4" w:rsidR="00510827" w:rsidRDefault="00510827" w:rsidP="00510827">
      <w:pPr>
        <w:rPr>
          <w:bCs/>
        </w:rPr>
      </w:pPr>
      <w:r w:rsidRPr="009004E6">
        <w:rPr>
          <w:bCs/>
        </w:rPr>
        <w:t xml:space="preserve">Outgoing </w:t>
      </w:r>
      <w:r w:rsidR="00257675" w:rsidRPr="009004E6">
        <w:rPr>
          <w:bCs/>
        </w:rPr>
        <w:t xml:space="preserve">and incoming payments can involve risks for Siemens, inter alia, from an anti-corruption or anti-money laundering perspective. </w:t>
      </w:r>
      <w:r w:rsidR="00257675" w:rsidRPr="009004E6">
        <w:rPr>
          <w:bCs/>
        </w:rPr>
        <w:br/>
        <w:t xml:space="preserve">The former Compliance </w:t>
      </w:r>
      <w:r w:rsidR="00257675" w:rsidRPr="009004E6">
        <w:t>High Risk Payment Process</w:t>
      </w:r>
      <w:r w:rsidR="00257675" w:rsidRPr="009004E6">
        <w:rPr>
          <w:bCs/>
        </w:rPr>
        <w:t xml:space="preserve"> (not to be confused with Payment Alerts from Finavigate® - refer below) is discontinued effective 1</w:t>
      </w:r>
      <w:r w:rsidR="009004E6" w:rsidRPr="009004E6">
        <w:rPr>
          <w:bCs/>
          <w:vertAlign w:val="superscript"/>
        </w:rPr>
        <w:t>st</w:t>
      </w:r>
      <w:r w:rsidR="009004E6">
        <w:rPr>
          <w:bCs/>
        </w:rPr>
        <w:t xml:space="preserve"> of </w:t>
      </w:r>
      <w:r w:rsidR="00257675" w:rsidRPr="009004E6">
        <w:rPr>
          <w:bCs/>
        </w:rPr>
        <w:t xml:space="preserve">October 2020. The abolishing of the process is possible as the existing processes from other Governance Owners adequately cover the requirements without the necessity for additional standard Compliance payments controls. Nevertheless, awareness of Outgoing / Incoming Payments is essential for a comprehensive Compliance risk identification, </w:t>
      </w:r>
      <w:proofErr w:type="gramStart"/>
      <w:r w:rsidR="00257675" w:rsidRPr="009004E6">
        <w:rPr>
          <w:bCs/>
        </w:rPr>
        <w:t>assessment</w:t>
      </w:r>
      <w:proofErr w:type="gramEnd"/>
      <w:r w:rsidR="00257675" w:rsidRPr="009004E6">
        <w:rPr>
          <w:bCs/>
        </w:rPr>
        <w:t xml:space="preserve"> and potential local mitigation. </w:t>
      </w:r>
    </w:p>
    <w:p w14:paraId="05DA38A8" w14:textId="68946970" w:rsidR="00510827" w:rsidRDefault="00257675" w:rsidP="00510827">
      <w:pPr>
        <w:rPr>
          <w:bCs/>
        </w:rPr>
      </w:pPr>
      <w:r w:rsidRPr="009004E6">
        <w:rPr>
          <w:bCs/>
        </w:rPr>
        <w:t xml:space="preserve">Therefore, in the event of elevated Compliance risks, local mitigating measures should still be implemented e.g. payment blocks for high risk third parties / transactions, monitoring of manual / non-ERP payment processes. </w:t>
      </w:r>
    </w:p>
    <w:p w14:paraId="2E371704" w14:textId="375595ED" w:rsidR="00510827" w:rsidRPr="00510827" w:rsidRDefault="00257675" w:rsidP="00510827">
      <w:r w:rsidRPr="009004E6">
        <w:rPr>
          <w:bCs/>
        </w:rPr>
        <w:t>In the following chapters, you will find an overview about the tasks of Corporate Compliance involvement as well as the obligations of Compliance Officers and their contribution in the main processes associated with payments.</w:t>
      </w:r>
    </w:p>
    <w:p w14:paraId="56BC6615" w14:textId="0BD39140" w:rsidR="00257675" w:rsidRDefault="00257675" w:rsidP="009004E6">
      <w:pPr>
        <w:pStyle w:val="berschrift2"/>
        <w:tabs>
          <w:tab w:val="left" w:pos="3570"/>
        </w:tabs>
        <w:spacing w:after="480"/>
        <w:ind w:left="720" w:hanging="720"/>
      </w:pPr>
      <w:bookmarkStart w:id="2" w:name="_5.2.1._Non-Finavigate®_payments"/>
      <w:bookmarkStart w:id="3" w:name="_5.2.2._Cross-border_business"/>
      <w:bookmarkStart w:id="4" w:name="_5.2.3._Location_disparity"/>
      <w:bookmarkStart w:id="5" w:name="_5.2.4._Demographic/organizational_r"/>
      <w:bookmarkStart w:id="6" w:name="_Hlk51438556"/>
      <w:bookmarkEnd w:id="1"/>
      <w:bookmarkEnd w:id="2"/>
      <w:bookmarkEnd w:id="3"/>
      <w:bookmarkEnd w:id="4"/>
      <w:bookmarkEnd w:id="5"/>
      <w:r>
        <w:t>4.1</w:t>
      </w:r>
      <w:r w:rsidR="00482BE9">
        <w:t>.</w:t>
      </w:r>
      <w:r>
        <w:t xml:space="preserve"> Outgoing Payments</w:t>
      </w:r>
    </w:p>
    <w:bookmarkEnd w:id="6"/>
    <w:p w14:paraId="140CD6AD" w14:textId="20109693" w:rsidR="00510827" w:rsidRDefault="00872765" w:rsidP="00257675">
      <w:pPr>
        <w:rPr>
          <w:rFonts w:eastAsia="Calibri" w:cs="Arial"/>
          <w:color w:val="0070C0"/>
          <w:szCs w:val="20"/>
        </w:rPr>
      </w:pPr>
      <w:r w:rsidRPr="009004E6">
        <w:rPr>
          <w:rFonts w:eastAsia="Calibri" w:cs="Arial"/>
          <w:color w:val="0070C0"/>
          <w:szCs w:val="20"/>
        </w:rPr>
        <w:t>Corruption is covered by the Siemens Compliance System very prominently regarding benefits by Siemens (</w:t>
      </w:r>
      <w:hyperlink r:id="rId11" w:history="1">
        <w:r w:rsidRPr="009004E6">
          <w:rPr>
            <w:rFonts w:eastAsia="Calibri" w:cs="Arial"/>
            <w:color w:val="0070C0"/>
            <w:szCs w:val="20"/>
          </w:rPr>
          <w:t>Chapter A.1.</w:t>
        </w:r>
      </w:hyperlink>
      <w:r w:rsidRPr="009004E6">
        <w:rPr>
          <w:rFonts w:eastAsia="Calibri" w:cs="Arial"/>
          <w:color w:val="0070C0"/>
          <w:szCs w:val="20"/>
        </w:rPr>
        <w:t>), Sponsoring, Donations and Memberships (</w:t>
      </w:r>
      <w:hyperlink r:id="rId12" w:history="1">
        <w:r w:rsidRPr="009004E6">
          <w:rPr>
            <w:rFonts w:eastAsia="Calibri" w:cs="Arial"/>
            <w:color w:val="0070C0"/>
            <w:szCs w:val="20"/>
          </w:rPr>
          <w:t>Chapter A.2.</w:t>
        </w:r>
      </w:hyperlink>
      <w:r w:rsidRPr="009004E6">
        <w:rPr>
          <w:rFonts w:eastAsia="Calibri" w:cs="Arial"/>
          <w:color w:val="0070C0"/>
          <w:szCs w:val="20"/>
        </w:rPr>
        <w:t>) as well as Facilitation Payments (</w:t>
      </w:r>
      <w:hyperlink r:id="rId13" w:history="1">
        <w:r w:rsidRPr="009004E6">
          <w:rPr>
            <w:rFonts w:eastAsia="Calibri" w:cs="Arial"/>
            <w:color w:val="0070C0"/>
            <w:szCs w:val="20"/>
          </w:rPr>
          <w:t>Chapter A.</w:t>
        </w:r>
        <w:r w:rsidR="009004E6">
          <w:rPr>
            <w:rFonts w:eastAsia="Calibri" w:cs="Arial"/>
            <w:color w:val="0070C0"/>
            <w:szCs w:val="20"/>
          </w:rPr>
          <w:t>3</w:t>
        </w:r>
        <w:r w:rsidRPr="009004E6">
          <w:rPr>
            <w:rFonts w:eastAsia="Calibri" w:cs="Arial"/>
            <w:color w:val="0070C0"/>
            <w:szCs w:val="20"/>
          </w:rPr>
          <w:t>.</w:t>
        </w:r>
      </w:hyperlink>
      <w:r w:rsidRPr="009004E6">
        <w:rPr>
          <w:rFonts w:eastAsia="Calibri" w:cs="Arial"/>
          <w:color w:val="0070C0"/>
          <w:szCs w:val="20"/>
        </w:rPr>
        <w:t>). Also, the Business Partner process (</w:t>
      </w:r>
      <w:hyperlink r:id="rId14" w:history="1">
        <w:r w:rsidRPr="009004E6">
          <w:rPr>
            <w:rFonts w:eastAsia="Calibri" w:cs="Arial"/>
            <w:color w:val="0070C0"/>
            <w:szCs w:val="20"/>
          </w:rPr>
          <w:t>Chapter A.</w:t>
        </w:r>
        <w:r w:rsidR="009004E6">
          <w:rPr>
            <w:rFonts w:eastAsia="Calibri" w:cs="Arial"/>
            <w:color w:val="0070C0"/>
            <w:szCs w:val="20"/>
          </w:rPr>
          <w:t>4</w:t>
        </w:r>
        <w:r w:rsidRPr="009004E6">
          <w:rPr>
            <w:rFonts w:eastAsia="Calibri" w:cs="Arial"/>
            <w:color w:val="0070C0"/>
            <w:szCs w:val="20"/>
          </w:rPr>
          <w:t>.</w:t>
        </w:r>
      </w:hyperlink>
      <w:r w:rsidRPr="009004E6">
        <w:rPr>
          <w:rFonts w:eastAsia="Calibri" w:cs="Arial"/>
          <w:color w:val="0070C0"/>
          <w:szCs w:val="20"/>
        </w:rPr>
        <w:t xml:space="preserve">) relating to corruption via third parties is well known. </w:t>
      </w:r>
    </w:p>
    <w:p w14:paraId="3B5E21DD" w14:textId="38407974" w:rsidR="00257675" w:rsidRPr="009004E6" w:rsidRDefault="00872765" w:rsidP="00257675">
      <w:pPr>
        <w:rPr>
          <w:rFonts w:eastAsia="Calibri" w:cs="Arial"/>
          <w:color w:val="0070C0"/>
          <w:szCs w:val="20"/>
        </w:rPr>
      </w:pPr>
      <w:r w:rsidRPr="009004E6">
        <w:rPr>
          <w:rFonts w:eastAsia="Calibri" w:cs="Arial"/>
          <w:color w:val="0070C0"/>
          <w:szCs w:val="20"/>
        </w:rPr>
        <w:br/>
        <w:t>Furthermore, CF F process Control Over Funds (</w:t>
      </w:r>
      <w:proofErr w:type="spellStart"/>
      <w:r w:rsidRPr="009004E6">
        <w:rPr>
          <w:rFonts w:eastAsia="Calibri" w:cs="Arial"/>
          <w:color w:val="0070C0"/>
          <w:szCs w:val="20"/>
        </w:rPr>
        <w:t>CoF</w:t>
      </w:r>
      <w:proofErr w:type="spellEnd"/>
      <w:r w:rsidRPr="009004E6">
        <w:rPr>
          <w:rFonts w:eastAsia="Calibri" w:cs="Arial"/>
          <w:color w:val="0070C0"/>
          <w:szCs w:val="20"/>
        </w:rPr>
        <w:t>) (</w:t>
      </w:r>
      <w:hyperlink r:id="rId15" w:history="1">
        <w:hyperlink r:id="rId16" w:history="1">
          <w:r w:rsidRPr="00872765">
            <w:rPr>
              <w:rFonts w:eastAsia="Calibri" w:cs="Arial"/>
              <w:color w:val="0000FF"/>
              <w:szCs w:val="20"/>
            </w:rPr>
            <w:t>Siemens Circular 208 “Treasury Transactions in the Company"</w:t>
          </w:r>
        </w:hyperlink>
        <w:r w:rsidRPr="009004E6">
          <w:rPr>
            <w:rFonts w:eastAsia="Calibri" w:cs="Arial"/>
            <w:color w:val="0070C0"/>
            <w:szCs w:val="20"/>
          </w:rPr>
          <w:t>)</w:t>
        </w:r>
      </w:hyperlink>
      <w:r w:rsidRPr="009004E6">
        <w:rPr>
          <w:rFonts w:eastAsia="Calibri" w:cs="Arial"/>
          <w:color w:val="0070C0"/>
          <w:szCs w:val="20"/>
        </w:rPr>
        <w:t xml:space="preserve"> and SOP SCM process Purchase-to Pay (P2P) </w:t>
      </w:r>
      <w:hyperlink r:id="rId17" w:history="1">
        <w:r w:rsidRPr="009004E6">
          <w:rPr>
            <w:rFonts w:eastAsia="Calibri" w:cs="Arial"/>
            <w:color w:val="0070C0"/>
            <w:szCs w:val="20"/>
          </w:rPr>
          <w:t>(</w:t>
        </w:r>
        <w:hyperlink r:id="rId18" w:anchor="/c/sz89wk" w:history="1">
          <w:r w:rsidRPr="00872765">
            <w:rPr>
              <w:rFonts w:eastAsia="Calibri" w:cs="Arial"/>
              <w:color w:val="0000FF"/>
              <w:szCs w:val="20"/>
            </w:rPr>
            <w:t>Siemens Circular 130 “Compliance in the Purchasing Process – Purchase-to-Pay (P2P) Control Framework”</w:t>
          </w:r>
        </w:hyperlink>
        <w:r w:rsidRPr="009004E6">
          <w:rPr>
            <w:rFonts w:eastAsia="Calibri" w:cs="Arial"/>
            <w:color w:val="0070C0"/>
            <w:szCs w:val="20"/>
          </w:rPr>
          <w:t>)</w:t>
        </w:r>
      </w:hyperlink>
      <w:r w:rsidRPr="009004E6">
        <w:rPr>
          <w:rFonts w:eastAsia="Calibri" w:cs="Arial"/>
          <w:color w:val="0070C0"/>
          <w:szCs w:val="20"/>
        </w:rPr>
        <w:t xml:space="preserve"> also aim at the prevention of corruption.</w:t>
      </w:r>
    </w:p>
    <w:p w14:paraId="2E936F61" w14:textId="79BA9C7D" w:rsidR="009004E6" w:rsidRPr="00003983" w:rsidRDefault="00060C44" w:rsidP="00003983">
      <w:pPr>
        <w:pStyle w:val="berschrift3"/>
        <w:spacing w:after="240"/>
        <w:jc w:val="both"/>
      </w:pPr>
      <w:bookmarkStart w:id="7" w:name="_Toc461702240"/>
      <w:bookmarkStart w:id="8" w:name="_Ref462322182"/>
      <w:r w:rsidRPr="00003983">
        <w:t xml:space="preserve">4.1.1. </w:t>
      </w:r>
      <w:r w:rsidRPr="009004E6">
        <w:t>Involvement</w:t>
      </w:r>
      <w:r w:rsidRPr="00003983">
        <w:t xml:space="preserve"> of Corporate Compliance</w:t>
      </w:r>
    </w:p>
    <w:bookmarkEnd w:id="7"/>
    <w:bookmarkEnd w:id="8"/>
    <w:p w14:paraId="4C06C4ED" w14:textId="15B68D74" w:rsidR="00872765" w:rsidRPr="009004E6" w:rsidRDefault="00872765" w:rsidP="00872765">
      <w:pPr>
        <w:rPr>
          <w:rFonts w:cs="Arial"/>
          <w:szCs w:val="20"/>
        </w:rPr>
      </w:pPr>
      <w:r w:rsidRPr="00872765">
        <w:rPr>
          <w:rStyle w:val="paragraph"/>
          <w:rFonts w:cs="Arial"/>
          <w:color w:val="0070C0"/>
          <w:szCs w:val="20"/>
        </w:rPr>
        <w:t xml:space="preserve">Corporate Compliance is involved in the following committees and processes as described in this </w:t>
      </w:r>
      <w:r w:rsidR="00482BE9">
        <w:rPr>
          <w:rStyle w:val="paragraph"/>
          <w:rFonts w:cs="Arial"/>
          <w:color w:val="0070C0"/>
          <w:szCs w:val="20"/>
        </w:rPr>
        <w:t>C</w:t>
      </w:r>
      <w:r w:rsidRPr="00872765">
        <w:rPr>
          <w:rStyle w:val="paragraph"/>
          <w:rFonts w:cs="Arial"/>
          <w:color w:val="0070C0"/>
          <w:szCs w:val="20"/>
        </w:rPr>
        <w:t>hapter as laid out below.</w:t>
      </w:r>
    </w:p>
    <w:p w14:paraId="75F2F7B9" w14:textId="77777777" w:rsidR="00872765" w:rsidRPr="009004E6" w:rsidRDefault="00872765" w:rsidP="00872765">
      <w:pPr>
        <w:pStyle w:val="HighlightboxGreyBulletpoints"/>
        <w:rPr>
          <w:rFonts w:eastAsiaTheme="majorEastAsia" w:cs="Arial"/>
          <w:color w:val="0070C0"/>
          <w:spacing w:val="-5"/>
        </w:rPr>
      </w:pPr>
      <w:r w:rsidRPr="009004E6">
        <w:rPr>
          <w:rFonts w:eastAsiaTheme="majorEastAsia" w:cs="Arial"/>
          <w:color w:val="0070C0"/>
          <w:spacing w:val="-5"/>
        </w:rPr>
        <w:t>P2P Process Committee:</w:t>
      </w:r>
    </w:p>
    <w:p w14:paraId="051674B7" w14:textId="1DF4498D" w:rsidR="00872765" w:rsidRPr="00060C44" w:rsidRDefault="00872765" w:rsidP="009004E6">
      <w:pPr>
        <w:jc w:val="both"/>
        <w:rPr>
          <w:rFonts w:eastAsiaTheme="majorEastAsia" w:cs="Arial"/>
          <w:color w:val="0070C0"/>
          <w:spacing w:val="-5"/>
          <w:szCs w:val="20"/>
        </w:rPr>
      </w:pPr>
      <w:r w:rsidRPr="00872765">
        <w:rPr>
          <w:rFonts w:eastAsiaTheme="majorEastAsia" w:cs="Arial"/>
          <w:color w:val="0070C0"/>
          <w:spacing w:val="-5"/>
          <w:szCs w:val="20"/>
        </w:rPr>
        <w:t xml:space="preserve">The </w:t>
      </w:r>
      <w:r w:rsidRPr="00AF620E">
        <w:rPr>
          <w:rFonts w:eastAsiaTheme="majorEastAsia" w:cs="Arial"/>
          <w:b/>
          <w:color w:val="0070C0"/>
          <w:spacing w:val="-5"/>
          <w:szCs w:val="20"/>
        </w:rPr>
        <w:t>P2P</w:t>
      </w:r>
      <w:r w:rsidR="00382AAE">
        <w:rPr>
          <w:rFonts w:eastAsiaTheme="majorEastAsia" w:cs="Arial"/>
          <w:b/>
          <w:color w:val="0070C0"/>
          <w:spacing w:val="-5"/>
          <w:szCs w:val="20"/>
        </w:rPr>
        <w:t xml:space="preserve"> </w:t>
      </w:r>
      <w:r w:rsidRPr="00AF620E">
        <w:rPr>
          <w:rFonts w:eastAsiaTheme="majorEastAsia" w:cs="Arial"/>
          <w:b/>
          <w:color w:val="0070C0"/>
          <w:spacing w:val="-5"/>
          <w:szCs w:val="20"/>
        </w:rPr>
        <w:t>Process Committee</w:t>
      </w:r>
      <w:r w:rsidRPr="00AF620E">
        <w:rPr>
          <w:rFonts w:eastAsiaTheme="majorEastAsia" w:cs="Arial"/>
          <w:color w:val="0070C0"/>
          <w:spacing w:val="-5"/>
          <w:szCs w:val="20"/>
        </w:rPr>
        <w:t xml:space="preserve"> serves the alignment and close collaboration of the relevant corporate functions (i.e. SOP SCM, CF F (Treasury), CF R (Accounting), LC CO, CF R/IC, CF A CA, SOP IT). LC CO is represented by LC CO RFC. The committee meets approx. three times per year and aligns inter alia the: </w:t>
      </w:r>
    </w:p>
    <w:p w14:paraId="49883160" w14:textId="77777777" w:rsidR="00872765" w:rsidRPr="009004E6" w:rsidRDefault="00872765" w:rsidP="00872765">
      <w:pPr>
        <w:pStyle w:val="Listenabsatz"/>
        <w:numPr>
          <w:ilvl w:val="0"/>
          <w:numId w:val="38"/>
        </w:numPr>
        <w:spacing w:after="0" w:line="240" w:lineRule="auto"/>
        <w:ind w:left="1077" w:hanging="357"/>
        <w:rPr>
          <w:rFonts w:eastAsiaTheme="majorEastAsia" w:cs="Arial"/>
          <w:color w:val="0070C0"/>
          <w:spacing w:val="-5"/>
          <w:szCs w:val="20"/>
        </w:rPr>
      </w:pPr>
      <w:r w:rsidRPr="009004E6">
        <w:rPr>
          <w:rFonts w:eastAsiaTheme="majorEastAsia" w:cs="Arial"/>
          <w:color w:val="0070C0"/>
          <w:spacing w:val="-5"/>
          <w:szCs w:val="20"/>
        </w:rPr>
        <w:t xml:space="preserve">P2P alert criteria (see </w:t>
      </w:r>
      <w:hyperlink r:id="rId19" w:history="1">
        <w:r w:rsidRPr="009004E6">
          <w:rPr>
            <w:rFonts w:eastAsiaTheme="majorEastAsia" w:cs="Arial"/>
            <w:color w:val="0070C0"/>
            <w:spacing w:val="-5"/>
            <w:szCs w:val="20"/>
          </w:rPr>
          <w:t>here</w:t>
        </w:r>
      </w:hyperlink>
      <w:r w:rsidRPr="009004E6">
        <w:rPr>
          <w:rFonts w:eastAsiaTheme="majorEastAsia" w:cs="Arial"/>
          <w:color w:val="0070C0"/>
          <w:spacing w:val="-5"/>
          <w:szCs w:val="20"/>
        </w:rPr>
        <w:t xml:space="preserve"> under the tabs “Preventative Controls” and “Detective Controls”), </w:t>
      </w:r>
    </w:p>
    <w:p w14:paraId="08DAFFC1" w14:textId="77777777" w:rsidR="00872765" w:rsidRPr="009004E6" w:rsidRDefault="00872765" w:rsidP="00872765">
      <w:pPr>
        <w:pStyle w:val="Listenabsatz"/>
        <w:numPr>
          <w:ilvl w:val="0"/>
          <w:numId w:val="38"/>
        </w:numPr>
        <w:spacing w:after="0" w:line="240" w:lineRule="auto"/>
        <w:ind w:left="1077" w:hanging="357"/>
        <w:rPr>
          <w:rFonts w:eastAsiaTheme="majorEastAsia" w:cs="Arial"/>
          <w:color w:val="0070C0"/>
          <w:spacing w:val="-5"/>
          <w:szCs w:val="20"/>
        </w:rPr>
      </w:pPr>
      <w:r w:rsidRPr="009004E6">
        <w:rPr>
          <w:rFonts w:eastAsiaTheme="majorEastAsia" w:cs="Arial"/>
          <w:color w:val="0070C0"/>
          <w:spacing w:val="-5"/>
          <w:szCs w:val="20"/>
        </w:rPr>
        <w:t>SCM Vendor Dashboard flags (</w:t>
      </w:r>
      <w:hyperlink r:id="rId20" w:history="1">
        <w:r w:rsidRPr="009004E6">
          <w:rPr>
            <w:rFonts w:eastAsiaTheme="majorEastAsia" w:cs="Arial"/>
            <w:color w:val="0070C0"/>
            <w:spacing w:val="-5"/>
            <w:szCs w:val="20"/>
          </w:rPr>
          <w:t>Chapter 3 of the SCM Vendor Dash Board Assessment Guide</w:t>
        </w:r>
      </w:hyperlink>
      <w:r w:rsidRPr="009004E6">
        <w:rPr>
          <w:rFonts w:eastAsiaTheme="majorEastAsia" w:cs="Arial"/>
          <w:color w:val="0070C0"/>
          <w:spacing w:val="-5"/>
          <w:szCs w:val="20"/>
        </w:rPr>
        <w:t>),</w:t>
      </w:r>
    </w:p>
    <w:p w14:paraId="5492345A" w14:textId="77777777" w:rsidR="00872765" w:rsidRPr="009004E6" w:rsidRDefault="00872765" w:rsidP="00872765">
      <w:pPr>
        <w:pStyle w:val="Listenabsatz"/>
        <w:numPr>
          <w:ilvl w:val="0"/>
          <w:numId w:val="38"/>
        </w:numPr>
        <w:spacing w:after="0" w:line="240" w:lineRule="auto"/>
        <w:ind w:left="1077" w:hanging="357"/>
        <w:rPr>
          <w:rFonts w:eastAsiaTheme="majorEastAsia" w:cs="Arial"/>
          <w:color w:val="0070C0"/>
          <w:spacing w:val="-5"/>
          <w:szCs w:val="20"/>
        </w:rPr>
      </w:pPr>
      <w:proofErr w:type="spellStart"/>
      <w:r w:rsidRPr="009004E6">
        <w:rPr>
          <w:rFonts w:eastAsiaTheme="majorEastAsia" w:cs="Arial"/>
          <w:color w:val="0070C0"/>
          <w:spacing w:val="-5"/>
          <w:szCs w:val="20"/>
        </w:rPr>
        <w:t>CoF</w:t>
      </w:r>
      <w:proofErr w:type="spellEnd"/>
      <w:r w:rsidRPr="009004E6">
        <w:rPr>
          <w:rFonts w:eastAsiaTheme="majorEastAsia" w:cs="Arial"/>
          <w:color w:val="0070C0"/>
          <w:spacing w:val="-5"/>
          <w:szCs w:val="20"/>
        </w:rPr>
        <w:t xml:space="preserve"> (Control Over Funds) / CoP (Central Routing of Payments) methods, and</w:t>
      </w:r>
    </w:p>
    <w:p w14:paraId="07EF451A" w14:textId="77777777" w:rsidR="00872765" w:rsidRPr="009004E6" w:rsidRDefault="00872765" w:rsidP="00872765">
      <w:pPr>
        <w:pStyle w:val="Listenabsatz"/>
        <w:numPr>
          <w:ilvl w:val="0"/>
          <w:numId w:val="38"/>
        </w:numPr>
        <w:spacing w:after="0" w:line="240" w:lineRule="auto"/>
        <w:ind w:left="1077" w:hanging="357"/>
        <w:rPr>
          <w:rFonts w:eastAsiaTheme="majorEastAsia" w:cs="Arial"/>
          <w:color w:val="0070C0"/>
          <w:spacing w:val="-5"/>
          <w:szCs w:val="20"/>
        </w:rPr>
      </w:pPr>
      <w:r w:rsidRPr="009004E6">
        <w:rPr>
          <w:rFonts w:eastAsiaTheme="majorEastAsia" w:cs="Arial"/>
          <w:color w:val="0070C0"/>
          <w:spacing w:val="-5"/>
          <w:szCs w:val="20"/>
        </w:rPr>
        <w:t>discusses risk trends / emerging risks in relation to payments.</w:t>
      </w:r>
    </w:p>
    <w:p w14:paraId="013AB936" w14:textId="77777777" w:rsidR="00872765" w:rsidRPr="009004E6" w:rsidRDefault="00872765" w:rsidP="00872765">
      <w:pPr>
        <w:pStyle w:val="Listenabsatz"/>
        <w:spacing w:after="0" w:line="240" w:lineRule="auto"/>
        <w:ind w:left="1077"/>
        <w:rPr>
          <w:rFonts w:eastAsiaTheme="majorEastAsia" w:cs="Arial"/>
          <w:color w:val="0070C0"/>
          <w:spacing w:val="-5"/>
          <w:szCs w:val="20"/>
        </w:rPr>
      </w:pPr>
    </w:p>
    <w:p w14:paraId="44DFFA06" w14:textId="77777777" w:rsidR="00872765" w:rsidRPr="009004E6" w:rsidRDefault="00872765" w:rsidP="00872765">
      <w:pPr>
        <w:pStyle w:val="HighlightboxGreyBulletpoints"/>
        <w:rPr>
          <w:rFonts w:eastAsiaTheme="majorEastAsia" w:cs="Arial"/>
          <w:color w:val="0070C0"/>
          <w:spacing w:val="-5"/>
        </w:rPr>
      </w:pPr>
      <w:r w:rsidRPr="009004E6">
        <w:rPr>
          <w:rFonts w:eastAsiaTheme="majorEastAsia" w:cs="Arial"/>
          <w:color w:val="0070C0"/>
          <w:spacing w:val="-5"/>
        </w:rPr>
        <w:t>High Risk Payment Scoring Committee:</w:t>
      </w:r>
    </w:p>
    <w:p w14:paraId="6F66E209" w14:textId="00E25775" w:rsidR="00872765" w:rsidRPr="00060C44" w:rsidRDefault="00872765" w:rsidP="009004E6">
      <w:pPr>
        <w:rPr>
          <w:rFonts w:eastAsiaTheme="majorEastAsia" w:cs="Arial"/>
          <w:color w:val="0070C0"/>
          <w:spacing w:val="-5"/>
          <w:szCs w:val="20"/>
        </w:rPr>
      </w:pPr>
      <w:r w:rsidRPr="00872765">
        <w:rPr>
          <w:rFonts w:eastAsiaTheme="majorEastAsia" w:cs="Arial"/>
          <w:color w:val="0070C0"/>
          <w:spacing w:val="-5"/>
          <w:szCs w:val="20"/>
        </w:rPr>
        <w:lastRenderedPageBreak/>
        <w:t xml:space="preserve">The </w:t>
      </w:r>
      <w:r w:rsidRPr="00872765">
        <w:rPr>
          <w:rFonts w:eastAsiaTheme="majorEastAsia" w:cs="Arial"/>
          <w:b/>
          <w:color w:val="0070C0"/>
          <w:spacing w:val="-5"/>
          <w:szCs w:val="20"/>
        </w:rPr>
        <w:t xml:space="preserve">alert monitor </w:t>
      </w:r>
      <w:r w:rsidRPr="00872765">
        <w:rPr>
          <w:rFonts w:eastAsiaTheme="majorEastAsia" w:cs="Arial"/>
          <w:bCs/>
          <w:color w:val="0070C0"/>
          <w:spacing w:val="-5"/>
          <w:szCs w:val="20"/>
        </w:rPr>
        <w:t>of</w:t>
      </w:r>
      <w:r w:rsidRPr="00AF620E">
        <w:rPr>
          <w:rFonts w:eastAsiaTheme="majorEastAsia" w:cs="Arial"/>
          <w:b/>
          <w:color w:val="0070C0"/>
          <w:spacing w:val="-5"/>
          <w:szCs w:val="20"/>
        </w:rPr>
        <w:t xml:space="preserve"> Finavigate®</w:t>
      </w:r>
      <w:r w:rsidRPr="00AF620E">
        <w:rPr>
          <w:rFonts w:eastAsiaTheme="majorEastAsia" w:cs="Arial"/>
          <w:color w:val="0070C0"/>
          <w:spacing w:val="-5"/>
          <w:szCs w:val="20"/>
        </w:rPr>
        <w:t xml:space="preserve"> as part of the </w:t>
      </w:r>
      <w:r w:rsidRPr="00AF620E">
        <w:rPr>
          <w:rFonts w:eastAsiaTheme="majorEastAsia" w:cs="Arial"/>
          <w:b/>
          <w:color w:val="0070C0"/>
          <w:spacing w:val="-5"/>
          <w:szCs w:val="20"/>
        </w:rPr>
        <w:t>Control over Funds (</w:t>
      </w:r>
      <w:proofErr w:type="spellStart"/>
      <w:r w:rsidRPr="00AF620E">
        <w:rPr>
          <w:rFonts w:eastAsiaTheme="majorEastAsia" w:cs="Arial"/>
          <w:b/>
          <w:color w:val="0070C0"/>
          <w:spacing w:val="-5"/>
          <w:szCs w:val="20"/>
        </w:rPr>
        <w:t>CoF</w:t>
      </w:r>
      <w:proofErr w:type="spellEnd"/>
      <w:r w:rsidRPr="00AF620E">
        <w:rPr>
          <w:rFonts w:eastAsiaTheme="majorEastAsia" w:cs="Arial"/>
          <w:b/>
          <w:color w:val="0070C0"/>
          <w:spacing w:val="-5"/>
          <w:szCs w:val="20"/>
        </w:rPr>
        <w:t>)</w:t>
      </w:r>
      <w:r w:rsidRPr="00AF620E">
        <w:rPr>
          <w:rFonts w:eastAsiaTheme="majorEastAsia" w:cs="Arial"/>
          <w:color w:val="0070C0"/>
          <w:spacing w:val="-5"/>
          <w:szCs w:val="20"/>
        </w:rPr>
        <w:t xml:space="preserve"> process identifies critical payments based on </w:t>
      </w:r>
      <w:r w:rsidRPr="00060C44">
        <w:rPr>
          <w:rFonts w:eastAsiaTheme="majorEastAsia" w:cs="Arial"/>
          <w:color w:val="0070C0"/>
          <w:spacing w:val="-5"/>
          <w:szCs w:val="20"/>
        </w:rPr>
        <w:t xml:space="preserve">defined alert criteria (e.g. High-Risk Payments, such as non-standard payments methods, e.g. cash, </w:t>
      </w:r>
      <w:proofErr w:type="gramStart"/>
      <w:r w:rsidRPr="00060C44">
        <w:rPr>
          <w:rFonts w:eastAsiaTheme="majorEastAsia" w:cs="Arial"/>
          <w:color w:val="0070C0"/>
          <w:spacing w:val="-5"/>
          <w:szCs w:val="20"/>
        </w:rPr>
        <w:t>cheques</w:t>
      </w:r>
      <w:proofErr w:type="gramEnd"/>
      <w:r w:rsidRPr="00060C44">
        <w:rPr>
          <w:rFonts w:eastAsiaTheme="majorEastAsia" w:cs="Arial"/>
          <w:color w:val="0070C0"/>
          <w:spacing w:val="-5"/>
          <w:szCs w:val="20"/>
        </w:rPr>
        <w:t xml:space="preserve"> and Suspicious Outgoing Payment). CF F (Treasury) and LC CO decide on the alert criteria at the annual </w:t>
      </w:r>
      <w:r w:rsidRPr="00060C44">
        <w:rPr>
          <w:rFonts w:eastAsiaTheme="majorEastAsia" w:cs="Arial"/>
          <w:b/>
          <w:color w:val="0070C0"/>
          <w:spacing w:val="-5"/>
          <w:szCs w:val="20"/>
        </w:rPr>
        <w:t>High-Risk Payment Scoring Committee</w:t>
      </w:r>
      <w:r w:rsidRPr="00060C44">
        <w:rPr>
          <w:rFonts w:eastAsiaTheme="majorEastAsia" w:cs="Arial"/>
          <w:color w:val="0070C0"/>
          <w:spacing w:val="-5"/>
          <w:szCs w:val="20"/>
        </w:rPr>
        <w:t>. LC CO is represented by LC CO RFC.</w:t>
      </w:r>
    </w:p>
    <w:p w14:paraId="58FA67DB" w14:textId="175D4F12" w:rsidR="00872765" w:rsidRPr="009004E6" w:rsidRDefault="00510827" w:rsidP="00872765">
      <w:pPr>
        <w:pStyle w:val="HighlightboxGreyBulletpoints"/>
        <w:rPr>
          <w:rFonts w:eastAsiaTheme="majorEastAsia" w:cs="Arial"/>
          <w:color w:val="0070C0"/>
          <w:spacing w:val="-5"/>
        </w:rPr>
      </w:pPr>
      <w:r>
        <w:rPr>
          <w:rFonts w:eastAsiaTheme="majorEastAsia" w:cs="Arial"/>
          <w:color w:val="0070C0"/>
          <w:spacing w:val="-5"/>
        </w:rPr>
        <w:t>Central</w:t>
      </w:r>
      <w:r w:rsidR="00872765" w:rsidRPr="009004E6">
        <w:rPr>
          <w:rFonts w:eastAsiaTheme="majorEastAsia" w:cs="Arial"/>
          <w:color w:val="0070C0"/>
          <w:spacing w:val="-5"/>
        </w:rPr>
        <w:t xml:space="preserve"> Compliance Monitoring by LC CO RFC</w:t>
      </w:r>
    </w:p>
    <w:p w14:paraId="196F2EAD" w14:textId="77777777" w:rsidR="00872765" w:rsidRPr="00060C44" w:rsidRDefault="00872765" w:rsidP="009004E6">
      <w:pPr>
        <w:rPr>
          <w:rFonts w:eastAsiaTheme="majorEastAsia" w:cs="Arial"/>
          <w:color w:val="0070C0"/>
          <w:spacing w:val="-5"/>
          <w:szCs w:val="20"/>
        </w:rPr>
      </w:pPr>
      <w:r w:rsidRPr="00872765">
        <w:rPr>
          <w:rFonts w:eastAsiaTheme="majorEastAsia" w:cs="Arial"/>
          <w:color w:val="0070C0"/>
          <w:spacing w:val="-5"/>
          <w:szCs w:val="20"/>
        </w:rPr>
        <w:t xml:space="preserve">Outgoing payment risks are part of </w:t>
      </w:r>
      <w:r w:rsidRPr="00872765">
        <w:rPr>
          <w:rFonts w:eastAsiaTheme="majorEastAsia" w:cs="Arial"/>
          <w:b/>
          <w:color w:val="0070C0"/>
          <w:spacing w:val="-5"/>
          <w:szCs w:val="20"/>
        </w:rPr>
        <w:t>LC CO RFC RC central monitoring activities.</w:t>
      </w:r>
      <w:r w:rsidRPr="00AF620E">
        <w:rPr>
          <w:rFonts w:eastAsiaTheme="majorEastAsia" w:cs="Arial"/>
          <w:color w:val="0070C0"/>
          <w:spacing w:val="-5"/>
          <w:szCs w:val="20"/>
        </w:rPr>
        <w:t xml:space="preserve"> Key elements of central monitoring activities are an aggregated risk analysis based on the following inf</w:t>
      </w:r>
      <w:r w:rsidRPr="00060C44">
        <w:rPr>
          <w:rFonts w:eastAsiaTheme="majorEastAsia" w:cs="Arial"/>
          <w:color w:val="0070C0"/>
          <w:spacing w:val="-5"/>
          <w:szCs w:val="20"/>
        </w:rPr>
        <w:t xml:space="preserve">ormation sources to identify and assess “unusual” transactions, </w:t>
      </w:r>
      <w:proofErr w:type="gramStart"/>
      <w:r w:rsidRPr="00060C44">
        <w:rPr>
          <w:rFonts w:eastAsiaTheme="majorEastAsia" w:cs="Arial"/>
          <w:color w:val="0070C0"/>
          <w:spacing w:val="-5"/>
          <w:szCs w:val="20"/>
        </w:rPr>
        <w:t>contexts</w:t>
      </w:r>
      <w:proofErr w:type="gramEnd"/>
      <w:r w:rsidRPr="00060C44">
        <w:rPr>
          <w:rFonts w:eastAsiaTheme="majorEastAsia" w:cs="Arial"/>
          <w:color w:val="0070C0"/>
          <w:spacing w:val="-5"/>
          <w:szCs w:val="20"/>
        </w:rPr>
        <w:t xml:space="preserve"> and developments over the course of time. </w:t>
      </w:r>
    </w:p>
    <w:p w14:paraId="595E6ED3" w14:textId="77777777" w:rsidR="00872765" w:rsidRPr="009004E6" w:rsidRDefault="00872765" w:rsidP="00872765">
      <w:pPr>
        <w:pStyle w:val="Listenabsatz"/>
        <w:numPr>
          <w:ilvl w:val="0"/>
          <w:numId w:val="37"/>
        </w:numPr>
        <w:spacing w:line="240" w:lineRule="auto"/>
        <w:rPr>
          <w:rFonts w:eastAsiaTheme="majorEastAsia" w:cs="Arial"/>
          <w:color w:val="0070C0"/>
          <w:spacing w:val="-5"/>
          <w:szCs w:val="20"/>
        </w:rPr>
      </w:pPr>
      <w:r w:rsidRPr="009004E6">
        <w:rPr>
          <w:rFonts w:eastAsiaTheme="majorEastAsia" w:cs="Arial"/>
          <w:color w:val="0070C0"/>
          <w:spacing w:val="-5"/>
          <w:szCs w:val="20"/>
        </w:rPr>
        <w:t>Alert Monitoring in Finavigate®</w:t>
      </w:r>
    </w:p>
    <w:p w14:paraId="16CE758A" w14:textId="77777777" w:rsidR="00872765" w:rsidRPr="009004E6" w:rsidRDefault="00872765" w:rsidP="00872765">
      <w:pPr>
        <w:pStyle w:val="Listenabsatz"/>
        <w:numPr>
          <w:ilvl w:val="0"/>
          <w:numId w:val="37"/>
        </w:numPr>
        <w:spacing w:line="240" w:lineRule="auto"/>
        <w:rPr>
          <w:rFonts w:eastAsiaTheme="majorEastAsia" w:cs="Arial"/>
          <w:color w:val="0070C0"/>
          <w:spacing w:val="-5"/>
          <w:szCs w:val="20"/>
        </w:rPr>
      </w:pPr>
      <w:r w:rsidRPr="009004E6">
        <w:rPr>
          <w:rFonts w:eastAsiaTheme="majorEastAsia" w:cs="Arial"/>
          <w:color w:val="0070C0"/>
          <w:spacing w:val="-5"/>
          <w:szCs w:val="20"/>
        </w:rPr>
        <w:t>Finance Cockpit incl. non-preferred payment methods, such as</w:t>
      </w:r>
    </w:p>
    <w:p w14:paraId="097FDD4B" w14:textId="77777777" w:rsidR="00872765" w:rsidRPr="009004E6" w:rsidRDefault="00872765" w:rsidP="00872765">
      <w:pPr>
        <w:pStyle w:val="Listenabsatz"/>
        <w:numPr>
          <w:ilvl w:val="1"/>
          <w:numId w:val="37"/>
        </w:numPr>
        <w:spacing w:line="240" w:lineRule="auto"/>
        <w:rPr>
          <w:rFonts w:eastAsiaTheme="majorEastAsia" w:cs="Arial"/>
          <w:color w:val="0070C0"/>
          <w:spacing w:val="-5"/>
          <w:szCs w:val="20"/>
        </w:rPr>
      </w:pPr>
      <w:r w:rsidRPr="009004E6">
        <w:rPr>
          <w:rFonts w:eastAsiaTheme="majorEastAsia" w:cs="Arial"/>
          <w:color w:val="0070C0"/>
          <w:spacing w:val="-5"/>
          <w:szCs w:val="20"/>
        </w:rPr>
        <w:t xml:space="preserve">Non-ERP-system based check payments </w:t>
      </w:r>
    </w:p>
    <w:p w14:paraId="09593588" w14:textId="77777777" w:rsidR="00872765" w:rsidRPr="009004E6" w:rsidRDefault="00872765" w:rsidP="00872765">
      <w:pPr>
        <w:pStyle w:val="Listenabsatz"/>
        <w:numPr>
          <w:ilvl w:val="1"/>
          <w:numId w:val="37"/>
        </w:numPr>
        <w:spacing w:line="240" w:lineRule="auto"/>
        <w:rPr>
          <w:rFonts w:eastAsiaTheme="majorEastAsia" w:cs="Arial"/>
          <w:color w:val="0070C0"/>
          <w:spacing w:val="-5"/>
          <w:szCs w:val="20"/>
        </w:rPr>
      </w:pPr>
      <w:r w:rsidRPr="009004E6">
        <w:rPr>
          <w:rFonts w:eastAsiaTheme="majorEastAsia" w:cs="Arial"/>
          <w:color w:val="0070C0"/>
          <w:spacing w:val="-5"/>
          <w:szCs w:val="20"/>
        </w:rPr>
        <w:t>Other manual outgoing payments</w:t>
      </w:r>
    </w:p>
    <w:p w14:paraId="3E67471F" w14:textId="77777777" w:rsidR="00872765" w:rsidRPr="009004E6" w:rsidRDefault="00872765" w:rsidP="00872765">
      <w:pPr>
        <w:pStyle w:val="Listenabsatz"/>
        <w:numPr>
          <w:ilvl w:val="1"/>
          <w:numId w:val="37"/>
        </w:numPr>
        <w:spacing w:line="240" w:lineRule="auto"/>
        <w:rPr>
          <w:rFonts w:eastAsiaTheme="majorEastAsia" w:cs="Arial"/>
          <w:color w:val="0070C0"/>
          <w:spacing w:val="-5"/>
          <w:szCs w:val="20"/>
        </w:rPr>
      </w:pPr>
      <w:r w:rsidRPr="009004E6">
        <w:rPr>
          <w:rFonts w:eastAsiaTheme="majorEastAsia" w:cs="Arial"/>
          <w:color w:val="0070C0"/>
          <w:spacing w:val="-5"/>
          <w:szCs w:val="20"/>
        </w:rPr>
        <w:t xml:space="preserve">Direct debit by third parties </w:t>
      </w:r>
    </w:p>
    <w:p w14:paraId="1B204A41" w14:textId="77777777" w:rsidR="00872765" w:rsidRPr="009004E6" w:rsidRDefault="00872765" w:rsidP="00872765">
      <w:pPr>
        <w:pStyle w:val="Listenabsatz"/>
        <w:numPr>
          <w:ilvl w:val="1"/>
          <w:numId w:val="37"/>
        </w:numPr>
        <w:spacing w:line="240" w:lineRule="auto"/>
        <w:rPr>
          <w:rFonts w:eastAsiaTheme="majorEastAsia" w:cs="Arial"/>
          <w:color w:val="0070C0"/>
          <w:spacing w:val="-5"/>
          <w:szCs w:val="20"/>
        </w:rPr>
      </w:pPr>
      <w:r w:rsidRPr="009004E6">
        <w:rPr>
          <w:rFonts w:eastAsiaTheme="majorEastAsia" w:cs="Arial"/>
          <w:color w:val="0070C0"/>
          <w:spacing w:val="-5"/>
          <w:szCs w:val="20"/>
        </w:rPr>
        <w:t>Cash withdrawals and transfers</w:t>
      </w:r>
    </w:p>
    <w:p w14:paraId="40CD58DC" w14:textId="77777777" w:rsidR="00872765" w:rsidRPr="009004E6" w:rsidRDefault="00872765" w:rsidP="00872765">
      <w:pPr>
        <w:pStyle w:val="Listenabsatz"/>
        <w:numPr>
          <w:ilvl w:val="0"/>
          <w:numId w:val="37"/>
        </w:numPr>
        <w:spacing w:line="240" w:lineRule="auto"/>
        <w:rPr>
          <w:rFonts w:eastAsiaTheme="majorEastAsia" w:cs="Arial"/>
          <w:color w:val="0070C0"/>
          <w:spacing w:val="-5"/>
          <w:szCs w:val="20"/>
        </w:rPr>
      </w:pPr>
      <w:r w:rsidRPr="009004E6">
        <w:rPr>
          <w:rFonts w:eastAsiaTheme="majorEastAsia" w:cs="Arial"/>
          <w:color w:val="0070C0"/>
          <w:spacing w:val="-5"/>
          <w:szCs w:val="20"/>
        </w:rPr>
        <w:t>P2P Control Framework</w:t>
      </w:r>
    </w:p>
    <w:p w14:paraId="03FC0CFF" w14:textId="3E53509C" w:rsidR="00060C44" w:rsidRDefault="00872765">
      <w:pPr>
        <w:pStyle w:val="Listenabsatz"/>
        <w:numPr>
          <w:ilvl w:val="0"/>
          <w:numId w:val="37"/>
        </w:numPr>
        <w:spacing w:line="240" w:lineRule="auto"/>
        <w:rPr>
          <w:rFonts w:eastAsiaTheme="majorEastAsia" w:cs="Arial"/>
          <w:color w:val="0070C0"/>
          <w:spacing w:val="-5"/>
          <w:szCs w:val="20"/>
        </w:rPr>
      </w:pPr>
      <w:r w:rsidRPr="009004E6">
        <w:rPr>
          <w:rFonts w:eastAsiaTheme="majorEastAsia" w:cs="Arial"/>
          <w:color w:val="0070C0"/>
          <w:spacing w:val="-5"/>
          <w:szCs w:val="20"/>
        </w:rPr>
        <w:t xml:space="preserve">SCM Vendor Dashboard </w:t>
      </w:r>
    </w:p>
    <w:p w14:paraId="1D48506F" w14:textId="336C79A9" w:rsidR="00482BE9" w:rsidRPr="009004E6" w:rsidRDefault="00482BE9" w:rsidP="009004E6">
      <w:pPr>
        <w:spacing w:line="240" w:lineRule="auto"/>
        <w:rPr>
          <w:rFonts w:eastAsiaTheme="majorEastAsia" w:cs="Arial"/>
          <w:color w:val="0070C0"/>
          <w:spacing w:val="-5"/>
          <w:szCs w:val="20"/>
        </w:rPr>
      </w:pPr>
      <w:r w:rsidRPr="009004E6">
        <w:rPr>
          <w:rFonts w:eastAsiaTheme="majorEastAsia" w:cs="Arial"/>
          <w:color w:val="0070C0"/>
          <w:spacing w:val="-5"/>
          <w:szCs w:val="20"/>
        </w:rPr>
        <w:t>Further details about these measures as well as central monitoring activities will be implemented in Chapter K.1 on Compliance Risk Assessment.</w:t>
      </w:r>
    </w:p>
    <w:p w14:paraId="732AAABA" w14:textId="6336F86C" w:rsidR="00872765" w:rsidRPr="00003983" w:rsidRDefault="00060C44" w:rsidP="00003983">
      <w:pPr>
        <w:pStyle w:val="berschrift3"/>
        <w:spacing w:after="240"/>
        <w:jc w:val="both"/>
      </w:pPr>
      <w:r w:rsidRPr="00003983">
        <w:t>4.1.2. Involvement of Compliance Officers</w:t>
      </w:r>
    </w:p>
    <w:p w14:paraId="6882FA60" w14:textId="6A68CC69" w:rsidR="00AF620E" w:rsidRPr="009004E6" w:rsidRDefault="00AF620E" w:rsidP="009004E6">
      <w:pPr>
        <w:rPr>
          <w:rFonts w:eastAsiaTheme="majorEastAsia" w:cs="Arial"/>
          <w:color w:val="0070C0"/>
          <w:spacing w:val="-5"/>
          <w:szCs w:val="20"/>
        </w:rPr>
      </w:pPr>
      <w:r w:rsidRPr="00AF620E">
        <w:rPr>
          <w:rFonts w:eastAsiaTheme="majorEastAsia" w:cs="Arial"/>
          <w:color w:val="0070C0"/>
          <w:spacing w:val="-5"/>
          <w:szCs w:val="20"/>
        </w:rPr>
        <w:t>Operational Compliance Officers are involved in the following processes</w:t>
      </w:r>
      <w:r w:rsidR="00206D72">
        <w:rPr>
          <w:rFonts w:eastAsiaTheme="majorEastAsia" w:cs="Arial"/>
          <w:color w:val="0070C0"/>
          <w:spacing w:val="-5"/>
          <w:szCs w:val="20"/>
        </w:rPr>
        <w:t xml:space="preserve">: </w:t>
      </w:r>
      <w:r w:rsidRPr="009004E6">
        <w:rPr>
          <w:rFonts w:eastAsiaTheme="majorEastAsia" w:cs="Arial"/>
          <w:color w:val="0070C0"/>
          <w:spacing w:val="-5"/>
          <w:szCs w:val="20"/>
        </w:rPr>
        <w:t>P2P - Continuous Control Monitoring Alert (CCM)</w:t>
      </w:r>
      <w:r w:rsidR="00206D72">
        <w:rPr>
          <w:rFonts w:eastAsiaTheme="majorEastAsia" w:cs="Arial"/>
          <w:color w:val="0070C0"/>
          <w:spacing w:val="-5"/>
          <w:szCs w:val="20"/>
        </w:rPr>
        <w:t xml:space="preserve">, </w:t>
      </w:r>
      <w:r w:rsidRPr="009004E6">
        <w:rPr>
          <w:rFonts w:eastAsiaTheme="majorEastAsia" w:cs="Arial"/>
          <w:color w:val="0070C0"/>
          <w:spacing w:val="-5"/>
          <w:szCs w:val="20"/>
        </w:rPr>
        <w:t>SCM Vendor Dashboard</w:t>
      </w:r>
      <w:r w:rsidR="00206D72">
        <w:rPr>
          <w:rFonts w:eastAsiaTheme="majorEastAsia" w:cs="Arial"/>
          <w:color w:val="0070C0"/>
          <w:spacing w:val="-5"/>
          <w:szCs w:val="20"/>
        </w:rPr>
        <w:t xml:space="preserve"> and </w:t>
      </w:r>
      <w:r w:rsidRPr="009004E6">
        <w:rPr>
          <w:rFonts w:eastAsiaTheme="majorEastAsia" w:cs="Arial"/>
          <w:color w:val="0070C0"/>
          <w:spacing w:val="-5"/>
          <w:szCs w:val="20"/>
        </w:rPr>
        <w:t xml:space="preserve">Payment Alerts from Finavigate® (CF F / </w:t>
      </w:r>
      <w:proofErr w:type="spellStart"/>
      <w:r w:rsidRPr="009004E6">
        <w:rPr>
          <w:rFonts w:eastAsiaTheme="majorEastAsia" w:cs="Arial"/>
          <w:color w:val="0070C0"/>
          <w:spacing w:val="-5"/>
          <w:szCs w:val="20"/>
        </w:rPr>
        <w:t>HoA</w:t>
      </w:r>
      <w:proofErr w:type="spellEnd"/>
      <w:r w:rsidRPr="009004E6">
        <w:rPr>
          <w:rFonts w:eastAsiaTheme="majorEastAsia" w:cs="Arial"/>
          <w:color w:val="0070C0"/>
          <w:spacing w:val="-5"/>
          <w:szCs w:val="20"/>
        </w:rPr>
        <w:t>)</w:t>
      </w:r>
      <w:r w:rsidR="00206D72">
        <w:rPr>
          <w:rFonts w:eastAsiaTheme="majorEastAsia" w:cs="Arial"/>
          <w:color w:val="0070C0"/>
          <w:spacing w:val="-5"/>
          <w:szCs w:val="20"/>
        </w:rPr>
        <w:t>.</w:t>
      </w:r>
    </w:p>
    <w:p w14:paraId="03CC11DD" w14:textId="77777777" w:rsidR="00AF620E" w:rsidRPr="009004E6" w:rsidRDefault="00AF620E" w:rsidP="009004E6">
      <w:pPr>
        <w:pStyle w:val="berschrift4"/>
        <w:spacing w:before="200" w:after="200"/>
        <w:rPr>
          <w:b w:val="0"/>
        </w:rPr>
      </w:pPr>
      <w:r w:rsidRPr="009004E6">
        <w:t>4.1.2.1. P2P - Continuous Control Monitoring Alert (CCM)</w:t>
      </w:r>
    </w:p>
    <w:p w14:paraId="46D60EB8" w14:textId="77777777" w:rsidR="00AF620E" w:rsidRPr="00060C44" w:rsidRDefault="00AF620E" w:rsidP="00AF620E">
      <w:pPr>
        <w:rPr>
          <w:rFonts w:eastAsiaTheme="majorEastAsia" w:cs="Arial"/>
          <w:color w:val="0070C0"/>
          <w:spacing w:val="-5"/>
          <w:szCs w:val="20"/>
        </w:rPr>
      </w:pPr>
      <w:r w:rsidRPr="00AF620E">
        <w:rPr>
          <w:rFonts w:eastAsiaTheme="majorEastAsia" w:cs="Arial"/>
          <w:color w:val="0070C0"/>
          <w:spacing w:val="-5"/>
          <w:szCs w:val="20"/>
        </w:rPr>
        <w:t>CCM alerts are flagged by local Supply Chain Management as “</w:t>
      </w:r>
      <w:r w:rsidRPr="00AF620E">
        <w:rPr>
          <w:rFonts w:eastAsiaTheme="majorEastAsia" w:cs="Arial"/>
          <w:b/>
          <w:color w:val="0070C0"/>
          <w:spacing w:val="-5"/>
          <w:szCs w:val="20"/>
        </w:rPr>
        <w:t>Key Alert</w:t>
      </w:r>
      <w:r w:rsidRPr="00AF620E">
        <w:rPr>
          <w:rFonts w:eastAsiaTheme="majorEastAsia" w:cs="Arial"/>
          <w:color w:val="0070C0"/>
          <w:spacing w:val="-5"/>
          <w:szCs w:val="20"/>
        </w:rPr>
        <w:t>” following evaluation when a deliberate or fraudulent rule breach is suspected. These Key Alerts are required to be evaluated by the responsible “</w:t>
      </w:r>
      <w:hyperlink r:id="rId21" w:history="1">
        <w:r w:rsidRPr="00AF620E">
          <w:rPr>
            <w:rFonts w:eastAsiaTheme="majorEastAsia" w:cs="Arial"/>
            <w:color w:val="0070C0"/>
            <w:spacing w:val="-5"/>
            <w:szCs w:val="20"/>
          </w:rPr>
          <w:t>CCM Local Monitoring</w:t>
        </w:r>
      </w:hyperlink>
      <w:r w:rsidRPr="00AF620E">
        <w:rPr>
          <w:rFonts w:eastAsiaTheme="majorEastAsia" w:cs="Arial"/>
          <w:color w:val="0070C0"/>
          <w:spacing w:val="-5"/>
          <w:szCs w:val="20"/>
        </w:rPr>
        <w:t xml:space="preserve">” which is generally the responsible </w:t>
      </w:r>
      <w:r w:rsidRPr="00AF620E">
        <w:rPr>
          <w:rFonts w:eastAsiaTheme="majorEastAsia" w:cs="Arial"/>
          <w:b/>
          <w:color w:val="0070C0"/>
          <w:spacing w:val="-5"/>
          <w:szCs w:val="20"/>
        </w:rPr>
        <w:t>Compliance Officer</w:t>
      </w:r>
      <w:r w:rsidRPr="00AF620E">
        <w:rPr>
          <w:rFonts w:eastAsiaTheme="majorEastAsia" w:cs="Arial"/>
          <w:color w:val="0070C0"/>
          <w:spacing w:val="-5"/>
          <w:szCs w:val="20"/>
        </w:rPr>
        <w:t xml:space="preserve"> to get a reasonable second review to decide, if the incident is confirmed or not. </w:t>
      </w:r>
      <w:r w:rsidRPr="00AF620E">
        <w:rPr>
          <w:rFonts w:eastAsiaTheme="majorEastAsia" w:cs="Arial"/>
          <w:color w:val="0070C0"/>
          <w:spacing w:val="-5"/>
          <w:szCs w:val="20"/>
        </w:rPr>
        <w:br/>
      </w:r>
      <w:r w:rsidRPr="00060C44">
        <w:rPr>
          <w:rFonts w:eastAsiaTheme="majorEastAsia" w:cs="Arial"/>
          <w:color w:val="0070C0"/>
          <w:spacing w:val="-5"/>
          <w:szCs w:val="20"/>
        </w:rPr>
        <w:t xml:space="preserve">In order to address the identified compliance incidents, all Key Alerts closed with status “Incident Confirmed” will be addressed to further stakeholders, such as Management (e.g. CFO) and the responsible </w:t>
      </w:r>
      <w:r w:rsidRPr="00060C44">
        <w:rPr>
          <w:rFonts w:eastAsiaTheme="majorEastAsia" w:cs="Arial"/>
          <w:b/>
          <w:color w:val="0070C0"/>
          <w:spacing w:val="-5"/>
          <w:szCs w:val="20"/>
        </w:rPr>
        <w:t>Compliance Officer</w:t>
      </w:r>
      <w:r w:rsidRPr="00060C44">
        <w:rPr>
          <w:rFonts w:eastAsiaTheme="majorEastAsia" w:cs="Arial"/>
          <w:color w:val="0070C0"/>
          <w:spacing w:val="-5"/>
          <w:szCs w:val="20"/>
        </w:rPr>
        <w:t xml:space="preserve"> to initiate an investigation as Compliance case according to the role of the “</w:t>
      </w:r>
      <w:hyperlink r:id="rId22" w:history="1">
        <w:r w:rsidRPr="00AF620E">
          <w:rPr>
            <w:rFonts w:eastAsiaTheme="majorEastAsia" w:cs="Arial"/>
            <w:color w:val="0070C0"/>
            <w:spacing w:val="-5"/>
            <w:szCs w:val="20"/>
          </w:rPr>
          <w:t>CCM Local Monitoring</w:t>
        </w:r>
      </w:hyperlink>
      <w:r w:rsidRPr="00AF620E">
        <w:rPr>
          <w:rFonts w:eastAsiaTheme="majorEastAsia" w:cs="Arial"/>
          <w:color w:val="0070C0"/>
          <w:spacing w:val="-5"/>
          <w:szCs w:val="20"/>
        </w:rPr>
        <w:t>”, as described  P2P Purchasing Role Model.</w:t>
      </w:r>
      <w:bookmarkStart w:id="9" w:name="_Hlk40613376"/>
      <w:r w:rsidRPr="00AF620E">
        <w:rPr>
          <w:rFonts w:eastAsiaTheme="majorEastAsia" w:cs="Arial"/>
          <w:color w:val="0070C0"/>
          <w:spacing w:val="-5"/>
          <w:szCs w:val="20"/>
        </w:rPr>
        <w:br/>
        <w:t xml:space="preserve">It is recommended that a local </w:t>
      </w:r>
      <w:r w:rsidRPr="00060C44">
        <w:rPr>
          <w:rFonts w:eastAsiaTheme="majorEastAsia" w:cs="Arial"/>
          <w:b/>
          <w:color w:val="0070C0"/>
          <w:spacing w:val="-5"/>
          <w:szCs w:val="20"/>
        </w:rPr>
        <w:t>P2P Control Board</w:t>
      </w:r>
      <w:r w:rsidRPr="00060C44">
        <w:rPr>
          <w:rFonts w:eastAsiaTheme="majorEastAsia" w:cs="Arial"/>
          <w:color w:val="0070C0"/>
          <w:spacing w:val="-5"/>
          <w:szCs w:val="20"/>
        </w:rPr>
        <w:t xml:space="preserve"> is established in order to ensure the structured and regular, at least quarterly coordination of relevant user functions (i.e. Supply Chain Management, Treasury, Accounting, </w:t>
      </w:r>
      <w:r w:rsidRPr="00060C44">
        <w:rPr>
          <w:rFonts w:eastAsiaTheme="majorEastAsia" w:cs="Arial"/>
          <w:b/>
          <w:color w:val="0070C0"/>
          <w:spacing w:val="-5"/>
          <w:szCs w:val="20"/>
        </w:rPr>
        <w:t>Compliance Officer</w:t>
      </w:r>
      <w:r w:rsidRPr="00060C44">
        <w:rPr>
          <w:rFonts w:eastAsiaTheme="majorEastAsia" w:cs="Arial"/>
          <w:color w:val="0070C0"/>
          <w:spacing w:val="-5"/>
          <w:szCs w:val="20"/>
        </w:rPr>
        <w:t xml:space="preserve">, R/IC, CF A) and the level of </w:t>
      </w:r>
      <w:r w:rsidRPr="00060C44">
        <w:rPr>
          <w:rFonts w:eastAsiaTheme="majorEastAsia" w:cs="Arial"/>
          <w:b/>
          <w:color w:val="0070C0"/>
          <w:spacing w:val="-5"/>
          <w:szCs w:val="20"/>
        </w:rPr>
        <w:t>Siemens entities</w:t>
      </w:r>
      <w:r w:rsidRPr="00060C44">
        <w:rPr>
          <w:rFonts w:eastAsiaTheme="majorEastAsia" w:cs="Arial"/>
          <w:color w:val="0070C0"/>
          <w:spacing w:val="-5"/>
          <w:szCs w:val="20"/>
        </w:rPr>
        <w:t xml:space="preserve">. The board analyzes patterns and developments for its entity also in comparison with other AREs. </w:t>
      </w:r>
    </w:p>
    <w:p w14:paraId="1CFF94F8" w14:textId="77777777" w:rsidR="00AF620E" w:rsidRPr="009004E6" w:rsidRDefault="00AF620E" w:rsidP="009004E6">
      <w:pPr>
        <w:pStyle w:val="berschrift4"/>
        <w:spacing w:before="200" w:after="200"/>
        <w:rPr>
          <w:b w:val="0"/>
        </w:rPr>
      </w:pPr>
      <w:bookmarkStart w:id="10" w:name="_Hlk51438597"/>
      <w:bookmarkEnd w:id="9"/>
      <w:r w:rsidRPr="009004E6">
        <w:t>4.1.2.2. SCM Vendor Dashboard</w:t>
      </w:r>
    </w:p>
    <w:bookmarkEnd w:id="10"/>
    <w:p w14:paraId="1402A5B2" w14:textId="77777777" w:rsidR="00AF620E" w:rsidRPr="00AF620E" w:rsidRDefault="00AF620E" w:rsidP="00AF620E">
      <w:pPr>
        <w:rPr>
          <w:rFonts w:eastAsiaTheme="majorEastAsia" w:cs="Arial"/>
          <w:color w:val="0070C0"/>
          <w:spacing w:val="-5"/>
          <w:szCs w:val="20"/>
        </w:rPr>
      </w:pPr>
      <w:r w:rsidRPr="00AF620E">
        <w:rPr>
          <w:rFonts w:eastAsiaTheme="majorEastAsia" w:cs="Arial"/>
          <w:color w:val="0070C0"/>
          <w:spacing w:val="-5"/>
          <w:szCs w:val="20"/>
        </w:rPr>
        <w:t xml:space="preserve">For the </w:t>
      </w:r>
      <w:r w:rsidRPr="00AF620E">
        <w:rPr>
          <w:rFonts w:eastAsiaTheme="majorEastAsia" w:cs="Arial"/>
          <w:b/>
          <w:color w:val="0070C0"/>
          <w:spacing w:val="-5"/>
          <w:szCs w:val="20"/>
        </w:rPr>
        <w:t>SCM Vendor Dashboard</w:t>
      </w:r>
      <w:r w:rsidRPr="00AF620E">
        <w:rPr>
          <w:rFonts w:eastAsiaTheme="majorEastAsia" w:cs="Arial"/>
          <w:color w:val="0070C0"/>
          <w:spacing w:val="-5"/>
          <w:szCs w:val="20"/>
        </w:rPr>
        <w:t xml:space="preserve"> application (also see </w:t>
      </w:r>
      <w:hyperlink r:id="rId23" w:history="1">
        <w:r w:rsidRPr="00AF620E">
          <w:rPr>
            <w:rFonts w:eastAsiaTheme="majorEastAsia" w:cs="Arial"/>
            <w:color w:val="0070C0"/>
            <w:spacing w:val="-5"/>
            <w:szCs w:val="20"/>
          </w:rPr>
          <w:t>Chapter H.2.4.</w:t>
        </w:r>
      </w:hyperlink>
      <w:r w:rsidRPr="00AF620E">
        <w:rPr>
          <w:rFonts w:eastAsiaTheme="majorEastAsia" w:cs="Arial"/>
          <w:color w:val="0070C0"/>
          <w:spacing w:val="-5"/>
          <w:szCs w:val="20"/>
        </w:rPr>
        <w:t>) SOP SCM bi-quarterly (Q2 and Q4) identifies suppliers for a detailed assessment based on the defined red-flag criter</w:t>
      </w:r>
      <w:r w:rsidRPr="00060C44">
        <w:rPr>
          <w:rFonts w:eastAsiaTheme="majorEastAsia" w:cs="Arial"/>
          <w:color w:val="0070C0"/>
          <w:spacing w:val="-5"/>
          <w:szCs w:val="20"/>
        </w:rPr>
        <w:t xml:space="preserve">ia. The suppliers with the highest number of </w:t>
      </w:r>
      <w:proofErr w:type="gramStart"/>
      <w:r w:rsidRPr="00060C44">
        <w:rPr>
          <w:rFonts w:eastAsiaTheme="majorEastAsia" w:cs="Arial"/>
          <w:color w:val="0070C0"/>
          <w:spacing w:val="-5"/>
          <w:szCs w:val="20"/>
        </w:rPr>
        <w:t>red-</w:t>
      </w:r>
      <w:r w:rsidRPr="00060C44">
        <w:rPr>
          <w:rFonts w:eastAsiaTheme="majorEastAsia" w:cs="Arial"/>
          <w:color w:val="0070C0"/>
          <w:spacing w:val="-5"/>
          <w:szCs w:val="20"/>
        </w:rPr>
        <w:lastRenderedPageBreak/>
        <w:t>flags</w:t>
      </w:r>
      <w:proofErr w:type="gramEnd"/>
      <w:r w:rsidRPr="00060C44">
        <w:rPr>
          <w:rFonts w:eastAsiaTheme="majorEastAsia" w:cs="Arial"/>
          <w:color w:val="0070C0"/>
          <w:spacing w:val="-5"/>
          <w:szCs w:val="20"/>
        </w:rPr>
        <w:t xml:space="preserve"> are selected in general for the assessment by SOP SCM. The responsible </w:t>
      </w:r>
      <w:r w:rsidRPr="00060C44">
        <w:rPr>
          <w:rFonts w:eastAsiaTheme="majorEastAsia" w:cs="Arial"/>
          <w:b/>
          <w:bCs/>
          <w:color w:val="0070C0"/>
          <w:spacing w:val="-5"/>
          <w:szCs w:val="20"/>
        </w:rPr>
        <w:t>Compliance Officer</w:t>
      </w:r>
      <w:r w:rsidRPr="00060C44">
        <w:rPr>
          <w:rFonts w:eastAsiaTheme="majorEastAsia" w:cs="Arial"/>
          <w:color w:val="0070C0"/>
          <w:spacing w:val="-5"/>
          <w:szCs w:val="20"/>
        </w:rPr>
        <w:t xml:space="preserve"> will be involved / contacted by SOP SCM according to </w:t>
      </w:r>
      <w:hyperlink r:id="rId24" w:history="1">
        <w:r w:rsidRPr="00AF620E">
          <w:rPr>
            <w:rFonts w:eastAsiaTheme="majorEastAsia" w:cs="Arial"/>
            <w:color w:val="0070C0"/>
            <w:spacing w:val="-5"/>
            <w:szCs w:val="20"/>
          </w:rPr>
          <w:t>Chapter 4.8 of the Vendor Dash Board Assessment Guide</w:t>
        </w:r>
      </w:hyperlink>
      <w:r w:rsidRPr="00AF620E">
        <w:rPr>
          <w:rFonts w:eastAsiaTheme="majorEastAsia" w:cs="Arial"/>
          <w:color w:val="0070C0"/>
          <w:spacing w:val="-5"/>
          <w:szCs w:val="20"/>
        </w:rPr>
        <w:t xml:space="preserve"> for the:</w:t>
      </w:r>
    </w:p>
    <w:p w14:paraId="449B4899" w14:textId="77777777" w:rsidR="00AF620E" w:rsidRPr="009004E6" w:rsidRDefault="00AF620E" w:rsidP="00AF620E">
      <w:pPr>
        <w:pStyle w:val="Listenabsatz"/>
        <w:numPr>
          <w:ilvl w:val="0"/>
          <w:numId w:val="40"/>
        </w:numPr>
        <w:spacing w:line="240" w:lineRule="auto"/>
        <w:rPr>
          <w:rFonts w:eastAsiaTheme="majorEastAsia" w:cs="Arial"/>
          <w:color w:val="0070C0"/>
          <w:spacing w:val="-5"/>
          <w:szCs w:val="20"/>
        </w:rPr>
      </w:pPr>
      <w:r w:rsidRPr="009004E6">
        <w:rPr>
          <w:rFonts w:eastAsiaTheme="majorEastAsia" w:cs="Arial"/>
          <w:color w:val="0070C0"/>
          <w:spacing w:val="-5"/>
          <w:szCs w:val="20"/>
        </w:rPr>
        <w:t xml:space="preserve">Pre-alignment of Top supplier selection </w:t>
      </w:r>
    </w:p>
    <w:p w14:paraId="143CF27F" w14:textId="77777777" w:rsidR="00AF620E" w:rsidRPr="009004E6" w:rsidRDefault="00AF620E" w:rsidP="00AF620E">
      <w:pPr>
        <w:pStyle w:val="Listenabsatz"/>
        <w:numPr>
          <w:ilvl w:val="0"/>
          <w:numId w:val="40"/>
        </w:numPr>
        <w:spacing w:line="240" w:lineRule="auto"/>
        <w:rPr>
          <w:rFonts w:eastAsiaTheme="majorEastAsia" w:cs="Arial"/>
          <w:color w:val="0070C0"/>
          <w:spacing w:val="-5"/>
          <w:szCs w:val="20"/>
        </w:rPr>
      </w:pPr>
      <w:r w:rsidRPr="009004E6">
        <w:rPr>
          <w:rFonts w:eastAsiaTheme="majorEastAsia" w:cs="Arial"/>
          <w:color w:val="0070C0"/>
          <w:spacing w:val="-5"/>
          <w:szCs w:val="20"/>
        </w:rPr>
        <w:t xml:space="preserve">Verify about already existing investigations / clarifications </w:t>
      </w:r>
    </w:p>
    <w:p w14:paraId="012FAE9C" w14:textId="77777777" w:rsidR="00AF620E" w:rsidRPr="009004E6" w:rsidRDefault="00AF620E" w:rsidP="00AF620E">
      <w:pPr>
        <w:pStyle w:val="Listenabsatz"/>
        <w:numPr>
          <w:ilvl w:val="0"/>
          <w:numId w:val="40"/>
        </w:numPr>
        <w:spacing w:line="240" w:lineRule="auto"/>
        <w:rPr>
          <w:rFonts w:eastAsiaTheme="majorEastAsia" w:cs="Arial"/>
          <w:color w:val="0070C0"/>
          <w:spacing w:val="-5"/>
          <w:szCs w:val="20"/>
        </w:rPr>
      </w:pPr>
      <w:r w:rsidRPr="009004E6">
        <w:rPr>
          <w:rFonts w:eastAsiaTheme="majorEastAsia" w:cs="Arial"/>
          <w:color w:val="0070C0"/>
          <w:spacing w:val="-5"/>
          <w:szCs w:val="20"/>
        </w:rPr>
        <w:t xml:space="preserve">Support of transaction deep dive in case of possible fraud incidents </w:t>
      </w:r>
    </w:p>
    <w:p w14:paraId="1D4A3A31" w14:textId="77777777" w:rsidR="00AF620E" w:rsidRPr="009004E6" w:rsidRDefault="00AF620E" w:rsidP="00AF620E">
      <w:pPr>
        <w:pStyle w:val="Listenabsatz"/>
        <w:numPr>
          <w:ilvl w:val="0"/>
          <w:numId w:val="40"/>
        </w:numPr>
        <w:spacing w:line="240" w:lineRule="auto"/>
        <w:rPr>
          <w:rFonts w:eastAsiaTheme="majorEastAsia" w:cs="Arial"/>
          <w:color w:val="0070C0"/>
          <w:spacing w:val="-5"/>
          <w:szCs w:val="20"/>
        </w:rPr>
      </w:pPr>
      <w:r w:rsidRPr="009004E6">
        <w:rPr>
          <w:rFonts w:eastAsiaTheme="majorEastAsia" w:cs="Arial"/>
          <w:color w:val="0070C0"/>
          <w:spacing w:val="-5"/>
          <w:szCs w:val="20"/>
        </w:rPr>
        <w:t>Receive possible fraud cases or other violations of Siemens Circular 226 and drive further compliance internal investigation / clarification</w:t>
      </w:r>
    </w:p>
    <w:p w14:paraId="43A72106" w14:textId="77777777" w:rsidR="00AF620E" w:rsidRPr="009004E6" w:rsidRDefault="00AF620E" w:rsidP="00AF620E">
      <w:pPr>
        <w:pStyle w:val="Listenabsatz"/>
        <w:numPr>
          <w:ilvl w:val="0"/>
          <w:numId w:val="40"/>
        </w:numPr>
        <w:spacing w:line="240" w:lineRule="auto"/>
        <w:rPr>
          <w:rFonts w:eastAsiaTheme="majorEastAsia" w:cs="Arial"/>
          <w:color w:val="0070C0"/>
          <w:spacing w:val="-5"/>
          <w:szCs w:val="20"/>
        </w:rPr>
      </w:pPr>
      <w:r w:rsidRPr="009004E6">
        <w:rPr>
          <w:rFonts w:eastAsiaTheme="majorEastAsia" w:cs="Arial"/>
          <w:color w:val="0070C0"/>
          <w:spacing w:val="-5"/>
          <w:szCs w:val="20"/>
        </w:rPr>
        <w:t>Approve final assessment conclusions e.g. in cross-functional P2P Control board</w:t>
      </w:r>
    </w:p>
    <w:p w14:paraId="7DAAC37F" w14:textId="77777777" w:rsidR="00AF620E" w:rsidRPr="009004E6" w:rsidRDefault="00AF620E" w:rsidP="009004E6">
      <w:pPr>
        <w:pStyle w:val="berschrift4"/>
        <w:spacing w:before="200" w:after="200"/>
        <w:rPr>
          <w:b w:val="0"/>
        </w:rPr>
      </w:pPr>
      <w:r w:rsidRPr="009004E6">
        <w:t>4.1.2.3. Payment Alerts from Finavigate®</w:t>
      </w:r>
    </w:p>
    <w:p w14:paraId="1B1ADF44" w14:textId="77777777" w:rsidR="00AF620E" w:rsidRPr="00060C44" w:rsidRDefault="00AF620E" w:rsidP="00AF620E">
      <w:pPr>
        <w:rPr>
          <w:rFonts w:eastAsiaTheme="majorEastAsia" w:cs="Arial"/>
          <w:color w:val="0070C0"/>
          <w:spacing w:val="-5"/>
          <w:szCs w:val="20"/>
        </w:rPr>
      </w:pPr>
      <w:r w:rsidRPr="00AF620E">
        <w:rPr>
          <w:rFonts w:eastAsiaTheme="majorEastAsia" w:cs="Arial"/>
          <w:color w:val="0070C0"/>
          <w:spacing w:val="-5"/>
          <w:szCs w:val="20"/>
        </w:rPr>
        <w:t>Alerts of individual outgoing payments with higher risk characteristics are generated in alert monitor from Finavigate® on corporate level.</w:t>
      </w:r>
      <w:bookmarkStart w:id="11" w:name="_Hlk40613193"/>
      <w:r w:rsidRPr="00060C44">
        <w:rPr>
          <w:rFonts w:eastAsiaTheme="majorEastAsia" w:cs="Arial"/>
          <w:color w:val="0070C0"/>
          <w:spacing w:val="-5"/>
          <w:szCs w:val="20"/>
        </w:rPr>
        <w:br/>
        <w:t xml:space="preserve">If a Siemens entity is not able to use the alert monitor from Finavigate® for all outgoing payments an individual setup of local controls has to be defined and agreed by CF F CMP. </w:t>
      </w:r>
    </w:p>
    <w:bookmarkEnd w:id="11"/>
    <w:p w14:paraId="70F3FE8E" w14:textId="77777777" w:rsidR="00AF620E" w:rsidRPr="009004E6" w:rsidRDefault="00AF620E" w:rsidP="00AF620E">
      <w:pPr>
        <w:pStyle w:val="HighlightboxGreyBulletpoints"/>
        <w:rPr>
          <w:rFonts w:eastAsiaTheme="majorEastAsia" w:cs="Arial"/>
          <w:color w:val="0070C0"/>
          <w:spacing w:val="-5"/>
        </w:rPr>
      </w:pPr>
      <w:r w:rsidRPr="009004E6">
        <w:rPr>
          <w:rFonts w:eastAsiaTheme="majorEastAsia" w:cs="Arial"/>
          <w:color w:val="0070C0"/>
          <w:spacing w:val="-5"/>
        </w:rPr>
        <w:t>High Risk Payment / Suspicious Payment Alerts</w:t>
      </w:r>
    </w:p>
    <w:p w14:paraId="5B797908" w14:textId="77777777" w:rsidR="00AF620E" w:rsidRPr="00382AAE" w:rsidRDefault="00AF620E" w:rsidP="009004E6">
      <w:pPr>
        <w:rPr>
          <w:rFonts w:eastAsiaTheme="majorEastAsia" w:cs="Arial"/>
          <w:color w:val="0070C0"/>
          <w:spacing w:val="-5"/>
          <w:szCs w:val="20"/>
        </w:rPr>
      </w:pPr>
      <w:r w:rsidRPr="00AF620E">
        <w:rPr>
          <w:rFonts w:eastAsiaTheme="majorEastAsia" w:cs="Arial"/>
          <w:color w:val="0070C0"/>
          <w:spacing w:val="-5"/>
          <w:szCs w:val="20"/>
        </w:rPr>
        <w:t xml:space="preserve">The responsible </w:t>
      </w:r>
      <w:r w:rsidRPr="00AF620E">
        <w:rPr>
          <w:rFonts w:eastAsiaTheme="majorEastAsia" w:cs="Arial"/>
          <w:b/>
          <w:color w:val="0070C0"/>
          <w:spacing w:val="-5"/>
          <w:szCs w:val="20"/>
        </w:rPr>
        <w:t>Head of Accounting (</w:t>
      </w:r>
      <w:proofErr w:type="spellStart"/>
      <w:r w:rsidRPr="00AF620E">
        <w:rPr>
          <w:rFonts w:eastAsiaTheme="majorEastAsia" w:cs="Arial"/>
          <w:b/>
          <w:color w:val="0070C0"/>
          <w:spacing w:val="-5"/>
          <w:szCs w:val="20"/>
        </w:rPr>
        <w:t>HoA</w:t>
      </w:r>
      <w:proofErr w:type="spellEnd"/>
      <w:r w:rsidRPr="00AF620E">
        <w:rPr>
          <w:rFonts w:eastAsiaTheme="majorEastAsia" w:cs="Arial"/>
          <w:b/>
          <w:color w:val="0070C0"/>
          <w:spacing w:val="-5"/>
          <w:szCs w:val="20"/>
        </w:rPr>
        <w:t>)</w:t>
      </w:r>
      <w:r w:rsidRPr="00AF620E">
        <w:rPr>
          <w:rFonts w:eastAsiaTheme="majorEastAsia" w:cs="Arial"/>
          <w:color w:val="0070C0"/>
          <w:spacing w:val="-5"/>
          <w:szCs w:val="20"/>
        </w:rPr>
        <w:t xml:space="preserve"> assess the Payment Alerts as generated by the Outgoing Payment Alerts monitor in Finavigate®. If the </w:t>
      </w:r>
      <w:proofErr w:type="spellStart"/>
      <w:r w:rsidRPr="00AF620E">
        <w:rPr>
          <w:rFonts w:eastAsiaTheme="majorEastAsia" w:cs="Arial"/>
          <w:color w:val="0070C0"/>
          <w:spacing w:val="-5"/>
          <w:szCs w:val="20"/>
        </w:rPr>
        <w:t>HoA</w:t>
      </w:r>
      <w:proofErr w:type="spellEnd"/>
      <w:r w:rsidRPr="00AF620E">
        <w:rPr>
          <w:rFonts w:eastAsiaTheme="majorEastAsia" w:cs="Arial"/>
          <w:color w:val="0070C0"/>
          <w:spacing w:val="-5"/>
          <w:szCs w:val="20"/>
        </w:rPr>
        <w:t xml:space="preserve"> doubts that the payment complies with legal requirements, has been correctly executed on basis of a legitimate liability and/or Siemens internal regul</w:t>
      </w:r>
      <w:r w:rsidRPr="00060C44">
        <w:rPr>
          <w:rFonts w:eastAsiaTheme="majorEastAsia" w:cs="Arial"/>
          <w:color w:val="0070C0"/>
          <w:spacing w:val="-5"/>
          <w:szCs w:val="20"/>
        </w:rPr>
        <w:t xml:space="preserve">ations, then the </w:t>
      </w:r>
      <w:proofErr w:type="spellStart"/>
      <w:r w:rsidRPr="00060C44">
        <w:rPr>
          <w:rFonts w:eastAsiaTheme="majorEastAsia" w:cs="Arial"/>
          <w:color w:val="0070C0"/>
          <w:spacing w:val="-5"/>
          <w:szCs w:val="20"/>
        </w:rPr>
        <w:t>HoA</w:t>
      </w:r>
      <w:proofErr w:type="spellEnd"/>
      <w:r w:rsidRPr="00060C44">
        <w:rPr>
          <w:rFonts w:eastAsiaTheme="majorEastAsia" w:cs="Arial"/>
          <w:color w:val="0070C0"/>
          <w:spacing w:val="-5"/>
          <w:szCs w:val="20"/>
        </w:rPr>
        <w:t xml:space="preserve"> should refer the payment to the local responsible </w:t>
      </w:r>
      <w:r w:rsidRPr="00060C44">
        <w:rPr>
          <w:rFonts w:eastAsiaTheme="majorEastAsia" w:cs="Arial"/>
          <w:b/>
          <w:color w:val="0070C0"/>
          <w:spacing w:val="-5"/>
          <w:szCs w:val="20"/>
        </w:rPr>
        <w:t>Compliance Officer</w:t>
      </w:r>
      <w:r w:rsidRPr="00060C44">
        <w:rPr>
          <w:rFonts w:eastAsiaTheme="majorEastAsia" w:cs="Arial"/>
          <w:color w:val="0070C0"/>
          <w:spacing w:val="-5"/>
          <w:szCs w:val="20"/>
        </w:rPr>
        <w:t xml:space="preserve"> for further assessment. </w:t>
      </w:r>
      <w:r w:rsidRPr="00060C44">
        <w:rPr>
          <w:rFonts w:eastAsiaTheme="majorEastAsia" w:cs="Arial"/>
          <w:color w:val="0070C0"/>
          <w:spacing w:val="-5"/>
          <w:szCs w:val="20"/>
        </w:rPr>
        <w:br/>
        <w:t xml:space="preserve">Payment Alerts can come form a) before final payment run execution in Finavigate® (known as </w:t>
      </w:r>
      <w:r w:rsidRPr="00060C44">
        <w:rPr>
          <w:rFonts w:eastAsiaTheme="majorEastAsia" w:cs="Arial"/>
          <w:b/>
          <w:color w:val="0070C0"/>
          <w:spacing w:val="-5"/>
          <w:szCs w:val="20"/>
        </w:rPr>
        <w:t>Suspicious Payment</w:t>
      </w:r>
      <w:r w:rsidRPr="00125D9A">
        <w:rPr>
          <w:rFonts w:eastAsiaTheme="majorEastAsia" w:cs="Arial"/>
          <w:color w:val="0070C0"/>
          <w:spacing w:val="-5"/>
          <w:szCs w:val="20"/>
        </w:rPr>
        <w:t xml:space="preserve">) and </w:t>
      </w:r>
      <w:bookmarkStart w:id="12" w:name="_Hlk40018578"/>
      <w:r w:rsidRPr="00125D9A">
        <w:rPr>
          <w:rFonts w:eastAsiaTheme="majorEastAsia" w:cs="Arial"/>
          <w:color w:val="0070C0"/>
          <w:spacing w:val="-5"/>
          <w:szCs w:val="20"/>
        </w:rPr>
        <w:t xml:space="preserve">b) after final payment run execution </w:t>
      </w:r>
      <w:bookmarkEnd w:id="12"/>
      <w:r w:rsidRPr="00125D9A">
        <w:rPr>
          <w:rFonts w:eastAsiaTheme="majorEastAsia" w:cs="Arial"/>
          <w:color w:val="0070C0"/>
          <w:spacing w:val="-5"/>
          <w:szCs w:val="20"/>
        </w:rPr>
        <w:t xml:space="preserve">in Finavigate® (known as </w:t>
      </w:r>
      <w:r w:rsidRPr="00125D9A">
        <w:rPr>
          <w:rFonts w:eastAsiaTheme="majorEastAsia" w:cs="Arial"/>
          <w:b/>
          <w:color w:val="0070C0"/>
          <w:spacing w:val="-5"/>
          <w:szCs w:val="20"/>
        </w:rPr>
        <w:t>High Risk Payment</w:t>
      </w:r>
      <w:r w:rsidRPr="00125D9A">
        <w:rPr>
          <w:rFonts w:eastAsiaTheme="majorEastAsia" w:cs="Arial"/>
          <w:color w:val="0070C0"/>
          <w:spacing w:val="-5"/>
          <w:szCs w:val="20"/>
        </w:rPr>
        <w:t xml:space="preserve">) alerts. </w:t>
      </w:r>
    </w:p>
    <w:p w14:paraId="5E251407" w14:textId="77777777" w:rsidR="00AF620E" w:rsidRPr="009004E6" w:rsidRDefault="00AF620E" w:rsidP="00AF620E">
      <w:pPr>
        <w:pStyle w:val="HighlightboxGreyBulletpoints"/>
        <w:rPr>
          <w:rFonts w:eastAsiaTheme="majorEastAsia" w:cs="Arial"/>
          <w:bCs/>
          <w:color w:val="0070C0"/>
          <w:spacing w:val="-5"/>
        </w:rPr>
      </w:pPr>
      <w:bookmarkStart w:id="13" w:name="_Hlk40033819"/>
      <w:r w:rsidRPr="009004E6">
        <w:rPr>
          <w:rFonts w:eastAsiaTheme="majorEastAsia" w:cs="Arial"/>
          <w:bCs/>
          <w:color w:val="0070C0"/>
          <w:spacing w:val="-5"/>
        </w:rPr>
        <w:t>Cash Alerts</w:t>
      </w:r>
    </w:p>
    <w:bookmarkEnd w:id="13"/>
    <w:p w14:paraId="6431F204" w14:textId="61C164FA" w:rsidR="00AF620E" w:rsidRPr="009004E6" w:rsidRDefault="00AF620E" w:rsidP="00003983">
      <w:pPr>
        <w:rPr>
          <w:rFonts w:ascii="Times New Roman" w:hAnsi="Times New Roman" w:cs="Times New Roman"/>
          <w:b/>
          <w:bCs/>
          <w:color w:val="0070C0"/>
          <w:spacing w:val="-5"/>
          <w:sz w:val="22"/>
        </w:rPr>
      </w:pPr>
      <w:r w:rsidRPr="00AF620E">
        <w:rPr>
          <w:rFonts w:eastAsiaTheme="majorEastAsia" w:cs="Arial"/>
          <w:color w:val="0070C0"/>
          <w:spacing w:val="-5"/>
          <w:szCs w:val="20"/>
        </w:rPr>
        <w:t xml:space="preserve">At the first level, the responsible </w:t>
      </w:r>
      <w:proofErr w:type="spellStart"/>
      <w:r w:rsidRPr="00AF620E">
        <w:rPr>
          <w:rFonts w:eastAsiaTheme="majorEastAsia" w:cs="Arial"/>
          <w:b/>
          <w:color w:val="0070C0"/>
          <w:spacing w:val="-5"/>
          <w:szCs w:val="20"/>
        </w:rPr>
        <w:t>HoA</w:t>
      </w:r>
      <w:proofErr w:type="spellEnd"/>
      <w:r w:rsidRPr="00AF620E">
        <w:rPr>
          <w:rFonts w:eastAsiaTheme="majorEastAsia" w:cs="Arial"/>
          <w:color w:val="0070C0"/>
          <w:spacing w:val="-5"/>
          <w:szCs w:val="20"/>
        </w:rPr>
        <w:t xml:space="preserve"> assess each detective post-payment </w:t>
      </w:r>
      <w:r w:rsidRPr="00AF620E">
        <w:rPr>
          <w:rFonts w:eastAsiaTheme="majorEastAsia" w:cs="Arial"/>
          <w:b/>
          <w:color w:val="0070C0"/>
          <w:spacing w:val="-5"/>
          <w:szCs w:val="20"/>
        </w:rPr>
        <w:t>Cash Alert</w:t>
      </w:r>
      <w:r w:rsidRPr="00AF620E">
        <w:rPr>
          <w:rFonts w:eastAsiaTheme="majorEastAsia" w:cs="Arial"/>
          <w:color w:val="0070C0"/>
          <w:spacing w:val="-5"/>
          <w:szCs w:val="20"/>
        </w:rPr>
        <w:t xml:space="preserve"> generated by the Finavigate® Outgoing Payment alert monitor</w:t>
      </w:r>
      <w:r w:rsidRPr="00060C44">
        <w:rPr>
          <w:rFonts w:eastAsiaTheme="majorEastAsia" w:cs="Arial"/>
          <w:color w:val="0070C0"/>
          <w:spacing w:val="-5"/>
          <w:szCs w:val="20"/>
        </w:rPr>
        <w:t xml:space="preserve"> in order to check why the Cash Alert was generated and to ascertain, if it is reoccurring.</w:t>
      </w:r>
      <w:r w:rsidRPr="00060C44">
        <w:rPr>
          <w:rFonts w:eastAsiaTheme="majorEastAsia" w:cs="Arial"/>
          <w:color w:val="0070C0"/>
          <w:spacing w:val="-5"/>
          <w:szCs w:val="20"/>
        </w:rPr>
        <w:br/>
        <w:t xml:space="preserve">In case of reoccurring Cash Alerts i.e. two or more Cash Alerts within one fiscal year, then the </w:t>
      </w:r>
      <w:proofErr w:type="spellStart"/>
      <w:r w:rsidRPr="00060C44">
        <w:rPr>
          <w:rFonts w:eastAsiaTheme="majorEastAsia" w:cs="Arial"/>
          <w:b/>
          <w:color w:val="0070C0"/>
          <w:spacing w:val="-5"/>
          <w:szCs w:val="20"/>
        </w:rPr>
        <w:t>HoA</w:t>
      </w:r>
      <w:proofErr w:type="spellEnd"/>
      <w:r w:rsidRPr="00060C44">
        <w:rPr>
          <w:rFonts w:eastAsiaTheme="majorEastAsia" w:cs="Arial"/>
          <w:color w:val="0070C0"/>
          <w:spacing w:val="-5"/>
          <w:szCs w:val="20"/>
        </w:rPr>
        <w:t xml:space="preserve"> has to assess the reason why Cash Alerts are </w:t>
      </w:r>
      <w:proofErr w:type="spellStart"/>
      <w:r w:rsidRPr="00060C44">
        <w:rPr>
          <w:rFonts w:eastAsiaTheme="majorEastAsia" w:cs="Arial"/>
          <w:color w:val="0070C0"/>
          <w:spacing w:val="-5"/>
          <w:szCs w:val="20"/>
        </w:rPr>
        <w:t>recu</w:t>
      </w:r>
      <w:r w:rsidR="009004E6">
        <w:rPr>
          <w:rFonts w:eastAsiaTheme="majorEastAsia" w:cs="Arial"/>
          <w:color w:val="0070C0"/>
          <w:spacing w:val="-5"/>
          <w:szCs w:val="20"/>
        </w:rPr>
        <w:t>r</w:t>
      </w:r>
      <w:r w:rsidRPr="00060C44">
        <w:rPr>
          <w:rFonts w:eastAsiaTheme="majorEastAsia" w:cs="Arial"/>
          <w:color w:val="0070C0"/>
          <w:spacing w:val="-5"/>
          <w:szCs w:val="20"/>
        </w:rPr>
        <w:t>ringly</w:t>
      </w:r>
      <w:proofErr w:type="spellEnd"/>
      <w:r w:rsidRPr="00060C44">
        <w:rPr>
          <w:rFonts w:eastAsiaTheme="majorEastAsia" w:cs="Arial"/>
          <w:color w:val="0070C0"/>
          <w:spacing w:val="-5"/>
          <w:szCs w:val="20"/>
        </w:rPr>
        <w:t xml:space="preserve"> generated and, in accordance with CF RIC PCMB  3.2.3.3-19, inform the responsible </w:t>
      </w:r>
      <w:r w:rsidRPr="00060C44">
        <w:rPr>
          <w:rFonts w:eastAsiaTheme="majorEastAsia" w:cs="Arial"/>
          <w:b/>
          <w:color w:val="0070C0"/>
          <w:spacing w:val="-5"/>
          <w:szCs w:val="20"/>
        </w:rPr>
        <w:t>Compliance Officer</w:t>
      </w:r>
      <w:r w:rsidRPr="00060C44">
        <w:rPr>
          <w:rFonts w:eastAsiaTheme="majorEastAsia" w:cs="Arial"/>
          <w:color w:val="0070C0"/>
          <w:spacing w:val="-5"/>
          <w:szCs w:val="20"/>
        </w:rPr>
        <w:t xml:space="preserve"> appropriately. The Compliance Officer should assess whether additional risk mitigation measures, in alignment with the </w:t>
      </w:r>
      <w:proofErr w:type="spellStart"/>
      <w:r w:rsidRPr="00060C44">
        <w:rPr>
          <w:rFonts w:eastAsiaTheme="majorEastAsia" w:cs="Arial"/>
          <w:color w:val="0070C0"/>
          <w:spacing w:val="-5"/>
          <w:szCs w:val="20"/>
        </w:rPr>
        <w:t>HoA</w:t>
      </w:r>
      <w:proofErr w:type="spellEnd"/>
      <w:r w:rsidRPr="00060C44">
        <w:rPr>
          <w:rFonts w:eastAsiaTheme="majorEastAsia" w:cs="Arial"/>
          <w:color w:val="0070C0"/>
          <w:spacing w:val="-5"/>
          <w:szCs w:val="20"/>
        </w:rPr>
        <w:t>, are necessary.</w:t>
      </w:r>
    </w:p>
    <w:p w14:paraId="48F90669" w14:textId="0CD409DD" w:rsidR="00510827" w:rsidRPr="00E37A14" w:rsidRDefault="00060C44" w:rsidP="00E37A14">
      <w:pPr>
        <w:pStyle w:val="berschrift2"/>
        <w:spacing w:line="300" w:lineRule="auto"/>
      </w:pPr>
      <w:r w:rsidRPr="00060C44">
        <w:t>4.</w:t>
      </w:r>
      <w:r>
        <w:t>2</w:t>
      </w:r>
      <w:r w:rsidRPr="00060C44">
        <w:t xml:space="preserve">. </w:t>
      </w:r>
      <w:r w:rsidR="00482BE9">
        <w:t>Incoming</w:t>
      </w:r>
      <w:r w:rsidRPr="00060C44">
        <w:t xml:space="preserve"> Payments</w:t>
      </w:r>
    </w:p>
    <w:p w14:paraId="51DDD75B" w14:textId="77777777" w:rsidR="009004E6" w:rsidRDefault="005A0C69" w:rsidP="009004E6">
      <w:r>
        <w:t xml:space="preserve">From an </w:t>
      </w:r>
      <w:r w:rsidR="00C80840">
        <w:t>A</w:t>
      </w:r>
      <w:r>
        <w:t>nti-</w:t>
      </w:r>
      <w:r w:rsidR="00C80840">
        <w:t>M</w:t>
      </w:r>
      <w:r>
        <w:t>oney Laundering</w:t>
      </w:r>
      <w:r w:rsidR="00C80840">
        <w:t xml:space="preserve"> (AML)</w:t>
      </w:r>
      <w:r>
        <w:t xml:space="preserve"> perspective, we should be aware of incoming payments that would trigger an AML Red Flag (</w:t>
      </w:r>
      <w:hyperlink r:id="rId25" w:history="1">
        <w:r w:rsidRPr="005A0C69">
          <w:rPr>
            <w:rStyle w:val="Hyperlink"/>
          </w:rPr>
          <w:t>Chapter C.1.</w:t>
        </w:r>
      </w:hyperlink>
      <w:r>
        <w:t xml:space="preserve">). </w:t>
      </w:r>
    </w:p>
    <w:p w14:paraId="093A05D0" w14:textId="1D868902" w:rsidR="00872765" w:rsidRPr="009004E6" w:rsidRDefault="005A0C69" w:rsidP="00003983">
      <w:r>
        <w:t xml:space="preserve">Insofar, a respective application is in development to support German AREs </w:t>
      </w:r>
      <w:r w:rsidR="00C80840">
        <w:t>regarding</w:t>
      </w:r>
      <w:r>
        <w:t xml:space="preserve"> their specific local law requirements.</w:t>
      </w:r>
    </w:p>
    <w:p w14:paraId="0D89DD3B" w14:textId="1D76372F" w:rsidR="00257675" w:rsidRPr="00257675" w:rsidRDefault="00327992" w:rsidP="00257675">
      <w:pPr>
        <w:pStyle w:val="berschrift2"/>
        <w:spacing w:line="300" w:lineRule="auto"/>
      </w:pPr>
      <w:r>
        <w:t>4</w:t>
      </w:r>
      <w:r w:rsidR="00AF325F">
        <w:t>.</w:t>
      </w:r>
      <w:r w:rsidR="00257675">
        <w:t>3</w:t>
      </w:r>
      <w:r w:rsidR="00AF325F" w:rsidRPr="00ED628A">
        <w:t>. Training &amp; Supporting Material</w:t>
      </w:r>
    </w:p>
    <w:bookmarkStart w:id="14" w:name="_Hlk3732999"/>
    <w:p w14:paraId="0267781D" w14:textId="77777777" w:rsidR="0003675F" w:rsidRPr="00AC5D18" w:rsidRDefault="0003675F" w:rsidP="0003675F">
      <w:pPr>
        <w:pStyle w:val="HighlightboxGreyBulletpoints"/>
        <w:spacing w:line="300" w:lineRule="auto"/>
        <w:rPr>
          <w:b w:val="0"/>
          <w:bCs/>
        </w:rPr>
      </w:pPr>
      <w:r w:rsidRPr="00AC5D18">
        <w:rPr>
          <w:color w:val="auto"/>
        </w:rPr>
        <w:fldChar w:fldCharType="begin"/>
      </w:r>
      <w:r w:rsidRPr="00AC5D18">
        <w:rPr>
          <w:b w:val="0"/>
          <w:bCs/>
        </w:rPr>
        <w:instrText xml:space="preserve"> HYPERLINK "https://regulations.siemens.com/content/sc/208/en" </w:instrText>
      </w:r>
      <w:r w:rsidRPr="00AC5D18">
        <w:rPr>
          <w:color w:val="auto"/>
        </w:rPr>
        <w:fldChar w:fldCharType="separate"/>
      </w:r>
      <w:r w:rsidRPr="00AC5D18">
        <w:rPr>
          <w:rStyle w:val="Hyperlink"/>
          <w:b w:val="0"/>
          <w:bCs/>
        </w:rPr>
        <w:t>Siemens Circular 208 (Treasury Transactions in the Company)</w:t>
      </w:r>
      <w:r w:rsidRPr="00AC5D18">
        <w:rPr>
          <w:rStyle w:val="Hyperlink"/>
          <w:b w:val="0"/>
          <w:bCs/>
        </w:rPr>
        <w:fldChar w:fldCharType="end"/>
      </w:r>
      <w:r w:rsidRPr="00AC5D18">
        <w:rPr>
          <w:b w:val="0"/>
          <w:bCs/>
        </w:rPr>
        <w:t xml:space="preserve"> </w:t>
      </w:r>
    </w:p>
    <w:bookmarkEnd w:id="14"/>
    <w:p w14:paraId="745FF8F6" w14:textId="3219D215" w:rsidR="005C1111" w:rsidRPr="00ED628A" w:rsidRDefault="00AF325F" w:rsidP="00063C81">
      <w:pPr>
        <w:ind w:left="360"/>
        <w:rPr>
          <w:b/>
        </w:rPr>
      </w:pPr>
      <w:r>
        <w:lastRenderedPageBreak/>
        <w:t xml:space="preserve">The circular (“Treasury Guideline”) establishes amongst other things detailed, binding objectives, </w:t>
      </w:r>
      <w:proofErr w:type="gramStart"/>
      <w:r>
        <w:t>principles</w:t>
      </w:r>
      <w:proofErr w:type="gramEnd"/>
      <w:r>
        <w:t xml:space="preserve"> and mainly central controls (Control over Funds (</w:t>
      </w:r>
      <w:proofErr w:type="spellStart"/>
      <w:r>
        <w:t>CoF</w:t>
      </w:r>
      <w:proofErr w:type="spellEnd"/>
      <w:r>
        <w:t>)) for bank accounts and payments (including cash payments).</w:t>
      </w:r>
    </w:p>
    <w:bookmarkStart w:id="15" w:name="_Hlk3733080"/>
    <w:p w14:paraId="521C15BF" w14:textId="3872E724" w:rsidR="0003675F" w:rsidRPr="006B6363" w:rsidRDefault="0003675F" w:rsidP="0003675F">
      <w:pPr>
        <w:pStyle w:val="HighlightboxGreyBulletpoints"/>
        <w:spacing w:line="300" w:lineRule="auto"/>
        <w:rPr>
          <w:rStyle w:val="Hyperlink"/>
          <w:b w:val="0"/>
          <w:color w:val="006487" w:themeColor="accent3"/>
          <w:u w:val="none"/>
        </w:rPr>
      </w:pPr>
      <w:r>
        <w:fldChar w:fldCharType="begin"/>
      </w:r>
      <w:r>
        <w:instrText xml:space="preserve"> HYPERLINK "https://regulations-admin.siemens.com/content/sc/130/en" </w:instrText>
      </w:r>
      <w:r>
        <w:fldChar w:fldCharType="separate"/>
      </w:r>
      <w:r w:rsidRPr="00AC5D18">
        <w:rPr>
          <w:rStyle w:val="Hyperlink"/>
          <w:b w:val="0"/>
        </w:rPr>
        <w:t>Siemens Circular No. 130 (Compliance in the Purchasing Process – Purchase-to-Pay (P2P) Control Framework)</w:t>
      </w:r>
      <w:r>
        <w:rPr>
          <w:rStyle w:val="Hyperlink"/>
          <w:b w:val="0"/>
        </w:rPr>
        <w:fldChar w:fldCharType="end"/>
      </w:r>
    </w:p>
    <w:bookmarkEnd w:id="15"/>
    <w:p w14:paraId="745FF8F8" w14:textId="071D625C" w:rsidR="005C1111" w:rsidRDefault="00AF325F" w:rsidP="008E3687">
      <w:pPr>
        <w:ind w:left="360"/>
        <w:rPr>
          <w:b/>
        </w:rPr>
      </w:pPr>
      <w:r>
        <w:t>The Purchase-to-Pay (P2P) Control Framework is a company-wide rule set comprising compliance-related controls for the purchasing process, along with the corresponding regulations, remediation measures and obligatory procedures to be instituted throughout the company.</w:t>
      </w:r>
    </w:p>
    <w:p w14:paraId="745FF8FB" w14:textId="5B2FD054" w:rsidR="005C1111" w:rsidRDefault="00327992">
      <w:pPr>
        <w:pStyle w:val="berschrift2"/>
      </w:pPr>
      <w:r>
        <w:t>4</w:t>
      </w:r>
      <w:r w:rsidR="00AF325F">
        <w:t>.</w:t>
      </w:r>
      <w:r w:rsidR="00482BE9">
        <w:t>4</w:t>
      </w:r>
      <w:r w:rsidR="00AF325F">
        <w:t>. History of changes</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2490"/>
        <w:gridCol w:w="5638"/>
      </w:tblGrid>
      <w:tr w:rsidR="005C1111" w14:paraId="745FF8FF" w14:textId="77777777">
        <w:tc>
          <w:tcPr>
            <w:tcW w:w="1960" w:type="dxa"/>
            <w:shd w:val="clear" w:color="auto" w:fill="879BAA" w:themeFill="text2"/>
          </w:tcPr>
          <w:p w14:paraId="745FF8FC" w14:textId="77777777" w:rsidR="005C1111" w:rsidRDefault="00AF325F">
            <w:pPr>
              <w:rPr>
                <w:b/>
                <w:color w:val="auto"/>
              </w:rPr>
            </w:pPr>
            <w:r>
              <w:rPr>
                <w:b/>
                <w:color w:val="auto"/>
              </w:rPr>
              <w:t xml:space="preserve">Date </w:t>
            </w:r>
          </w:p>
        </w:tc>
        <w:tc>
          <w:tcPr>
            <w:tcW w:w="2520" w:type="dxa"/>
            <w:shd w:val="clear" w:color="auto" w:fill="879BAA" w:themeFill="text2"/>
          </w:tcPr>
          <w:p w14:paraId="745FF8FD" w14:textId="77777777" w:rsidR="005C1111" w:rsidRDefault="00AF325F">
            <w:pPr>
              <w:rPr>
                <w:b/>
                <w:color w:val="auto"/>
              </w:rPr>
            </w:pPr>
            <w:r>
              <w:rPr>
                <w:b/>
                <w:color w:val="auto"/>
              </w:rPr>
              <w:t>Author</w:t>
            </w:r>
          </w:p>
        </w:tc>
        <w:tc>
          <w:tcPr>
            <w:tcW w:w="5745" w:type="dxa"/>
            <w:shd w:val="clear" w:color="auto" w:fill="879BAA" w:themeFill="text2"/>
          </w:tcPr>
          <w:p w14:paraId="745FF8FE" w14:textId="77777777" w:rsidR="005C1111" w:rsidRDefault="00AF325F">
            <w:pPr>
              <w:rPr>
                <w:b/>
                <w:color w:val="auto"/>
              </w:rPr>
            </w:pPr>
            <w:r>
              <w:rPr>
                <w:b/>
                <w:color w:val="auto"/>
              </w:rPr>
              <w:t>Major changes of binding content</w:t>
            </w:r>
          </w:p>
        </w:tc>
      </w:tr>
      <w:tr w:rsidR="005C1111" w14:paraId="745FF903" w14:textId="77777777">
        <w:tc>
          <w:tcPr>
            <w:tcW w:w="1960" w:type="dxa"/>
          </w:tcPr>
          <w:p w14:paraId="745FF900" w14:textId="753B09DB" w:rsidR="00D60BD6" w:rsidRPr="00DF4A7D" w:rsidRDefault="00327992" w:rsidP="00F47324">
            <w:r>
              <w:t>January 1, 2019</w:t>
            </w:r>
          </w:p>
        </w:tc>
        <w:tc>
          <w:tcPr>
            <w:tcW w:w="2520" w:type="dxa"/>
          </w:tcPr>
          <w:p w14:paraId="745FF901" w14:textId="482885FB" w:rsidR="00D60BD6" w:rsidRPr="00AD17A8" w:rsidRDefault="00AF325F" w:rsidP="00F47324">
            <w:pPr>
              <w:rPr>
                <w:rFonts w:ascii="MinionPro-Regular" w:hAnsi="MinionPro-Regular" w:cs="MinionPro-Regular"/>
                <w:color w:val="000000"/>
                <w:sz w:val="24"/>
                <w:szCs w:val="24"/>
              </w:rPr>
            </w:pPr>
            <w:r w:rsidRPr="00F47324">
              <w:t>Dieter Heinke</w:t>
            </w:r>
            <w:r w:rsidRPr="00F47324">
              <w:br/>
            </w:r>
            <w:r w:rsidR="00327992" w:rsidRPr="00F47324">
              <w:t>(</w:t>
            </w:r>
            <w:r w:rsidRPr="00F47324">
              <w:t>LC CO OC CCF</w:t>
            </w:r>
            <w:r w:rsidR="00327992" w:rsidRPr="00F47324">
              <w:t>)</w:t>
            </w:r>
          </w:p>
        </w:tc>
        <w:tc>
          <w:tcPr>
            <w:tcW w:w="5745" w:type="dxa"/>
          </w:tcPr>
          <w:p w14:paraId="745FF902" w14:textId="30136EFB" w:rsidR="00D60BD6" w:rsidRPr="00AD17A8" w:rsidRDefault="00AF325F" w:rsidP="00F47324">
            <w:pPr>
              <w:rPr>
                <w:rFonts w:ascii="MinionPro-Regular" w:hAnsi="MinionPro-Regular" w:cs="MinionPro-Regular"/>
                <w:color w:val="000000"/>
                <w:sz w:val="24"/>
                <w:szCs w:val="24"/>
              </w:rPr>
            </w:pPr>
            <w:r>
              <w:t xml:space="preserve">First </w:t>
            </w:r>
            <w:r w:rsidR="00327992">
              <w:t>release through the Compliance Handbook based on Siemens Circular SC No.226 “Global Compliance”</w:t>
            </w:r>
            <w:r>
              <w:t>.</w:t>
            </w:r>
          </w:p>
        </w:tc>
      </w:tr>
      <w:tr w:rsidR="00F47324" w:rsidRPr="00F47324" w14:paraId="0E9E6E0B" w14:textId="77777777">
        <w:tc>
          <w:tcPr>
            <w:tcW w:w="1960" w:type="dxa"/>
          </w:tcPr>
          <w:p w14:paraId="436378FC" w14:textId="1DB8EDBB" w:rsidR="00F47324" w:rsidRDefault="00F47324" w:rsidP="00F47324">
            <w:r>
              <w:t>April 1, 2020</w:t>
            </w:r>
          </w:p>
        </w:tc>
        <w:tc>
          <w:tcPr>
            <w:tcW w:w="2520" w:type="dxa"/>
          </w:tcPr>
          <w:p w14:paraId="5A25304A" w14:textId="25C5284F" w:rsidR="00F47324" w:rsidRPr="00F47324" w:rsidRDefault="00F47324" w:rsidP="00F47324">
            <w:pPr>
              <w:rPr>
                <w:lang w:val="de-DE"/>
              </w:rPr>
            </w:pPr>
            <w:r w:rsidRPr="00F47324">
              <w:rPr>
                <w:lang w:val="de-DE"/>
              </w:rPr>
              <w:t xml:space="preserve">Dieter Heinke </w:t>
            </w:r>
            <w:r>
              <w:rPr>
                <w:lang w:val="de-DE"/>
              </w:rPr>
              <w:t>(</w:t>
            </w:r>
            <w:r w:rsidRPr="00F47324">
              <w:rPr>
                <w:lang w:val="de-DE"/>
              </w:rPr>
              <w:t>LC CO R</w:t>
            </w:r>
            <w:r>
              <w:rPr>
                <w:lang w:val="de-DE"/>
              </w:rPr>
              <w:t>FC RC C)</w:t>
            </w:r>
          </w:p>
        </w:tc>
        <w:tc>
          <w:tcPr>
            <w:tcW w:w="5745" w:type="dxa"/>
          </w:tcPr>
          <w:p w14:paraId="5FBA716E" w14:textId="6C2135EF" w:rsidR="00F47324" w:rsidRPr="00F47324" w:rsidRDefault="00F47324" w:rsidP="00F47324">
            <w:r w:rsidRPr="008B08E8">
              <w:t>Deletion of CRB Q 3 references</w:t>
            </w:r>
          </w:p>
        </w:tc>
      </w:tr>
      <w:tr w:rsidR="002461EA" w:rsidRPr="002461EA" w14:paraId="7ACBB58F" w14:textId="77777777">
        <w:tc>
          <w:tcPr>
            <w:tcW w:w="1960" w:type="dxa"/>
          </w:tcPr>
          <w:p w14:paraId="68B1EF41" w14:textId="03296F37" w:rsidR="002461EA" w:rsidRDefault="002461EA" w:rsidP="00F47324">
            <w:r>
              <w:t>October 1, 2020</w:t>
            </w:r>
          </w:p>
        </w:tc>
        <w:tc>
          <w:tcPr>
            <w:tcW w:w="2520" w:type="dxa"/>
          </w:tcPr>
          <w:p w14:paraId="0D3488E0" w14:textId="68EEF19D" w:rsidR="002461EA" w:rsidRPr="00F47324" w:rsidRDefault="002461EA" w:rsidP="00F47324">
            <w:pPr>
              <w:rPr>
                <w:lang w:val="de-DE"/>
              </w:rPr>
            </w:pPr>
            <w:r w:rsidRPr="002461EA">
              <w:rPr>
                <w:lang w:val="de-DE"/>
              </w:rPr>
              <w:t>Dieter Heinke (LC CO RFC RC C)</w:t>
            </w:r>
          </w:p>
        </w:tc>
        <w:tc>
          <w:tcPr>
            <w:tcW w:w="5745" w:type="dxa"/>
          </w:tcPr>
          <w:p w14:paraId="55C0DA6A" w14:textId="77777777" w:rsidR="00950453" w:rsidRDefault="00950453" w:rsidP="00F47324">
            <w:r>
              <w:t xml:space="preserve">New title of the Chapter (formerly </w:t>
            </w:r>
            <w:proofErr w:type="gramStart"/>
            <w:r>
              <w:t>high risk</w:t>
            </w:r>
            <w:proofErr w:type="gramEnd"/>
            <w:r>
              <w:t xml:space="preserve"> payment) </w:t>
            </w:r>
          </w:p>
          <w:p w14:paraId="3373C14F" w14:textId="54580094" w:rsidR="002461EA" w:rsidRPr="002461EA" w:rsidRDefault="002461EA" w:rsidP="00F47324">
            <w:r w:rsidRPr="009004E6">
              <w:t xml:space="preserve">New </w:t>
            </w:r>
            <w:r w:rsidR="00482BE9">
              <w:t>C</w:t>
            </w:r>
            <w:r w:rsidRPr="009004E6">
              <w:t>hapter struct</w:t>
            </w:r>
            <w:r w:rsidR="00125D9A">
              <w:t>ure</w:t>
            </w:r>
            <w:r w:rsidRPr="009004E6">
              <w:t xml:space="preserve"> regarding outgo</w:t>
            </w:r>
            <w:r>
              <w:t>i</w:t>
            </w:r>
            <w:r w:rsidRPr="009004E6">
              <w:t>ng and incoming payments wit</w:t>
            </w:r>
            <w:r>
              <w:t>h specific focus on involvement of Corporate Compliance and obligations resp. contribution</w:t>
            </w:r>
            <w:r w:rsidR="00125D9A">
              <w:t xml:space="preserve"> of Compliance officers</w:t>
            </w:r>
            <w:r>
              <w:t xml:space="preserve"> </w:t>
            </w:r>
          </w:p>
        </w:tc>
      </w:tr>
    </w:tbl>
    <w:p w14:paraId="745FF904" w14:textId="43AA5F45" w:rsidR="005C1111" w:rsidRPr="002461EA" w:rsidRDefault="005C1111">
      <w:pPr>
        <w:ind w:firstLine="360"/>
      </w:pPr>
    </w:p>
    <w:p w14:paraId="2D759F06" w14:textId="4F1B1458" w:rsidR="00327992" w:rsidRDefault="00327992">
      <w:pPr>
        <w:pStyle w:val="berschrift2"/>
      </w:pPr>
      <w:r>
        <w:t>4.</w:t>
      </w:r>
      <w:r w:rsidR="00482BE9">
        <w:t>5</w:t>
      </w:r>
      <w:r>
        <w:t>. Contacts</w:t>
      </w:r>
    </w:p>
    <w:p w14:paraId="146277EF" w14:textId="77777777" w:rsidR="00327992" w:rsidRDefault="00327992" w:rsidP="00327992">
      <w:pPr>
        <w:pStyle w:val="HighlightboxGreyBulletpoints"/>
      </w:pPr>
      <w:r>
        <w:t xml:space="preserve">Compliance Officer </w:t>
      </w:r>
    </w:p>
    <w:p w14:paraId="209FBBA1" w14:textId="7EB7FF14" w:rsidR="00327992" w:rsidRDefault="00327992" w:rsidP="00327992">
      <w:pPr>
        <w:ind w:left="360"/>
      </w:pPr>
      <w:r>
        <w:rPr>
          <w:rFonts w:eastAsia="Siemens Sans" w:cs="Arial"/>
          <w:lang w:eastAsia="de-DE"/>
        </w:rPr>
        <w:t xml:space="preserve">The Compliance Officer responsible for your unit can be found through the following </w:t>
      </w:r>
      <w:hyperlink r:id="rId26" w:history="1">
        <w:r w:rsidRPr="00AC467F">
          <w:rPr>
            <w:rStyle w:val="Hyperlink"/>
            <w:rFonts w:eastAsia="Siemens Sans" w:cs="Arial"/>
            <w:lang w:eastAsia="de-DE"/>
          </w:rPr>
          <w:t>link</w:t>
        </w:r>
      </w:hyperlink>
      <w:r>
        <w:rPr>
          <w:rFonts w:eastAsia="Siemens Sans" w:cs="Arial"/>
          <w:lang w:eastAsia="de-DE"/>
        </w:rPr>
        <w:t>.</w:t>
      </w:r>
      <w:r>
        <w:t xml:space="preserve"> </w:t>
      </w:r>
    </w:p>
    <w:p w14:paraId="2AEDE4FC" w14:textId="77777777" w:rsidR="00327992" w:rsidRDefault="00327992" w:rsidP="00327992">
      <w:pPr>
        <w:pStyle w:val="HighlightboxGreyBulletpoints"/>
      </w:pPr>
      <w:r>
        <w:t>Corporate Governance Owner</w:t>
      </w:r>
    </w:p>
    <w:p w14:paraId="458C688F" w14:textId="5CE840FE" w:rsidR="00327992" w:rsidRDefault="00327992" w:rsidP="00327992">
      <w:pPr>
        <w:ind w:left="360"/>
        <w:rPr>
          <w:lang w:eastAsia="de-DE"/>
        </w:rPr>
      </w:pPr>
      <w:r>
        <w:rPr>
          <w:lang w:eastAsia="de-DE"/>
        </w:rPr>
        <w:lastRenderedPageBreak/>
        <w:t xml:space="preserve">The contact person for </w:t>
      </w:r>
      <w:r w:rsidR="002461EA">
        <w:rPr>
          <w:lang w:eastAsia="de-DE"/>
        </w:rPr>
        <w:t>Outgoing</w:t>
      </w:r>
      <w:r>
        <w:rPr>
          <w:lang w:eastAsia="de-DE"/>
        </w:rPr>
        <w:t xml:space="preserve"> Payments is:</w:t>
      </w:r>
    </w:p>
    <w:p w14:paraId="4831A7B2" w14:textId="0601F7ED" w:rsidR="00ED628A" w:rsidRPr="00F47324" w:rsidRDefault="009D3868">
      <w:pPr>
        <w:ind w:left="360"/>
        <w:rPr>
          <w:lang w:val="de-DE" w:eastAsia="de-DE"/>
        </w:rPr>
      </w:pPr>
      <w:hyperlink r:id="rId27" w:history="1">
        <w:r w:rsidR="00327992" w:rsidRPr="00C90FC3">
          <w:rPr>
            <w:rStyle w:val="Hyperlink"/>
            <w:lang w:val="de-DE" w:eastAsia="de-DE"/>
          </w:rPr>
          <w:t>Dieter Heinke</w:t>
        </w:r>
      </w:hyperlink>
      <w:r w:rsidR="00327992" w:rsidRPr="00C90FC3">
        <w:rPr>
          <w:lang w:val="de-DE" w:eastAsia="de-DE"/>
        </w:rPr>
        <w:t xml:space="preserve"> (</w:t>
      </w:r>
      <w:r w:rsidR="00C90FC3" w:rsidRPr="00C90FC3">
        <w:rPr>
          <w:lang w:val="de-DE" w:eastAsia="de-DE"/>
        </w:rPr>
        <w:t>LC CO RFC RC C</w:t>
      </w:r>
      <w:r w:rsidR="00C90FC3">
        <w:rPr>
          <w:lang w:val="de-DE" w:eastAsia="de-DE"/>
        </w:rPr>
        <w:t>)</w:t>
      </w:r>
    </w:p>
    <w:sectPr w:rsidR="00ED628A" w:rsidRPr="00F47324">
      <w:headerReference w:type="even" r:id="rId28"/>
      <w:headerReference w:type="default" r:id="rId29"/>
      <w:footerReference w:type="even" r:id="rId30"/>
      <w:footerReference w:type="default" r:id="rId31"/>
      <w:headerReference w:type="first" r:id="rId32"/>
      <w:footerReference w:type="first" r:id="rId33"/>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9E6E3" w14:textId="77777777" w:rsidR="00063C81" w:rsidRDefault="00063C81">
      <w:pPr>
        <w:spacing w:after="0" w:line="240" w:lineRule="auto"/>
      </w:pPr>
      <w:r>
        <w:separator/>
      </w:r>
    </w:p>
  </w:endnote>
  <w:endnote w:type="continuationSeparator" w:id="0">
    <w:p w14:paraId="60D6FA12" w14:textId="77777777" w:rsidR="00063C81" w:rsidRDefault="00063C81">
      <w:pPr>
        <w:spacing w:after="0" w:line="240" w:lineRule="auto"/>
      </w:pPr>
      <w:r>
        <w:continuationSeparator/>
      </w:r>
    </w:p>
  </w:endnote>
  <w:endnote w:type="continuationNotice" w:id="1">
    <w:p w14:paraId="3A095FB9" w14:textId="77777777" w:rsidR="0044059D" w:rsidRDefault="004405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emens Sans">
    <w:panose1 w:val="00000000000000000000"/>
    <w:charset w:val="00"/>
    <w:family w:val="auto"/>
    <w:pitch w:val="variable"/>
    <w:sig w:usb0="A00002FF" w:usb1="0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40CB0" w14:textId="77777777" w:rsidR="00482BE9" w:rsidRDefault="00482BE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FF914" w14:textId="77777777" w:rsidR="00063C81" w:rsidRDefault="00063C81">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C26F0" w14:textId="77777777" w:rsidR="00482BE9" w:rsidRDefault="00482B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91C1D" w14:textId="77777777" w:rsidR="00063C81" w:rsidRDefault="00063C81">
      <w:pPr>
        <w:spacing w:after="0" w:line="240" w:lineRule="auto"/>
      </w:pPr>
      <w:r>
        <w:separator/>
      </w:r>
    </w:p>
  </w:footnote>
  <w:footnote w:type="continuationSeparator" w:id="0">
    <w:p w14:paraId="54040CC8" w14:textId="77777777" w:rsidR="00063C81" w:rsidRDefault="00063C81">
      <w:pPr>
        <w:spacing w:after="0" w:line="240" w:lineRule="auto"/>
      </w:pPr>
      <w:r>
        <w:continuationSeparator/>
      </w:r>
    </w:p>
  </w:footnote>
  <w:footnote w:type="continuationNotice" w:id="1">
    <w:p w14:paraId="649ADE13" w14:textId="77777777" w:rsidR="0044059D" w:rsidRDefault="004405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7FD75" w14:textId="77777777" w:rsidR="00482BE9" w:rsidRDefault="00482BE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063C81" w14:paraId="745FF90D" w14:textId="77777777" w:rsidTr="005C1111">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745FF909" w14:textId="77777777" w:rsidR="00063C81" w:rsidRDefault="00063C81">
          <w:pPr>
            <w:pStyle w:val="Kopfzeile"/>
            <w:ind w:left="-426"/>
          </w:pPr>
          <w:r>
            <w:t>z</w:t>
          </w:r>
        </w:p>
      </w:tc>
      <w:tc>
        <w:tcPr>
          <w:tcW w:w="624" w:type="dxa"/>
        </w:tcPr>
        <w:p w14:paraId="745FF90A" w14:textId="77777777" w:rsidR="00063C81" w:rsidRDefault="00063C81">
          <w:pPr>
            <w:pStyle w:val="Kopfzeile"/>
            <w:ind w:left="-641"/>
          </w:pPr>
        </w:p>
      </w:tc>
      <w:tc>
        <w:tcPr>
          <w:tcW w:w="9752" w:type="dxa"/>
        </w:tcPr>
        <w:p w14:paraId="745FF90B" w14:textId="77777777" w:rsidR="00063C81" w:rsidRDefault="00063C81">
          <w:pPr>
            <w:pStyle w:val="Kopfzeile"/>
          </w:pPr>
        </w:p>
      </w:tc>
      <w:tc>
        <w:tcPr>
          <w:tcW w:w="1173" w:type="dxa"/>
        </w:tcPr>
        <w:p w14:paraId="745FF90C" w14:textId="77777777" w:rsidR="00063C81" w:rsidRDefault="00063C81">
          <w:pPr>
            <w:pStyle w:val="Kopfzeile"/>
          </w:pPr>
        </w:p>
      </w:tc>
    </w:tr>
    <w:tr w:rsidR="00063C81" w14:paraId="745FF912" w14:textId="77777777" w:rsidTr="005C1111">
      <w:trPr>
        <w:cantSplit/>
        <w:trHeight w:hRule="exact" w:val="575"/>
      </w:trPr>
      <w:tc>
        <w:tcPr>
          <w:tcW w:w="1020" w:type="dxa"/>
        </w:tcPr>
        <w:p w14:paraId="745FF90E" w14:textId="77777777" w:rsidR="00063C81" w:rsidRDefault="00063C81">
          <w:pPr>
            <w:pStyle w:val="Fuzeile"/>
          </w:pPr>
        </w:p>
      </w:tc>
      <w:tc>
        <w:tcPr>
          <w:tcW w:w="624" w:type="dxa"/>
          <w:vAlign w:val="bottom"/>
        </w:tcPr>
        <w:p w14:paraId="745FF90F" w14:textId="77777777" w:rsidR="00063C81" w:rsidRDefault="00063C81">
          <w:pPr>
            <w:pStyle w:val="Fuzeile"/>
            <w:jc w:val="center"/>
          </w:pPr>
          <w:r>
            <w:rPr>
              <w:noProof/>
            </w:rPr>
            <w:drawing>
              <wp:inline distT="0" distB="0" distL="0" distR="0" wp14:anchorId="745FF915" wp14:editId="745FF916">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745FF910" w14:textId="4523E5F8" w:rsidR="00063C81" w:rsidRDefault="00063C81">
          <w:pPr>
            <w:pStyle w:val="Header"/>
          </w:pPr>
          <w:r>
            <w:t xml:space="preserve">Compliance Handbook | Part 2 | H. Compliance in Business Processes | 4. </w:t>
          </w:r>
          <w:r w:rsidR="00510827">
            <w:t>Outgoing and in</w:t>
          </w:r>
          <w:r w:rsidR="00482BE9">
            <w:t>coming payments</w:t>
          </w:r>
        </w:p>
      </w:tc>
      <w:tc>
        <w:tcPr>
          <w:tcW w:w="1173" w:type="dxa"/>
        </w:tcPr>
        <w:p w14:paraId="745FF911" w14:textId="77777777" w:rsidR="00063C81" w:rsidRDefault="00063C81">
          <w:pPr>
            <w:pStyle w:val="Header"/>
          </w:pPr>
        </w:p>
      </w:tc>
    </w:tr>
  </w:tbl>
  <w:p w14:paraId="745FF913" w14:textId="77777777" w:rsidR="00063C81" w:rsidRDefault="00063C8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F9543" w14:textId="77777777" w:rsidR="00482BE9" w:rsidRDefault="00482BE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3189"/>
    <w:multiLevelType w:val="hybridMultilevel"/>
    <w:tmpl w:val="1E1A2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EA5FC7"/>
    <w:multiLevelType w:val="hybridMultilevel"/>
    <w:tmpl w:val="27BA5F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3" w15:restartNumberingAfterBreak="0">
    <w:nsid w:val="10221AC2"/>
    <w:multiLevelType w:val="hybridMultilevel"/>
    <w:tmpl w:val="9446D51A"/>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857F67"/>
    <w:multiLevelType w:val="hybridMultilevel"/>
    <w:tmpl w:val="5824EF12"/>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6" w15:restartNumberingAfterBreak="0">
    <w:nsid w:val="375D33C9"/>
    <w:multiLevelType w:val="hybridMultilevel"/>
    <w:tmpl w:val="C694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E30DA"/>
    <w:multiLevelType w:val="hybridMultilevel"/>
    <w:tmpl w:val="4E54473E"/>
    <w:lvl w:ilvl="0" w:tplc="2AFEAB82">
      <w:start w:val="1"/>
      <w:numFmt w:val="decimal"/>
      <w:lvlText w:val="(%1)"/>
      <w:lvlJc w:val="left"/>
      <w:pPr>
        <w:ind w:left="720" w:hanging="360"/>
      </w:pPr>
      <w:rPr>
        <w:rFonts w:ascii="SymbolMT" w:hAnsi="SymbolMT" w:cs="SymbolMT"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BE7594F"/>
    <w:multiLevelType w:val="hybridMultilevel"/>
    <w:tmpl w:val="4E54473E"/>
    <w:lvl w:ilvl="0" w:tplc="2AFEAB82">
      <w:start w:val="1"/>
      <w:numFmt w:val="decimal"/>
      <w:lvlText w:val="(%1)"/>
      <w:lvlJc w:val="left"/>
      <w:pPr>
        <w:ind w:left="720" w:hanging="360"/>
      </w:pPr>
      <w:rPr>
        <w:rFonts w:ascii="SymbolMT" w:hAnsi="SymbolMT" w:cs="SymbolMT"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BF975D5"/>
    <w:multiLevelType w:val="hybridMultilevel"/>
    <w:tmpl w:val="62A4C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1" w15:restartNumberingAfterBreak="0">
    <w:nsid w:val="40757B02"/>
    <w:multiLevelType w:val="hybridMultilevel"/>
    <w:tmpl w:val="9650FE48"/>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47B06CD1"/>
    <w:multiLevelType w:val="hybridMultilevel"/>
    <w:tmpl w:val="E8BE5AF6"/>
    <w:lvl w:ilvl="0" w:tplc="B4ACC7D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F522F6"/>
    <w:multiLevelType w:val="hybridMultilevel"/>
    <w:tmpl w:val="DD5A6E00"/>
    <w:lvl w:ilvl="0" w:tplc="747E762A">
      <w:start w:val="1"/>
      <w:numFmt w:val="bullet"/>
      <w:lvlText w:val="→"/>
      <w:lvlJc w:val="left"/>
      <w:pPr>
        <w:tabs>
          <w:tab w:val="num" w:pos="720"/>
        </w:tabs>
        <w:ind w:left="720" w:hanging="360"/>
      </w:pPr>
      <w:rPr>
        <w:rFonts w:ascii="Arial" w:hAnsi="Arial" w:hint="default"/>
      </w:rPr>
    </w:lvl>
    <w:lvl w:ilvl="1" w:tplc="97481AD6" w:tentative="1">
      <w:start w:val="1"/>
      <w:numFmt w:val="bullet"/>
      <w:lvlText w:val="→"/>
      <w:lvlJc w:val="left"/>
      <w:pPr>
        <w:tabs>
          <w:tab w:val="num" w:pos="1440"/>
        </w:tabs>
        <w:ind w:left="1440" w:hanging="360"/>
      </w:pPr>
      <w:rPr>
        <w:rFonts w:ascii="Arial" w:hAnsi="Arial" w:hint="default"/>
      </w:rPr>
    </w:lvl>
    <w:lvl w:ilvl="2" w:tplc="F4002918" w:tentative="1">
      <w:start w:val="1"/>
      <w:numFmt w:val="bullet"/>
      <w:lvlText w:val="→"/>
      <w:lvlJc w:val="left"/>
      <w:pPr>
        <w:tabs>
          <w:tab w:val="num" w:pos="2160"/>
        </w:tabs>
        <w:ind w:left="2160" w:hanging="360"/>
      </w:pPr>
      <w:rPr>
        <w:rFonts w:ascii="Arial" w:hAnsi="Arial" w:hint="default"/>
      </w:rPr>
    </w:lvl>
    <w:lvl w:ilvl="3" w:tplc="DC380FD6" w:tentative="1">
      <w:start w:val="1"/>
      <w:numFmt w:val="bullet"/>
      <w:lvlText w:val="→"/>
      <w:lvlJc w:val="left"/>
      <w:pPr>
        <w:tabs>
          <w:tab w:val="num" w:pos="2880"/>
        </w:tabs>
        <w:ind w:left="2880" w:hanging="360"/>
      </w:pPr>
      <w:rPr>
        <w:rFonts w:ascii="Arial" w:hAnsi="Arial" w:hint="default"/>
      </w:rPr>
    </w:lvl>
    <w:lvl w:ilvl="4" w:tplc="FFE829DC" w:tentative="1">
      <w:start w:val="1"/>
      <w:numFmt w:val="bullet"/>
      <w:lvlText w:val="→"/>
      <w:lvlJc w:val="left"/>
      <w:pPr>
        <w:tabs>
          <w:tab w:val="num" w:pos="3600"/>
        </w:tabs>
        <w:ind w:left="3600" w:hanging="360"/>
      </w:pPr>
      <w:rPr>
        <w:rFonts w:ascii="Arial" w:hAnsi="Arial" w:hint="default"/>
      </w:rPr>
    </w:lvl>
    <w:lvl w:ilvl="5" w:tplc="45345DC4" w:tentative="1">
      <w:start w:val="1"/>
      <w:numFmt w:val="bullet"/>
      <w:lvlText w:val="→"/>
      <w:lvlJc w:val="left"/>
      <w:pPr>
        <w:tabs>
          <w:tab w:val="num" w:pos="4320"/>
        </w:tabs>
        <w:ind w:left="4320" w:hanging="360"/>
      </w:pPr>
      <w:rPr>
        <w:rFonts w:ascii="Arial" w:hAnsi="Arial" w:hint="default"/>
      </w:rPr>
    </w:lvl>
    <w:lvl w:ilvl="6" w:tplc="C520DF26" w:tentative="1">
      <w:start w:val="1"/>
      <w:numFmt w:val="bullet"/>
      <w:lvlText w:val="→"/>
      <w:lvlJc w:val="left"/>
      <w:pPr>
        <w:tabs>
          <w:tab w:val="num" w:pos="5040"/>
        </w:tabs>
        <w:ind w:left="5040" w:hanging="360"/>
      </w:pPr>
      <w:rPr>
        <w:rFonts w:ascii="Arial" w:hAnsi="Arial" w:hint="default"/>
      </w:rPr>
    </w:lvl>
    <w:lvl w:ilvl="7" w:tplc="501EED42" w:tentative="1">
      <w:start w:val="1"/>
      <w:numFmt w:val="bullet"/>
      <w:lvlText w:val="→"/>
      <w:lvlJc w:val="left"/>
      <w:pPr>
        <w:tabs>
          <w:tab w:val="num" w:pos="5760"/>
        </w:tabs>
        <w:ind w:left="5760" w:hanging="360"/>
      </w:pPr>
      <w:rPr>
        <w:rFonts w:ascii="Arial" w:hAnsi="Arial" w:hint="default"/>
      </w:rPr>
    </w:lvl>
    <w:lvl w:ilvl="8" w:tplc="A16675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A442259"/>
    <w:multiLevelType w:val="hybridMultilevel"/>
    <w:tmpl w:val="D4E292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D0C5F"/>
    <w:multiLevelType w:val="hybridMultilevel"/>
    <w:tmpl w:val="369C8CF0"/>
    <w:lvl w:ilvl="0" w:tplc="1C36B646">
      <w:numFmt w:val="bullet"/>
      <w:lvlText w:val=""/>
      <w:lvlJc w:val="left"/>
      <w:pPr>
        <w:ind w:left="720" w:hanging="360"/>
      </w:pPr>
      <w:rPr>
        <w:rFonts w:ascii="Wingdings" w:eastAsia="Calibr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8" w15:restartNumberingAfterBreak="0">
    <w:nsid w:val="66D538B5"/>
    <w:multiLevelType w:val="hybridMultilevel"/>
    <w:tmpl w:val="64D8483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1" w15:restartNumberingAfterBreak="0">
    <w:nsid w:val="7DE4557B"/>
    <w:multiLevelType w:val="hybridMultilevel"/>
    <w:tmpl w:val="224402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0"/>
  </w:num>
  <w:num w:numId="4">
    <w:abstractNumId w:val="10"/>
  </w:num>
  <w:num w:numId="5">
    <w:abstractNumId w:val="13"/>
  </w:num>
  <w:num w:numId="6">
    <w:abstractNumId w:val="2"/>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9"/>
  </w:num>
  <w:num w:numId="16">
    <w:abstractNumId w:val="6"/>
  </w:num>
  <w:num w:numId="17">
    <w:abstractNumId w:val="5"/>
  </w:num>
  <w:num w:numId="18">
    <w:abstractNumId w:val="5"/>
  </w:num>
  <w:num w:numId="19">
    <w:abstractNumId w:val="5"/>
  </w:num>
  <w:num w:numId="20">
    <w:abstractNumId w:val="16"/>
  </w:num>
  <w:num w:numId="21">
    <w:abstractNumId w:val="5"/>
  </w:num>
  <w:num w:numId="22">
    <w:abstractNumId w:val="5"/>
  </w:num>
  <w:num w:numId="23">
    <w:abstractNumId w:val="5"/>
  </w:num>
  <w:num w:numId="24">
    <w:abstractNumId w:val="10"/>
  </w:num>
  <w:num w:numId="25">
    <w:abstractNumId w:val="14"/>
  </w:num>
  <w:num w:numId="26">
    <w:abstractNumId w:val="20"/>
  </w:num>
  <w:num w:numId="27">
    <w:abstractNumId w:val="20"/>
  </w:num>
  <w:num w:numId="28">
    <w:abstractNumId w:val="20"/>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8"/>
  </w:num>
  <w:num w:numId="32">
    <w:abstractNumId w:val="18"/>
  </w:num>
  <w:num w:numId="33">
    <w:abstractNumId w:val="1"/>
  </w:num>
  <w:num w:numId="34">
    <w:abstractNumId w:val="3"/>
  </w:num>
  <w:num w:numId="35">
    <w:abstractNumId w:val="20"/>
  </w:num>
  <w:num w:numId="36">
    <w:abstractNumId w:val="20"/>
  </w:num>
  <w:num w:numId="37">
    <w:abstractNumId w:val="11"/>
  </w:num>
  <w:num w:numId="38">
    <w:abstractNumId w:val="15"/>
  </w:num>
  <w:num w:numId="39">
    <w:abstractNumId w:val="0"/>
  </w:num>
  <w:num w:numId="40">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880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11"/>
    <w:rsid w:val="00003983"/>
    <w:rsid w:val="0003675F"/>
    <w:rsid w:val="00060C44"/>
    <w:rsid w:val="00063C81"/>
    <w:rsid w:val="000C7D66"/>
    <w:rsid w:val="000D32C3"/>
    <w:rsid w:val="00107CD3"/>
    <w:rsid w:val="00125D9A"/>
    <w:rsid w:val="001756BA"/>
    <w:rsid w:val="00190298"/>
    <w:rsid w:val="00194200"/>
    <w:rsid w:val="001C164A"/>
    <w:rsid w:val="00206D72"/>
    <w:rsid w:val="002461EA"/>
    <w:rsid w:val="00257675"/>
    <w:rsid w:val="002E1647"/>
    <w:rsid w:val="00327992"/>
    <w:rsid w:val="00382AAE"/>
    <w:rsid w:val="003A0C82"/>
    <w:rsid w:val="003E54DE"/>
    <w:rsid w:val="00432ED6"/>
    <w:rsid w:val="0044059D"/>
    <w:rsid w:val="00482BE9"/>
    <w:rsid w:val="00487CB6"/>
    <w:rsid w:val="004B1C2B"/>
    <w:rsid w:val="004F6B99"/>
    <w:rsid w:val="00510827"/>
    <w:rsid w:val="005623BF"/>
    <w:rsid w:val="005A0C69"/>
    <w:rsid w:val="005C1111"/>
    <w:rsid w:val="00633B99"/>
    <w:rsid w:val="006454AE"/>
    <w:rsid w:val="00645927"/>
    <w:rsid w:val="006943E9"/>
    <w:rsid w:val="006B406F"/>
    <w:rsid w:val="006B6363"/>
    <w:rsid w:val="006C79A2"/>
    <w:rsid w:val="006D0F4C"/>
    <w:rsid w:val="00706D86"/>
    <w:rsid w:val="00744B5B"/>
    <w:rsid w:val="00792CC3"/>
    <w:rsid w:val="0081325C"/>
    <w:rsid w:val="00864DE9"/>
    <w:rsid w:val="00872765"/>
    <w:rsid w:val="008E3687"/>
    <w:rsid w:val="009004E6"/>
    <w:rsid w:val="00950453"/>
    <w:rsid w:val="009C01C2"/>
    <w:rsid w:val="009D3868"/>
    <w:rsid w:val="009F63DD"/>
    <w:rsid w:val="00AC467F"/>
    <w:rsid w:val="00AD17A8"/>
    <w:rsid w:val="00AF325F"/>
    <w:rsid w:val="00AF620E"/>
    <w:rsid w:val="00C26CA0"/>
    <w:rsid w:val="00C80840"/>
    <w:rsid w:val="00C90FC3"/>
    <w:rsid w:val="00C956B0"/>
    <w:rsid w:val="00CA17D0"/>
    <w:rsid w:val="00D15275"/>
    <w:rsid w:val="00D26260"/>
    <w:rsid w:val="00D60BD6"/>
    <w:rsid w:val="00D65856"/>
    <w:rsid w:val="00DD7D42"/>
    <w:rsid w:val="00DF4A7D"/>
    <w:rsid w:val="00E311DE"/>
    <w:rsid w:val="00E37A14"/>
    <w:rsid w:val="00EA3EFA"/>
    <w:rsid w:val="00ED628A"/>
    <w:rsid w:val="00F47324"/>
    <w:rsid w:val="00F724CA"/>
    <w:rsid w:val="00FA2F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745FF8D6"/>
  <w15:docId w15:val="{3C407B25-BDF2-405D-8579-A068B96B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qFormat/>
    <w:rsid w:val="00060C44"/>
    <w:pPr>
      <w:spacing w:after="140" w:line="300" w:lineRule="auto"/>
    </w:pPr>
    <w:rPr>
      <w:sz w:val="20"/>
    </w:rPr>
  </w:style>
  <w:style w:type="paragraph" w:styleId="berschrift1">
    <w:name w:val="heading 1"/>
    <w:aliases w:val="_Headline 18 pt"/>
    <w:basedOn w:val="Standard"/>
    <w:next w:val="Standard"/>
    <w:link w:val="berschrift1Zchn"/>
    <w:uiPriority w:val="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pPr>
      <w:keepNext/>
      <w:keepLines/>
      <w:spacing w:before="360" w:after="12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
    <w:next w:val="Standard"/>
    <w:link w:val="berschrift3Zchn"/>
    <w:uiPriority w:val="9"/>
    <w:unhideWhenUsed/>
    <w:qFormat/>
    <w:pPr>
      <w:spacing w:before="360" w:after="12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pPr>
      <w:outlineLvl w:val="3"/>
    </w:pPr>
    <w:rPr>
      <w:bCs/>
      <w:iCs/>
    </w:rPr>
  </w:style>
  <w:style w:type="paragraph" w:styleId="berschrift5">
    <w:name w:val="heading 5"/>
    <w:basedOn w:val="berschrift3"/>
    <w:next w:val="KeinAbsatzformat"/>
    <w:link w:val="berschrift5Zchn"/>
    <w:uiPriority w:val="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pPr>
      <w:keepNext/>
      <w:keepLines/>
      <w:outlineLvl w:val="5"/>
    </w:pPr>
    <w:rPr>
      <w:iCs/>
    </w:rPr>
  </w:style>
  <w:style w:type="paragraph" w:styleId="berschrift7">
    <w:name w:val="heading 7"/>
    <w:basedOn w:val="Standard"/>
    <w:next w:val="Standard"/>
    <w:link w:val="berschrift7Zchn"/>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
    <w:basedOn w:val="Absatz-Standardschriftart"/>
    <w:link w:val="berschrift3"/>
    <w:uiPriority w:val="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22"/>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33"/>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pPr>
      <w:spacing w:after="200" w:line="276" w:lineRule="auto"/>
    </w:pPr>
    <w:rPr>
      <w:sz w:val="22"/>
    </w:rPr>
  </w:style>
  <w:style w:type="character" w:customStyle="1" w:styleId="FunotentextZchn">
    <w:name w:val="Fußnotentext Zchn"/>
    <w:basedOn w:val="Absatz-Standardschriftart"/>
    <w:link w:val="Funotentext"/>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style>
  <w:style w:type="character" w:customStyle="1" w:styleId="berschrift8Zchn">
    <w:name w:val="Überschrift 8 Zchn"/>
    <w:basedOn w:val="Absatz-Standardschriftart"/>
    <w:link w:val="berschrift8"/>
    <w:rPr>
      <w:i/>
      <w:iCs/>
      <w:szCs w:val="24"/>
    </w:rPr>
  </w:style>
  <w:style w:type="character" w:customStyle="1" w:styleId="berschrift9Zchn">
    <w:name w:val="Überschrift 9 Zchn"/>
    <w:basedOn w:val="Absatz-Standardschriftart"/>
    <w:link w:val="berschrift9"/>
    <w:rPr>
      <w:rFonts w:cs="Arial"/>
    </w:rPr>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NichtaufgelsteErwhnung">
    <w:name w:val="Unresolved Mention"/>
    <w:basedOn w:val="Absatz-Standardschriftart"/>
    <w:uiPriority w:val="99"/>
    <w:semiHidden/>
    <w:unhideWhenUsed/>
    <w:rsid w:val="006C79A2"/>
    <w:rPr>
      <w:color w:val="605E5C"/>
      <w:shd w:val="clear" w:color="auto" w:fill="E1DFDD"/>
    </w:rPr>
  </w:style>
  <w:style w:type="character" w:customStyle="1" w:styleId="paragraph">
    <w:name w:val="paragraph"/>
    <w:basedOn w:val="Absatz-Standardschriftart"/>
    <w:rsid w:val="00257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602224084">
      <w:bodyDiv w:val="1"/>
      <w:marLeft w:val="0"/>
      <w:marRight w:val="0"/>
      <w:marTop w:val="0"/>
      <w:marBottom w:val="0"/>
      <w:divBdr>
        <w:top w:val="none" w:sz="0" w:space="0" w:color="auto"/>
        <w:left w:val="none" w:sz="0" w:space="0" w:color="auto"/>
        <w:bottom w:val="none" w:sz="0" w:space="0" w:color="auto"/>
        <w:right w:val="none" w:sz="0" w:space="0" w:color="auto"/>
      </w:divBdr>
    </w:div>
    <w:div w:id="61474991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39953474">
      <w:bodyDiv w:val="1"/>
      <w:marLeft w:val="0"/>
      <w:marRight w:val="0"/>
      <w:marTop w:val="0"/>
      <w:marBottom w:val="0"/>
      <w:divBdr>
        <w:top w:val="none" w:sz="0" w:space="0" w:color="auto"/>
        <w:left w:val="none" w:sz="0" w:space="0" w:color="auto"/>
        <w:bottom w:val="none" w:sz="0" w:space="0" w:color="auto"/>
        <w:right w:val="none" w:sz="0" w:space="0" w:color="auto"/>
      </w:divBdr>
    </w:div>
    <w:div w:id="1150946620">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985815007">
      <w:bodyDiv w:val="1"/>
      <w:marLeft w:val="0"/>
      <w:marRight w:val="0"/>
      <w:marTop w:val="0"/>
      <w:marBottom w:val="0"/>
      <w:divBdr>
        <w:top w:val="none" w:sz="0" w:space="0" w:color="auto"/>
        <w:left w:val="none" w:sz="0" w:space="0" w:color="auto"/>
        <w:bottom w:val="none" w:sz="0" w:space="0" w:color="auto"/>
        <w:right w:val="none" w:sz="0" w:space="0" w:color="auto"/>
      </w:divBdr>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books.siemens.com/public/LC/chen/index.htm?n=Part-1-Activity-Fields,A.-Anti-Corruption,5.-Facilitation-Payments" TargetMode="External"/><Relationship Id="rId18" Type="http://schemas.openxmlformats.org/officeDocument/2006/relationships/hyperlink" Target="https://srs.siemens.cloud/" TargetMode="External"/><Relationship Id="rId26" Type="http://schemas.openxmlformats.org/officeDocument/2006/relationships/hyperlink" Target="https://intranet.for.siemens.com/cms/059/en/about/org/Pages/compliance_organization.aspx" TargetMode="External"/><Relationship Id="rId3" Type="http://schemas.openxmlformats.org/officeDocument/2006/relationships/customXml" Target="../customXml/item3.xml"/><Relationship Id="rId21" Type="http://schemas.openxmlformats.org/officeDocument/2006/relationships/hyperlink" Target="https://wse04.siemens.com/content/P0003122/P2P_Purchasing_Governance/P2P%20Purchasing%20Control%20Framework/2.%20P2P%20Role%20Model%20and%20Responsibilities/P2P_Purchasing_Role_Model.pdf"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ebbooks.siemens.com/public/LC/chen/index.htm?n=Part-1-Activity-Fields,A.-Anti-Corruption,2.-Sponsoring,-Donations,-Memberships" TargetMode="External"/><Relationship Id="rId17" Type="http://schemas.openxmlformats.org/officeDocument/2006/relationships/hyperlink" Target="https://regulations-admin.siemens.com/content/sc/130/en" TargetMode="External"/><Relationship Id="rId25" Type="http://schemas.openxmlformats.org/officeDocument/2006/relationships/hyperlink" Target="https://webbooks.siemens.com/public/LC/chen/index.htm?n=Part-1-Activity-Fields,C.-Anti-Money-Laundering-(AML),1.-AML-Red-Flags"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regulations.siemens.com/content/sc/208/en" TargetMode="External"/><Relationship Id="rId20" Type="http://schemas.openxmlformats.org/officeDocument/2006/relationships/hyperlink" Target="https://wse04.siemens.com/content/P0003122/Vendor%20Dashboard/Support_Trainings_official/SCM%20Vendor%20Dashboard_Intro_and_Assessment_Guide.pdf"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books.siemens.com/public/LC/chen/index.htm?n=Part-1-Activity-Fields,A.-Anti-Corruption,1.-Gifts-and-Hospitality" TargetMode="External"/><Relationship Id="rId24" Type="http://schemas.openxmlformats.org/officeDocument/2006/relationships/hyperlink" Target="https://wse04.siemens.com/content/P0003122/Vendor%20Dashboard/Support_Trainings_official/SCM%20Vendor%20Dashboard_Intro_and_Assessment_Guide.pdf"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regulations.siemens.com/content/sc/208/en" TargetMode="External"/><Relationship Id="rId23" Type="http://schemas.openxmlformats.org/officeDocument/2006/relationships/hyperlink" Target="https://webbooks.siemens.com/public/LC/chen/index.htm?n=Part-2-Business-Perspective,H.-Compliance-in-Business-Processes-and-Projects,2.-Compliance-in-Procurement,2.4.-Vendor-Dashboard"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intranet.for.siemens.com/cms/050/en/processes/jobrole/Pages/purchase-to-pay.aspx"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books.siemens.com/public/LC/chen/index.htm?n=Part-1-Activity-Fields,A.-Anti-Corruption,3.-Cooperation-with-Business-Partners" TargetMode="External"/><Relationship Id="rId22" Type="http://schemas.openxmlformats.org/officeDocument/2006/relationships/hyperlink" Target="https://wse04.siemens.com/content/P0003122/P2P_Purchasing_Governance/P2P%20Purchasing%20Control%20Framework/2.%20P2P%20Role%20Model%20and%20Responsibilities/P2P_Purchasing_Role_Model.pdf" TargetMode="External"/><Relationship Id="rId27" Type="http://schemas.openxmlformats.org/officeDocument/2006/relationships/hyperlink" Target="https://scd.siemens.com/luz/IdentitySearch?cn=Dieter+heinke&amp;suchart=schnell&amp;utI=I&amp;utX=X&amp;utT=T&amp;rtH=H&amp;rtS=S&amp;rtZ=Z&amp;rtO=O&amp;rtAktiv=A" TargetMode="External"/><Relationship Id="rId30" Type="http://schemas.openxmlformats.org/officeDocument/2006/relationships/footer" Target="footer1.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96</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H. Compliance in Business Processes and Projects</TermName>
          <TermId xmlns="http://schemas.microsoft.com/office/infopath/2007/PartnerControls">1973ca93-017d-444e-9a75-c9da93f4a188</TermId>
        </TermInfo>
      </Terms>
    </nb766c42a6d34ad7b224884871f9394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A47259-F80F-4F90-8D1B-28512001E3DB}">
  <ds:schemaRefs>
    <ds:schemaRef ds:uri="http://schemas.openxmlformats.org/officeDocument/2006/bibliography"/>
  </ds:schemaRefs>
</ds:datastoreItem>
</file>

<file path=customXml/itemProps2.xml><?xml version="1.0" encoding="utf-8"?>
<ds:datastoreItem xmlns:ds="http://schemas.openxmlformats.org/officeDocument/2006/customXml" ds:itemID="{9C5C410B-8DA4-4E57-8D14-A0D69B388DE0}">
  <ds:schemaRefs>
    <ds:schemaRef ds:uri="http://schemas.microsoft.com/office/2006/documentManagement/types"/>
    <ds:schemaRef ds:uri="91B9760D-53D8-425F-9F7F-8911CF84EED2"/>
    <ds:schemaRef ds:uri="http://purl.org/dc/elements/1.1/"/>
    <ds:schemaRef ds:uri="http://schemas.microsoft.com/office/2006/metadata/properties"/>
    <ds:schemaRef ds:uri="http://schemas.openxmlformats.org/package/2006/metadata/core-properties"/>
    <ds:schemaRef ds:uri="91b9760d-53d8-425f-9f7f-8911cf84eed2"/>
    <ds:schemaRef ds:uri="http://purl.org/dc/terms/"/>
    <ds:schemaRef ds:uri="http://schemas.microsoft.com/office/infopath/2007/PartnerControls"/>
    <ds:schemaRef ds:uri="6ee1f5f8-4a5f-4619-969f-c34e20667274"/>
    <ds:schemaRef ds:uri="http://www.w3.org/XML/1998/namespace"/>
    <ds:schemaRef ds:uri="http://purl.org/dc/dcmitype/"/>
  </ds:schemaRefs>
</ds:datastoreItem>
</file>

<file path=customXml/itemProps3.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4.xml><?xml version="1.0" encoding="utf-8"?>
<ds:datastoreItem xmlns:ds="http://schemas.openxmlformats.org/officeDocument/2006/customXml" ds:itemID="{21650B2E-4133-4526-872F-FA02F37F4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5</Pages>
  <Words>1640</Words>
  <Characters>10337</Characters>
  <Application>Microsoft Office Word</Application>
  <DocSecurity>0</DocSecurity>
  <Lines>86</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12</cp:revision>
  <cp:lastPrinted>2020-01-07T10:11:00Z</cp:lastPrinted>
  <dcterms:created xsi:type="dcterms:W3CDTF">2020-09-20T09:21:00Z</dcterms:created>
  <dcterms:modified xsi:type="dcterms:W3CDTF">2020-10-08T09:08:00Z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-1947138397</vt:i4>
  </property>
  <property fmtid="{D5CDD505-2E9C-101B-9397-08002B2CF9AE}" pid="3" name="_NewReviewCycle">
    <vt:lpwstr/>
  </property>
  <property fmtid="{D5CDD505-2E9C-101B-9397-08002B2CF9AE}" pid="4" name="_EmailSubject">
    <vt:lpwstr>Compliance in Procurement &amp; P2P</vt:lpwstr>
  </property>
  <property fmtid="{D5CDD505-2E9C-101B-9397-08002B2CF9AE}" pid="5" name="_AuthorEmail">
    <vt:lpwstr>dieter.heinke@siemens.com</vt:lpwstr>
  </property>
  <property fmtid="{D5CDD505-2E9C-101B-9397-08002B2CF9AE}" pid="6" name="_AuthorEmailDisplayName">
    <vt:lpwstr>Heinke, Dieter (LC CO OC CCF)</vt:lpwstr>
  </property>
  <property fmtid="{D5CDD505-2E9C-101B-9397-08002B2CF9AE}" pid="7" name="_PreviousAdHocReviewCycleID">
    <vt:i4>552928882</vt:i4>
  </property>
  <property fmtid="{D5CDD505-2E9C-101B-9397-08002B2CF9AE}" pid="8" name="ContentTypeId">
    <vt:lpwstr>0x010100DA792F68E16F46C1935D46987B61C0F50099EFCC051DBFF746BCEF6C3628588333</vt:lpwstr>
  </property>
  <property fmtid="{D5CDD505-2E9C-101B-9397-08002B2CF9AE}" pid="9" name="TOC">
    <vt:lpwstr>96;#H. Compliance in Business Processes and Projects|1973ca93-017d-444e-9a75-c9da93f4a188</vt:lpwstr>
  </property>
  <property fmtid="{D5CDD505-2E9C-101B-9397-08002B2CF9AE}" pid="10" name="Document Confidentiality">
    <vt:lpwstr>Restricted</vt:lpwstr>
  </property>
  <property fmtid="{D5CDD505-2E9C-101B-9397-08002B2CF9AE}" pid="11" name="_ReviewingToolsShownOnce">
    <vt:lpwstr/>
  </property>
  <property fmtid="{D5CDD505-2E9C-101B-9397-08002B2CF9AE}" pid="12" name="MSIP_Label_a59b6cd5-d141-4a33-8bf1-0ca04484304f_Enabled">
    <vt:lpwstr>true</vt:lpwstr>
  </property>
  <property fmtid="{D5CDD505-2E9C-101B-9397-08002B2CF9AE}" pid="13" name="MSIP_Label_a59b6cd5-d141-4a33-8bf1-0ca04484304f_SetDate">
    <vt:lpwstr>2020-09-19T16:38:12Z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7e415df4-b5e7-48fa-ae71-010d12bff103</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