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B4C72" w14:textId="77626C51" w:rsidR="00955898" w:rsidRDefault="00CF6B4E">
      <w:pPr>
        <w:pStyle w:val="berschrift2"/>
        <w:rPr>
          <w:sz w:val="52"/>
          <w:szCs w:val="52"/>
        </w:rPr>
      </w:pPr>
      <w:bookmarkStart w:id="0" w:name="_Ref464052864"/>
      <w:r>
        <w:rPr>
          <w:sz w:val="52"/>
          <w:szCs w:val="52"/>
        </w:rPr>
        <w:t xml:space="preserve">0. </w:t>
      </w:r>
      <w:bookmarkEnd w:id="0"/>
      <w:r>
        <w:rPr>
          <w:sz w:val="52"/>
          <w:szCs w:val="52"/>
        </w:rPr>
        <w:t>Introduction</w:t>
      </w:r>
      <w:r w:rsidR="00566A54">
        <w:rPr>
          <w:sz w:val="52"/>
          <w:szCs w:val="52"/>
        </w:rPr>
        <w:t xml:space="preserve"> to Business Processes and Projects</w:t>
      </w:r>
    </w:p>
    <w:p w14:paraId="0A9B4C73" w14:textId="44DE5DC0" w:rsidR="00955898" w:rsidRDefault="00CF6B4E">
      <w:pPr>
        <w:jc w:val="both"/>
        <w:rPr>
          <w:bCs/>
        </w:rPr>
      </w:pPr>
      <w:r>
        <w:rPr>
          <w:bCs/>
        </w:rPr>
        <w:t>Siemens business is often close</w:t>
      </w:r>
      <w:r w:rsidR="008D4943">
        <w:rPr>
          <w:bCs/>
        </w:rPr>
        <w:t>ly</w:t>
      </w:r>
      <w:r>
        <w:rPr>
          <w:bCs/>
        </w:rPr>
        <w:t xml:space="preserve"> connected to processes which support </w:t>
      </w:r>
      <w:r w:rsidR="00422230">
        <w:rPr>
          <w:bCs/>
        </w:rPr>
        <w:t xml:space="preserve">procurement, </w:t>
      </w:r>
      <w:r>
        <w:rPr>
          <w:bCs/>
        </w:rPr>
        <w:t>sale of products or to projects which handle the major undertakings.</w:t>
      </w:r>
    </w:p>
    <w:p w14:paraId="0A9B4C74" w14:textId="7621B904" w:rsidR="00955898" w:rsidRDefault="00CF6B4E">
      <w:pPr>
        <w:jc w:val="both"/>
        <w:rPr>
          <w:bCs/>
        </w:rPr>
      </w:pPr>
      <w:r>
        <w:rPr>
          <w:bCs/>
        </w:rPr>
        <w:t>Both business types show characteristic challenges and risk areas.</w:t>
      </w:r>
      <w:r w:rsidR="008D4943">
        <w:rPr>
          <w:bCs/>
        </w:rPr>
        <w:t xml:space="preserve"> </w:t>
      </w:r>
      <w:r>
        <w:rPr>
          <w:bCs/>
        </w:rPr>
        <w:t>Siemens manages these factors via the creation of a respective awareness and, if adequate, further trainings and support tools.</w:t>
      </w:r>
    </w:p>
    <w:p w14:paraId="747D7A41" w14:textId="7E47949E" w:rsidR="00E46AC9" w:rsidRDefault="00E46AC9" w:rsidP="00E46AC9">
      <w:pPr>
        <w:jc w:val="both"/>
        <w:rPr>
          <w:bCs/>
        </w:rPr>
      </w:pPr>
      <w:r w:rsidRPr="00E46AC9">
        <w:rPr>
          <w:bCs/>
        </w:rPr>
        <w:t>This chapter takes the perspective of the business and intends to provide access to t</w:t>
      </w:r>
      <w:r>
        <w:rPr>
          <w:bCs/>
        </w:rPr>
        <w:t>he different risks and activity</w:t>
      </w:r>
      <w:r w:rsidRPr="00E46AC9">
        <w:rPr>
          <w:bCs/>
        </w:rPr>
        <w:t xml:space="preserve"> fields </w:t>
      </w:r>
      <w:r>
        <w:rPr>
          <w:bCs/>
        </w:rPr>
        <w:t xml:space="preserve">(chapters A. – </w:t>
      </w:r>
      <w:r w:rsidR="003671C7">
        <w:rPr>
          <w:bCs/>
        </w:rPr>
        <w:t>G</w:t>
      </w:r>
      <w:r>
        <w:rPr>
          <w:bCs/>
        </w:rPr>
        <w:t xml:space="preserve">.) </w:t>
      </w:r>
      <w:r w:rsidRPr="00E46AC9">
        <w:rPr>
          <w:bCs/>
        </w:rPr>
        <w:t>by explaining them in the context of Compliance in Business Processes.</w:t>
      </w:r>
    </w:p>
    <w:p w14:paraId="69D92222" w14:textId="0B22DD3F" w:rsidR="00422230" w:rsidRDefault="00422230" w:rsidP="00422230">
      <w:pPr>
        <w:pStyle w:val="KeinAbsatzformat"/>
        <w:rPr>
          <w:rFonts w:ascii="Arial" w:hAnsi="Arial" w:cs="Arial"/>
          <w:sz w:val="20"/>
          <w:szCs w:val="20"/>
          <w:lang w:val="en-US"/>
        </w:rPr>
      </w:pPr>
      <w:r w:rsidRPr="00422230">
        <w:rPr>
          <w:rFonts w:ascii="Arial" w:hAnsi="Arial" w:cs="Arial"/>
          <w:sz w:val="20"/>
          <w:szCs w:val="20"/>
          <w:lang w:val="en-US"/>
        </w:rPr>
        <w:t xml:space="preserve">The different fields considered are: </w:t>
      </w:r>
    </w:p>
    <w:p w14:paraId="4DA8FF4E" w14:textId="6757235B" w:rsidR="00A51BBC" w:rsidRPr="00422230" w:rsidRDefault="00224CAD" w:rsidP="00A51BBC">
      <w:pPr>
        <w:pStyle w:val="KeinAbsatzformat"/>
        <w:numPr>
          <w:ilvl w:val="0"/>
          <w:numId w:val="43"/>
        </w:numPr>
        <w:rPr>
          <w:rFonts w:ascii="Arial" w:hAnsi="Arial" w:cs="Arial"/>
          <w:sz w:val="20"/>
          <w:szCs w:val="20"/>
          <w:lang w:val="en-US"/>
        </w:rPr>
      </w:pPr>
      <w:hyperlink r:id="rId12" w:history="1">
        <w:r w:rsidR="00A51BBC">
          <w:rPr>
            <w:rStyle w:val="Hyperlink"/>
            <w:rFonts w:ascii="Arial" w:hAnsi="Arial" w:cs="Arial"/>
            <w:sz w:val="20"/>
            <w:szCs w:val="20"/>
            <w:lang w:val="en-US"/>
          </w:rPr>
          <w:t>Compliance in project business</w:t>
        </w:r>
      </w:hyperlink>
      <w:r w:rsidR="00A51BBC">
        <w:rPr>
          <w:rFonts w:ascii="Arial" w:hAnsi="Arial" w:cs="Arial"/>
          <w:sz w:val="20"/>
          <w:szCs w:val="20"/>
          <w:lang w:val="en-US"/>
        </w:rPr>
        <w:t xml:space="preserve"> (H.1.)</w:t>
      </w:r>
    </w:p>
    <w:p w14:paraId="3954BEE3" w14:textId="46B00937" w:rsidR="00D740EA" w:rsidRDefault="00224CAD" w:rsidP="00876FED">
      <w:pPr>
        <w:pStyle w:val="KeinAbsatzformat"/>
        <w:numPr>
          <w:ilvl w:val="0"/>
          <w:numId w:val="43"/>
        </w:numPr>
        <w:rPr>
          <w:rFonts w:ascii="Arial" w:hAnsi="Arial" w:cs="Arial"/>
          <w:sz w:val="20"/>
          <w:szCs w:val="20"/>
          <w:lang w:val="en-US"/>
        </w:rPr>
      </w:pPr>
      <w:hyperlink r:id="rId13" w:history="1">
        <w:r w:rsidR="00D740EA">
          <w:rPr>
            <w:rStyle w:val="Hyperlink"/>
            <w:rFonts w:ascii="Arial" w:hAnsi="Arial" w:cs="Arial"/>
            <w:sz w:val="20"/>
            <w:szCs w:val="20"/>
            <w:lang w:val="en-US"/>
          </w:rPr>
          <w:t>Compliance in procurement</w:t>
        </w:r>
      </w:hyperlink>
      <w:r w:rsidR="00D740EA">
        <w:rPr>
          <w:rFonts w:ascii="Arial" w:hAnsi="Arial" w:cs="Arial"/>
          <w:sz w:val="20"/>
          <w:szCs w:val="20"/>
          <w:lang w:val="en-US"/>
        </w:rPr>
        <w:t xml:space="preserve"> (H.2.)</w:t>
      </w:r>
    </w:p>
    <w:p w14:paraId="74EFE8C1" w14:textId="4AC785AA" w:rsidR="00A51BBC" w:rsidRPr="00422230" w:rsidRDefault="00224CAD" w:rsidP="00A51BBC">
      <w:pPr>
        <w:pStyle w:val="KeinAbsatzformat"/>
        <w:numPr>
          <w:ilvl w:val="0"/>
          <w:numId w:val="43"/>
        </w:numPr>
        <w:rPr>
          <w:rFonts w:ascii="Arial" w:hAnsi="Arial" w:cs="Arial"/>
          <w:sz w:val="20"/>
          <w:szCs w:val="20"/>
          <w:lang w:val="en-US"/>
        </w:rPr>
      </w:pPr>
      <w:hyperlink r:id="rId14" w:history="1">
        <w:r w:rsidR="00A51BBC" w:rsidRPr="00536A97">
          <w:rPr>
            <w:rStyle w:val="Hyperlink"/>
            <w:rFonts w:ascii="Arial" w:hAnsi="Arial" w:cs="Arial"/>
            <w:sz w:val="20"/>
            <w:szCs w:val="20"/>
            <w:lang w:val="en-US"/>
          </w:rPr>
          <w:t>Requirements of third parties</w:t>
        </w:r>
        <w:r w:rsidR="00536A97" w:rsidRPr="00536A97">
          <w:rPr>
            <w:rStyle w:val="Hyperlink"/>
            <w:rFonts w:ascii="Arial" w:hAnsi="Arial" w:cs="Arial"/>
            <w:sz w:val="20"/>
            <w:szCs w:val="20"/>
            <w:lang w:val="en-US"/>
          </w:rPr>
          <w:t xml:space="preserve"> (e.g. in tenders)</w:t>
        </w:r>
      </w:hyperlink>
      <w:r w:rsidR="00A51BBC" w:rsidRPr="00422230">
        <w:rPr>
          <w:rFonts w:ascii="Arial" w:hAnsi="Arial" w:cs="Arial"/>
          <w:sz w:val="20"/>
          <w:szCs w:val="20"/>
          <w:lang w:val="en-US"/>
        </w:rPr>
        <w:t xml:space="preserve"> </w:t>
      </w:r>
      <w:r w:rsidR="00A51BBC">
        <w:rPr>
          <w:rFonts w:ascii="Arial" w:hAnsi="Arial" w:cs="Arial"/>
          <w:sz w:val="20"/>
          <w:szCs w:val="20"/>
          <w:lang w:val="en-US"/>
        </w:rPr>
        <w:t>(H.3.)</w:t>
      </w:r>
    </w:p>
    <w:p w14:paraId="6B773991" w14:textId="635F9802" w:rsidR="00D740EA" w:rsidRDefault="00224CAD" w:rsidP="00422230">
      <w:pPr>
        <w:pStyle w:val="KeinAbsatzformat"/>
        <w:numPr>
          <w:ilvl w:val="0"/>
          <w:numId w:val="43"/>
        </w:numPr>
        <w:rPr>
          <w:rFonts w:ascii="Arial" w:hAnsi="Arial" w:cs="Arial"/>
          <w:sz w:val="20"/>
          <w:szCs w:val="20"/>
          <w:lang w:val="en-US"/>
        </w:rPr>
      </w:pPr>
      <w:hyperlink r:id="rId15" w:history="1">
        <w:r w:rsidR="00D740EA">
          <w:rPr>
            <w:rStyle w:val="Hyperlink"/>
            <w:rFonts w:ascii="Arial" w:hAnsi="Arial" w:cs="Arial"/>
            <w:sz w:val="20"/>
            <w:szCs w:val="20"/>
            <w:lang w:val="en-US"/>
          </w:rPr>
          <w:t>High Risk Payments</w:t>
        </w:r>
      </w:hyperlink>
      <w:r w:rsidR="00D740EA">
        <w:rPr>
          <w:rFonts w:ascii="Arial" w:hAnsi="Arial" w:cs="Arial"/>
          <w:sz w:val="20"/>
          <w:szCs w:val="20"/>
          <w:lang w:val="en-US"/>
        </w:rPr>
        <w:t xml:space="preserve"> (H.4.)</w:t>
      </w:r>
    </w:p>
    <w:p w14:paraId="655768FB" w14:textId="06AF29A5" w:rsidR="00FF10B7" w:rsidRDefault="00224CAD" w:rsidP="00422230">
      <w:pPr>
        <w:pStyle w:val="KeinAbsatzformat"/>
        <w:numPr>
          <w:ilvl w:val="0"/>
          <w:numId w:val="43"/>
        </w:numPr>
        <w:rPr>
          <w:rFonts w:ascii="Arial" w:hAnsi="Arial" w:cs="Arial"/>
          <w:sz w:val="20"/>
          <w:szCs w:val="20"/>
          <w:lang w:val="en-US"/>
        </w:rPr>
      </w:pPr>
      <w:hyperlink r:id="rId16" w:history="1">
        <w:proofErr w:type="spellStart"/>
        <w:r w:rsidR="00FF10B7" w:rsidRPr="00224CAD">
          <w:rPr>
            <w:rStyle w:val="Hyperlink"/>
            <w:rFonts w:ascii="Arial" w:hAnsi="Arial" w:cs="Arial"/>
            <w:sz w:val="20"/>
            <w:szCs w:val="20"/>
            <w:lang w:val="en-US"/>
          </w:rPr>
          <w:t>Compliance@Production</w:t>
        </w:r>
        <w:proofErr w:type="spellEnd"/>
        <w:r w:rsidR="00FF10B7" w:rsidRPr="00224CAD">
          <w:rPr>
            <w:rStyle w:val="Hyperlink"/>
            <w:rFonts w:ascii="Arial" w:hAnsi="Arial" w:cs="Arial"/>
            <w:sz w:val="20"/>
            <w:szCs w:val="20"/>
            <w:lang w:val="en-US"/>
          </w:rPr>
          <w:t xml:space="preserve"> Facilities</w:t>
        </w:r>
      </w:hyperlink>
      <w:r w:rsidR="00FF10B7">
        <w:rPr>
          <w:rFonts w:ascii="Arial" w:hAnsi="Arial" w:cs="Arial"/>
          <w:sz w:val="20"/>
          <w:szCs w:val="20"/>
          <w:lang w:val="en-US"/>
        </w:rPr>
        <w:t xml:space="preserve"> (H.5.)</w:t>
      </w:r>
    </w:p>
    <w:p w14:paraId="35FF0D89" w14:textId="3F64D042" w:rsidR="00FF10B7" w:rsidRDefault="00224CAD" w:rsidP="00422230">
      <w:pPr>
        <w:pStyle w:val="KeinAbsatzformat"/>
        <w:numPr>
          <w:ilvl w:val="0"/>
          <w:numId w:val="43"/>
        </w:numPr>
        <w:rPr>
          <w:rFonts w:ascii="Arial" w:hAnsi="Arial" w:cs="Arial"/>
          <w:sz w:val="20"/>
          <w:szCs w:val="20"/>
          <w:lang w:val="en-US"/>
        </w:rPr>
      </w:pPr>
      <w:hyperlink r:id="rId17" w:history="1">
        <w:r w:rsidR="00FF10B7" w:rsidRPr="00224CAD">
          <w:rPr>
            <w:rStyle w:val="Hyperlink"/>
            <w:rFonts w:ascii="Arial" w:hAnsi="Arial" w:cs="Arial"/>
            <w:sz w:val="20"/>
            <w:szCs w:val="20"/>
            <w:lang w:val="en-US"/>
          </w:rPr>
          <w:t>Compliance in Minorities</w:t>
        </w:r>
      </w:hyperlink>
      <w:r w:rsidR="00FF10B7">
        <w:rPr>
          <w:rFonts w:ascii="Arial" w:hAnsi="Arial" w:cs="Arial"/>
          <w:sz w:val="20"/>
          <w:szCs w:val="20"/>
          <w:lang w:val="en-US"/>
        </w:rPr>
        <w:t xml:space="preserve"> (H.6.)</w:t>
      </w:r>
    </w:p>
    <w:p w14:paraId="6561A389" w14:textId="47D4F5FB" w:rsidR="00FF10B7" w:rsidRDefault="00224CAD" w:rsidP="00422230">
      <w:pPr>
        <w:pStyle w:val="KeinAbsatzformat"/>
        <w:numPr>
          <w:ilvl w:val="0"/>
          <w:numId w:val="43"/>
        </w:numPr>
        <w:rPr>
          <w:rFonts w:ascii="Arial" w:hAnsi="Arial" w:cs="Arial"/>
          <w:sz w:val="20"/>
          <w:szCs w:val="20"/>
          <w:lang w:val="en-US"/>
        </w:rPr>
      </w:pPr>
      <w:hyperlink r:id="rId18" w:history="1">
        <w:r w:rsidR="00FF10B7" w:rsidRPr="00224CAD">
          <w:rPr>
            <w:rStyle w:val="Hyperlink"/>
            <w:rFonts w:ascii="Arial" w:hAnsi="Arial" w:cs="Arial"/>
            <w:sz w:val="20"/>
            <w:szCs w:val="20"/>
            <w:lang w:val="en-US"/>
          </w:rPr>
          <w:t>Compliance in Permanent Establishments</w:t>
        </w:r>
      </w:hyperlink>
      <w:r w:rsidR="00FF10B7">
        <w:rPr>
          <w:rFonts w:ascii="Arial" w:hAnsi="Arial" w:cs="Arial"/>
          <w:sz w:val="20"/>
          <w:szCs w:val="20"/>
          <w:lang w:val="en-US"/>
        </w:rPr>
        <w:t xml:space="preserve"> (H.7.)</w:t>
      </w:r>
    </w:p>
    <w:p w14:paraId="30F1E29C" w14:textId="77777777" w:rsidR="003671C7" w:rsidRDefault="003671C7" w:rsidP="003671C7">
      <w:pPr>
        <w:pStyle w:val="KeinAbsatzformat"/>
        <w:ind w:left="720"/>
        <w:rPr>
          <w:rFonts w:ascii="Arial" w:hAnsi="Arial" w:cs="Arial"/>
          <w:sz w:val="20"/>
          <w:szCs w:val="20"/>
          <w:lang w:val="en-US"/>
        </w:rPr>
      </w:pPr>
    </w:p>
    <w:p w14:paraId="51152FDD" w14:textId="1E929B71" w:rsidR="003671C7" w:rsidRDefault="003671C7" w:rsidP="003671C7">
      <w:pPr>
        <w:pStyle w:val="KeinAbsatzforma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As a kind of </w:t>
      </w:r>
      <w:proofErr w:type="gramStart"/>
      <w:r>
        <w:rPr>
          <w:rFonts w:ascii="Arial" w:hAnsi="Arial" w:cs="Arial"/>
          <w:sz w:val="20"/>
          <w:szCs w:val="20"/>
          <w:lang w:val="en-US"/>
        </w:rPr>
        <w:t>summary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you will find an Overview of all relevant Compliance Due Diligences and Approvals in Chapter H.8.</w:t>
      </w:r>
    </w:p>
    <w:p w14:paraId="5F14174C" w14:textId="77777777" w:rsidR="00A51BBC" w:rsidRPr="00422230" w:rsidRDefault="00A51BBC">
      <w:pPr>
        <w:pStyle w:val="KeinAbsatzformat"/>
        <w:ind w:left="720"/>
        <w:rPr>
          <w:rFonts w:ascii="Arial" w:hAnsi="Arial" w:cs="Arial"/>
          <w:sz w:val="20"/>
          <w:szCs w:val="20"/>
          <w:lang w:val="en-US"/>
        </w:rPr>
      </w:pPr>
    </w:p>
    <w:sectPr w:rsidR="00A51BBC" w:rsidRPr="0042223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871" w:right="1021" w:bottom="1474" w:left="1134" w:header="2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B4C77" w14:textId="77777777" w:rsidR="00955898" w:rsidRDefault="00CF6B4E">
      <w:pPr>
        <w:spacing w:after="0" w:line="240" w:lineRule="auto"/>
      </w:pPr>
      <w:r>
        <w:separator/>
      </w:r>
    </w:p>
  </w:endnote>
  <w:endnote w:type="continuationSeparator" w:id="0">
    <w:p w14:paraId="0A9B4C78" w14:textId="77777777" w:rsidR="00955898" w:rsidRDefault="00CF6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3231F" w14:textId="77777777" w:rsidR="003671C7" w:rsidRDefault="003671C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B4C84" w14:textId="77777777" w:rsidR="00955898" w:rsidRDefault="00CF6B4E">
    <w:pPr>
      <w:pStyle w:val="Fuzeile"/>
    </w:pPr>
    <w:r>
      <w:t>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86D71" w14:textId="77777777" w:rsidR="003671C7" w:rsidRDefault="003671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B4C75" w14:textId="77777777" w:rsidR="00955898" w:rsidRDefault="00CF6B4E">
      <w:pPr>
        <w:spacing w:after="0" w:line="240" w:lineRule="auto"/>
      </w:pPr>
      <w:r>
        <w:separator/>
      </w:r>
    </w:p>
  </w:footnote>
  <w:footnote w:type="continuationSeparator" w:id="0">
    <w:p w14:paraId="0A9B4C76" w14:textId="77777777" w:rsidR="00955898" w:rsidRDefault="00CF6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C364B" w14:textId="77777777" w:rsidR="003671C7" w:rsidRDefault="003671C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Head"/>
      <w:tblW w:w="12569" w:type="dxa"/>
      <w:tblInd w:w="-1134" w:type="dxa"/>
      <w:tblCellMar>
        <w:top w:w="0" w:type="dxa"/>
        <w:bottom w:w="0" w:type="dxa"/>
      </w:tblCellMar>
      <w:tblLook w:val="04A0" w:firstRow="1" w:lastRow="0" w:firstColumn="1" w:lastColumn="0" w:noHBand="0" w:noVBand="1"/>
    </w:tblPr>
    <w:tblGrid>
      <w:gridCol w:w="1020"/>
      <w:gridCol w:w="624"/>
      <w:gridCol w:w="9752"/>
      <w:gridCol w:w="1173"/>
    </w:tblGrid>
    <w:tr w:rsidR="00955898" w14:paraId="0A9B4C7D" w14:textId="77777777" w:rsidTr="009558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567"/>
      </w:trPr>
      <w:tc>
        <w:tcPr>
          <w:tcW w:w="1020" w:type="dxa"/>
        </w:tcPr>
        <w:p w14:paraId="0A9B4C79" w14:textId="77777777" w:rsidR="00955898" w:rsidRDefault="00CF6B4E">
          <w:pPr>
            <w:pStyle w:val="Kopfzeile"/>
            <w:ind w:left="-426"/>
          </w:pPr>
          <w:r>
            <w:t>z</w:t>
          </w:r>
        </w:p>
      </w:tc>
      <w:tc>
        <w:tcPr>
          <w:tcW w:w="624" w:type="dxa"/>
        </w:tcPr>
        <w:p w14:paraId="0A9B4C7A" w14:textId="77777777" w:rsidR="00955898" w:rsidRDefault="00955898">
          <w:pPr>
            <w:pStyle w:val="Kopfzeile"/>
            <w:ind w:left="-641"/>
          </w:pPr>
        </w:p>
      </w:tc>
      <w:tc>
        <w:tcPr>
          <w:tcW w:w="9752" w:type="dxa"/>
        </w:tcPr>
        <w:p w14:paraId="0A9B4C7B" w14:textId="77777777" w:rsidR="00955898" w:rsidRDefault="00955898">
          <w:pPr>
            <w:pStyle w:val="Kopfzeile"/>
          </w:pPr>
        </w:p>
      </w:tc>
      <w:tc>
        <w:tcPr>
          <w:tcW w:w="1173" w:type="dxa"/>
        </w:tcPr>
        <w:p w14:paraId="0A9B4C7C" w14:textId="77777777" w:rsidR="00955898" w:rsidRDefault="00955898">
          <w:pPr>
            <w:pStyle w:val="Kopfzeile"/>
          </w:pPr>
        </w:p>
      </w:tc>
    </w:tr>
    <w:tr w:rsidR="00955898" w14:paraId="0A9B4C82" w14:textId="77777777" w:rsidTr="00955898">
      <w:trPr>
        <w:cantSplit/>
        <w:trHeight w:hRule="exact" w:val="575"/>
      </w:trPr>
      <w:tc>
        <w:tcPr>
          <w:tcW w:w="1020" w:type="dxa"/>
        </w:tcPr>
        <w:p w14:paraId="0A9B4C7E" w14:textId="77777777" w:rsidR="00955898" w:rsidRDefault="00955898">
          <w:pPr>
            <w:pStyle w:val="Fuzeile"/>
          </w:pPr>
        </w:p>
      </w:tc>
      <w:tc>
        <w:tcPr>
          <w:tcW w:w="624" w:type="dxa"/>
          <w:vAlign w:val="bottom"/>
        </w:tcPr>
        <w:p w14:paraId="0A9B4C7F" w14:textId="77777777" w:rsidR="00955898" w:rsidRDefault="00CF6B4E">
          <w:pPr>
            <w:pStyle w:val="Fuzeile"/>
            <w:jc w:val="center"/>
          </w:pPr>
          <w:r>
            <w:rPr>
              <w:noProof/>
              <w:lang w:val="de-DE" w:eastAsia="de-DE"/>
            </w:rPr>
            <w:drawing>
              <wp:inline distT="0" distB="0" distL="0" distR="0" wp14:anchorId="0A9B4C85" wp14:editId="0A9B4C86">
                <wp:extent cx="346710" cy="305061"/>
                <wp:effectExtent l="19050" t="0" r="0" b="0"/>
                <wp:docPr id="5" name="Bild 2" descr="C:\Users\TONSC00A\AppData\Local\Microsoft\Windows\Temporary Internet Files\Content.Word\Icon_Legal_Handbook_Schriftrol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TONSC00A\AppData\Local\Microsoft\Windows\Temporary Internet Files\Content.Word\Icon_Legal_Handbook_Schriftrol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763" cy="3059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52" w:type="dxa"/>
        </w:tcPr>
        <w:p w14:paraId="0A9B4C80" w14:textId="1794DC91" w:rsidR="00955898" w:rsidRDefault="00E46AC9">
          <w:pPr>
            <w:pStyle w:val="Header"/>
          </w:pPr>
          <w:r>
            <w:t>Compliance Handbook</w:t>
          </w:r>
          <w:r w:rsidR="00CF6B4E">
            <w:t xml:space="preserve"> |</w:t>
          </w:r>
          <w:r w:rsidR="00422230">
            <w:t xml:space="preserve"> Part 2 |</w:t>
          </w:r>
          <w:r w:rsidR="00CF6B4E">
            <w:t xml:space="preserve"> H. Compliance in Business Processes and Projects | 0. Introduction</w:t>
          </w:r>
          <w:r w:rsidR="00431323">
            <w:t xml:space="preserve"> to Business Processes and Projects</w:t>
          </w:r>
        </w:p>
      </w:tc>
      <w:tc>
        <w:tcPr>
          <w:tcW w:w="1173" w:type="dxa"/>
        </w:tcPr>
        <w:p w14:paraId="0A9B4C81" w14:textId="77777777" w:rsidR="00955898" w:rsidRDefault="00955898">
          <w:pPr>
            <w:pStyle w:val="Header"/>
          </w:pPr>
        </w:p>
      </w:tc>
    </w:tr>
  </w:tbl>
  <w:p w14:paraId="0A9B4C83" w14:textId="77777777" w:rsidR="00955898" w:rsidRDefault="0095589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1B037" w14:textId="77777777" w:rsidR="003671C7" w:rsidRDefault="003671C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7CC"/>
    <w:multiLevelType w:val="hybridMultilevel"/>
    <w:tmpl w:val="BFB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6155B"/>
    <w:multiLevelType w:val="hybridMultilevel"/>
    <w:tmpl w:val="060AFF3A"/>
    <w:lvl w:ilvl="0" w:tplc="6EF05930">
      <w:start w:val="1"/>
      <w:numFmt w:val="lowerLetter"/>
      <w:pStyle w:val="eManualAufzhlunga"/>
      <w:lvlText w:val="%1)"/>
      <w:lvlJc w:val="left"/>
      <w:pPr>
        <w:tabs>
          <w:tab w:val="num" w:pos="1004"/>
        </w:tabs>
        <w:ind w:left="1004" w:hanging="436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11F04B90"/>
    <w:multiLevelType w:val="multilevel"/>
    <w:tmpl w:val="D5C8EBA6"/>
    <w:lvl w:ilvl="0">
      <w:start w:val="1"/>
      <w:numFmt w:val="decimal"/>
      <w:pStyle w:val="Numbers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350" w:hanging="9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99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350" w:hanging="990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7857F67"/>
    <w:multiLevelType w:val="hybridMultilevel"/>
    <w:tmpl w:val="5824EF12"/>
    <w:lvl w:ilvl="0" w:tplc="9B8CD03E">
      <w:start w:val="1"/>
      <w:numFmt w:val="bullet"/>
      <w:pStyle w:val="CopyBulletpoints"/>
      <w:lvlText w:val=""/>
      <w:lvlJc w:val="left"/>
      <w:pPr>
        <w:ind w:left="360" w:hanging="360"/>
      </w:pPr>
      <w:rPr>
        <w:rFonts w:ascii="Symbol" w:hAnsi="Symbol" w:hint="default"/>
        <w:color w:val="BECDD7" w:themeColor="background2"/>
      </w:rPr>
    </w:lvl>
    <w:lvl w:ilvl="1" w:tplc="931403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B40F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EFE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4DF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E61D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678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AB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822C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57114"/>
    <w:multiLevelType w:val="hybridMultilevel"/>
    <w:tmpl w:val="C166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27DC"/>
    <w:multiLevelType w:val="hybridMultilevel"/>
    <w:tmpl w:val="9BA8E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E2A9B"/>
    <w:multiLevelType w:val="hybridMultilevel"/>
    <w:tmpl w:val="88D263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D33C9"/>
    <w:multiLevelType w:val="hybridMultilevel"/>
    <w:tmpl w:val="C694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B50BA"/>
    <w:multiLevelType w:val="hybridMultilevel"/>
    <w:tmpl w:val="1DAEDBFA"/>
    <w:lvl w:ilvl="0" w:tplc="39E43DBE">
      <w:numFmt w:val="bullet"/>
      <w:lvlText w:val="•"/>
      <w:lvlJc w:val="left"/>
      <w:pPr>
        <w:ind w:left="816" w:hanging="456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975D5"/>
    <w:multiLevelType w:val="hybridMultilevel"/>
    <w:tmpl w:val="62A4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001CF"/>
    <w:multiLevelType w:val="hybridMultilevel"/>
    <w:tmpl w:val="3E14EF9A"/>
    <w:lvl w:ilvl="0" w:tplc="A406EF52">
      <w:start w:val="1"/>
      <w:numFmt w:val="upperLetter"/>
      <w:pStyle w:val="berschrift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DAE6A88" w:tentative="1">
      <w:start w:val="1"/>
      <w:numFmt w:val="lowerLetter"/>
      <w:lvlText w:val="%2."/>
      <w:lvlJc w:val="left"/>
      <w:pPr>
        <w:ind w:left="1440" w:hanging="360"/>
      </w:pPr>
    </w:lvl>
    <w:lvl w:ilvl="2" w:tplc="83AAA582" w:tentative="1">
      <w:start w:val="1"/>
      <w:numFmt w:val="lowerRoman"/>
      <w:lvlText w:val="%3."/>
      <w:lvlJc w:val="right"/>
      <w:pPr>
        <w:ind w:left="2160" w:hanging="180"/>
      </w:pPr>
    </w:lvl>
    <w:lvl w:ilvl="3" w:tplc="0E726AE8" w:tentative="1">
      <w:start w:val="1"/>
      <w:numFmt w:val="decimal"/>
      <w:lvlText w:val="%4."/>
      <w:lvlJc w:val="left"/>
      <w:pPr>
        <w:ind w:left="2880" w:hanging="360"/>
      </w:pPr>
    </w:lvl>
    <w:lvl w:ilvl="4" w:tplc="BDC4BAA0" w:tentative="1">
      <w:start w:val="1"/>
      <w:numFmt w:val="lowerLetter"/>
      <w:lvlText w:val="%5."/>
      <w:lvlJc w:val="left"/>
      <w:pPr>
        <w:ind w:left="3600" w:hanging="360"/>
      </w:pPr>
    </w:lvl>
    <w:lvl w:ilvl="5" w:tplc="1F28A842" w:tentative="1">
      <w:start w:val="1"/>
      <w:numFmt w:val="lowerRoman"/>
      <w:lvlText w:val="%6."/>
      <w:lvlJc w:val="right"/>
      <w:pPr>
        <w:ind w:left="4320" w:hanging="180"/>
      </w:pPr>
    </w:lvl>
    <w:lvl w:ilvl="6" w:tplc="5FCEF82A" w:tentative="1">
      <w:start w:val="1"/>
      <w:numFmt w:val="decimal"/>
      <w:lvlText w:val="%7."/>
      <w:lvlJc w:val="left"/>
      <w:pPr>
        <w:ind w:left="5040" w:hanging="360"/>
      </w:pPr>
    </w:lvl>
    <w:lvl w:ilvl="7" w:tplc="EE720D6C" w:tentative="1">
      <w:start w:val="1"/>
      <w:numFmt w:val="lowerLetter"/>
      <w:lvlText w:val="%8."/>
      <w:lvlJc w:val="left"/>
      <w:pPr>
        <w:ind w:left="5760" w:hanging="360"/>
      </w:pPr>
    </w:lvl>
    <w:lvl w:ilvl="8" w:tplc="4BA447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E285A"/>
    <w:multiLevelType w:val="hybridMultilevel"/>
    <w:tmpl w:val="76EA8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06CD1"/>
    <w:multiLevelType w:val="hybridMultilevel"/>
    <w:tmpl w:val="E8BE5AF6"/>
    <w:lvl w:ilvl="0" w:tplc="B4ACC7D6">
      <w:numFmt w:val="bullet"/>
      <w:lvlText w:val="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0058E"/>
    <w:multiLevelType w:val="multilevel"/>
    <w:tmpl w:val="B3B00628"/>
    <w:styleLink w:val="Formatvorlag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4C1B37"/>
    <w:multiLevelType w:val="hybridMultilevel"/>
    <w:tmpl w:val="787CAB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771EF6"/>
    <w:multiLevelType w:val="hybridMultilevel"/>
    <w:tmpl w:val="001A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522F6"/>
    <w:multiLevelType w:val="hybridMultilevel"/>
    <w:tmpl w:val="DD5A6E00"/>
    <w:lvl w:ilvl="0" w:tplc="747E762A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81AD6" w:tentative="1">
      <w:start w:val="1"/>
      <w:numFmt w:val="bullet"/>
      <w:lvlText w:val="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02918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80FD6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E829DC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45DC4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0DF26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EED42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67526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9B66E36"/>
    <w:multiLevelType w:val="hybridMultilevel"/>
    <w:tmpl w:val="C01ED61C"/>
    <w:lvl w:ilvl="0" w:tplc="8F2ADAE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3722B6"/>
    <w:multiLevelType w:val="hybridMultilevel"/>
    <w:tmpl w:val="68646142"/>
    <w:lvl w:ilvl="0" w:tplc="2BE077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E45F4"/>
    <w:multiLevelType w:val="hybridMultilevel"/>
    <w:tmpl w:val="D2243924"/>
    <w:lvl w:ilvl="0" w:tplc="8F2AD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D0C5F"/>
    <w:multiLevelType w:val="hybridMultilevel"/>
    <w:tmpl w:val="369C8CF0"/>
    <w:lvl w:ilvl="0" w:tplc="1C36B64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FB6301"/>
    <w:multiLevelType w:val="hybridMultilevel"/>
    <w:tmpl w:val="CCBA7F16"/>
    <w:lvl w:ilvl="0" w:tplc="65CCE03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25D42"/>
    <w:multiLevelType w:val="hybridMultilevel"/>
    <w:tmpl w:val="4124815E"/>
    <w:lvl w:ilvl="0" w:tplc="0FC0B704">
      <w:start w:val="1"/>
      <w:numFmt w:val="bullet"/>
      <w:pStyle w:val="DoDontBulletpoints"/>
      <w:lvlText w:val="▌"/>
      <w:lvlJc w:val="left"/>
      <w:pPr>
        <w:ind w:left="360" w:hanging="360"/>
      </w:pPr>
      <w:rPr>
        <w:rFonts w:ascii="Arial" w:hAnsi="Arial" w:hint="default"/>
      </w:rPr>
    </w:lvl>
    <w:lvl w:ilvl="1" w:tplc="0407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353D28"/>
    <w:multiLevelType w:val="hybridMultilevel"/>
    <w:tmpl w:val="524A54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284872"/>
    <w:multiLevelType w:val="hybridMultilevel"/>
    <w:tmpl w:val="E14235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2"/>
  </w:num>
  <w:num w:numId="4">
    <w:abstractNumId w:val="10"/>
  </w:num>
  <w:num w:numId="5">
    <w:abstractNumId w:val="13"/>
  </w:num>
  <w:num w:numId="6">
    <w:abstractNumId w:val="1"/>
  </w:num>
  <w:num w:numId="7">
    <w:abstractNumId w:val="22"/>
  </w:num>
  <w:num w:numId="8">
    <w:abstractNumId w:val="22"/>
  </w:num>
  <w:num w:numId="9">
    <w:abstractNumId w:val="22"/>
  </w:num>
  <w:num w:numId="10">
    <w:abstractNumId w:val="22"/>
  </w:num>
  <w:num w:numId="11">
    <w:abstractNumId w:val="22"/>
  </w:num>
  <w:num w:numId="12">
    <w:abstractNumId w:val="22"/>
  </w:num>
  <w:num w:numId="1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9"/>
  </w:num>
  <w:num w:numId="16">
    <w:abstractNumId w:val="7"/>
  </w:num>
  <w:num w:numId="17">
    <w:abstractNumId w:val="3"/>
  </w:num>
  <w:num w:numId="18">
    <w:abstractNumId w:val="3"/>
  </w:num>
  <w:num w:numId="19">
    <w:abstractNumId w:val="3"/>
  </w:num>
  <w:num w:numId="20">
    <w:abstractNumId w:val="19"/>
  </w:num>
  <w:num w:numId="21">
    <w:abstractNumId w:val="3"/>
  </w:num>
  <w:num w:numId="22">
    <w:abstractNumId w:val="3"/>
  </w:num>
  <w:num w:numId="23">
    <w:abstractNumId w:val="3"/>
  </w:num>
  <w:num w:numId="24">
    <w:abstractNumId w:val="10"/>
  </w:num>
  <w:num w:numId="25">
    <w:abstractNumId w:val="16"/>
  </w:num>
  <w:num w:numId="26">
    <w:abstractNumId w:val="22"/>
  </w:num>
  <w:num w:numId="27">
    <w:abstractNumId w:val="22"/>
  </w:num>
  <w:num w:numId="28">
    <w:abstractNumId w:val="22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10"/>
  </w:num>
  <w:num w:numId="32">
    <w:abstractNumId w:val="10"/>
  </w:num>
  <w:num w:numId="33">
    <w:abstractNumId w:val="0"/>
  </w:num>
  <w:num w:numId="34">
    <w:abstractNumId w:val="6"/>
  </w:num>
  <w:num w:numId="35">
    <w:abstractNumId w:val="23"/>
  </w:num>
  <w:num w:numId="36">
    <w:abstractNumId w:val="15"/>
  </w:num>
  <w:num w:numId="37">
    <w:abstractNumId w:val="8"/>
  </w:num>
  <w:num w:numId="38">
    <w:abstractNumId w:val="14"/>
  </w:num>
  <w:num w:numId="39">
    <w:abstractNumId w:val="17"/>
  </w:num>
  <w:num w:numId="40">
    <w:abstractNumId w:val="18"/>
  </w:num>
  <w:num w:numId="41">
    <w:abstractNumId w:val="11"/>
  </w:num>
  <w:num w:numId="42">
    <w:abstractNumId w:val="5"/>
  </w:num>
  <w:num w:numId="4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oNotTrackFormatting/>
  <w:defaultTabStop w:val="720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898"/>
    <w:rsid w:val="00224CAD"/>
    <w:rsid w:val="003671C7"/>
    <w:rsid w:val="00422230"/>
    <w:rsid w:val="00431323"/>
    <w:rsid w:val="00536A97"/>
    <w:rsid w:val="00566A54"/>
    <w:rsid w:val="008D4943"/>
    <w:rsid w:val="00955898"/>
    <w:rsid w:val="00984F4D"/>
    <w:rsid w:val="00A51BBC"/>
    <w:rsid w:val="00CF6B4E"/>
    <w:rsid w:val="00D740EA"/>
    <w:rsid w:val="00E46AC9"/>
    <w:rsid w:val="00FC5760"/>
    <w:rsid w:val="00FF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4:docId w14:val="0A9B4C72"/>
  <w15:docId w15:val="{0BBACFD0-3BE1-4887-8622-4113EDD4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_Copy Arial 10pt"/>
    <w:next w:val="KeinAbsatzformat"/>
    <w:qFormat/>
    <w:pPr>
      <w:spacing w:after="140" w:line="300" w:lineRule="auto"/>
    </w:pPr>
    <w:rPr>
      <w:sz w:val="20"/>
    </w:rPr>
  </w:style>
  <w:style w:type="paragraph" w:styleId="berschrift1">
    <w:name w:val="heading 1"/>
    <w:aliases w:val="_Headline 18 pt"/>
    <w:basedOn w:val="Standard"/>
    <w:next w:val="Standard"/>
    <w:link w:val="berschrift1Zchn"/>
    <w:uiPriority w:val="9"/>
    <w:qFormat/>
    <w:pPr>
      <w:keepNext/>
      <w:keepLines/>
      <w:numPr>
        <w:numId w:val="4"/>
      </w:numPr>
      <w:spacing w:after="600"/>
      <w:outlineLvl w:val="0"/>
    </w:pPr>
    <w:rPr>
      <w:rFonts w:ascii="Times New Roman" w:eastAsiaTheme="majorEastAsia" w:hAnsi="Times New Roman" w:cstheme="majorBidi"/>
      <w:bCs/>
      <w:color w:val="BECDD7" w:themeColor="background2"/>
      <w:sz w:val="52"/>
      <w:szCs w:val="28"/>
    </w:rPr>
  </w:style>
  <w:style w:type="paragraph" w:styleId="berschrift2">
    <w:name w:val="heading 2"/>
    <w:aliases w:val="_Headline Times 30 pt"/>
    <w:next w:val="Standard"/>
    <w:link w:val="berschrift2Zchn"/>
    <w:uiPriority w:val="9"/>
    <w:unhideWhenUsed/>
    <w:qFormat/>
    <w:pPr>
      <w:keepNext/>
      <w:keepLines/>
      <w:spacing w:before="360" w:after="480"/>
      <w:outlineLvl w:val="1"/>
    </w:pPr>
    <w:rPr>
      <w:rFonts w:ascii="Times New Roman" w:eastAsiaTheme="majorEastAsia" w:hAnsi="Times New Roman" w:cstheme="majorBidi"/>
      <w:bCs/>
      <w:color w:val="879BAA" w:themeColor="text2"/>
      <w:sz w:val="48"/>
      <w:szCs w:val="26"/>
    </w:rPr>
  </w:style>
  <w:style w:type="paragraph" w:styleId="berschrift3">
    <w:name w:val="heading 3"/>
    <w:aliases w:val="_Headline 11pt"/>
    <w:next w:val="Standard"/>
    <w:link w:val="berschrift3Zchn"/>
    <w:uiPriority w:val="9"/>
    <w:unhideWhenUsed/>
    <w:qFormat/>
    <w:pPr>
      <w:spacing w:before="200"/>
      <w:outlineLvl w:val="2"/>
    </w:pPr>
    <w:rPr>
      <w:rFonts w:eastAsiaTheme="majorEastAsia" w:cstheme="majorBidi"/>
      <w:b/>
      <w:color w:val="006487" w:themeColor="accent3"/>
      <w:szCs w:val="26"/>
    </w:rPr>
  </w:style>
  <w:style w:type="paragraph" w:styleId="berschrift4">
    <w:name w:val="heading 4"/>
    <w:aliases w:val="_"/>
    <w:basedOn w:val="berschrift3"/>
    <w:next w:val="KeinAbsatzformat"/>
    <w:link w:val="berschrift4Zchn"/>
    <w:uiPriority w:val="9"/>
    <w:unhideWhenUsed/>
    <w:qFormat/>
    <w:pPr>
      <w:outlineLvl w:val="3"/>
    </w:pPr>
    <w:rPr>
      <w:bCs/>
      <w:iCs/>
    </w:rPr>
  </w:style>
  <w:style w:type="paragraph" w:styleId="berschrift5">
    <w:name w:val="heading 5"/>
    <w:basedOn w:val="berschrift3"/>
    <w:next w:val="KeinAbsatzformat"/>
    <w:link w:val="berschrift5Zchn"/>
    <w:uiPriority w:val="9"/>
    <w:unhideWhenUsed/>
    <w:qFormat/>
    <w:pPr>
      <w:keepNext/>
      <w:keepLines/>
      <w:numPr>
        <w:ilvl w:val="4"/>
      </w:numPr>
      <w:tabs>
        <w:tab w:val="left" w:pos="1418"/>
      </w:tabs>
      <w:ind w:left="1418" w:hanging="1418"/>
      <w:jc w:val="both"/>
      <w:outlineLvl w:val="4"/>
    </w:pPr>
  </w:style>
  <w:style w:type="paragraph" w:styleId="berschrift6">
    <w:name w:val="heading 6"/>
    <w:basedOn w:val="berschrift3"/>
    <w:next w:val="KeinAbsatzformat"/>
    <w:link w:val="berschrift6Zchn"/>
    <w:uiPriority w:val="9"/>
    <w:unhideWhenUsed/>
    <w:qFormat/>
    <w:pPr>
      <w:keepNext/>
      <w:keepLines/>
      <w:outlineLvl w:val="5"/>
    </w:pPr>
    <w:rPr>
      <w:iCs/>
    </w:rPr>
  </w:style>
  <w:style w:type="paragraph" w:styleId="berschrift7">
    <w:name w:val="heading 7"/>
    <w:basedOn w:val="Standard"/>
    <w:next w:val="Standard"/>
    <w:link w:val="berschrift7Zchn"/>
    <w:qFormat/>
    <w:pPr>
      <w:keepNext/>
      <w:tabs>
        <w:tab w:val="num" w:pos="1296"/>
      </w:tabs>
      <w:spacing w:after="200" w:line="276" w:lineRule="auto"/>
      <w:ind w:left="1296" w:hanging="1296"/>
      <w:outlineLvl w:val="6"/>
    </w:pPr>
    <w:rPr>
      <w:sz w:val="22"/>
    </w:rPr>
  </w:style>
  <w:style w:type="paragraph" w:styleId="berschrift8">
    <w:name w:val="heading 8"/>
    <w:basedOn w:val="Standard"/>
    <w:next w:val="Standard"/>
    <w:link w:val="berschrift8Zchn"/>
    <w:qFormat/>
    <w:pPr>
      <w:tabs>
        <w:tab w:val="num" w:pos="1440"/>
      </w:tabs>
      <w:spacing w:before="240" w:after="60" w:line="276" w:lineRule="auto"/>
      <w:ind w:left="1440" w:hanging="1440"/>
      <w:outlineLvl w:val="7"/>
    </w:pPr>
    <w:rPr>
      <w:i/>
      <w:iCs/>
      <w:sz w:val="22"/>
      <w:szCs w:val="24"/>
    </w:rPr>
  </w:style>
  <w:style w:type="paragraph" w:styleId="berschrift9">
    <w:name w:val="heading 9"/>
    <w:basedOn w:val="Standard"/>
    <w:next w:val="Standard"/>
    <w:link w:val="berschrift9Zchn"/>
    <w:qFormat/>
    <w:pPr>
      <w:tabs>
        <w:tab w:val="num" w:pos="1584"/>
      </w:tabs>
      <w:spacing w:before="240" w:after="60" w:line="276" w:lineRule="auto"/>
      <w:ind w:left="1584" w:hanging="1584"/>
      <w:outlineLvl w:val="8"/>
    </w:pPr>
    <w:rPr>
      <w:rFonts w:cs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_Headline 18 pt Zchn"/>
    <w:basedOn w:val="Absatz-Standardschriftart"/>
    <w:link w:val="berschrift1"/>
    <w:uiPriority w:val="9"/>
    <w:rPr>
      <w:rFonts w:ascii="Times New Roman" w:eastAsiaTheme="majorEastAsia" w:hAnsi="Times New Roman" w:cstheme="majorBidi"/>
      <w:bCs/>
      <w:color w:val="BECDD7" w:themeColor="background2"/>
      <w:sz w:val="52"/>
      <w:szCs w:val="28"/>
    </w:rPr>
  </w:style>
  <w:style w:type="paragraph" w:styleId="KeinLeerraum">
    <w:name w:val="No Spacing"/>
    <w:uiPriority w:val="1"/>
    <w:pPr>
      <w:spacing w:after="0" w:line="240" w:lineRule="auto"/>
    </w:pPr>
    <w:rPr>
      <w:sz w:val="20"/>
    </w:rPr>
  </w:style>
  <w:style w:type="character" w:customStyle="1" w:styleId="berschrift2Zchn">
    <w:name w:val="Überschrift 2 Zchn"/>
    <w:aliases w:val="_Headline Times 30 pt Zchn"/>
    <w:basedOn w:val="Absatz-Standardschriftart"/>
    <w:link w:val="berschrift2"/>
    <w:uiPriority w:val="9"/>
    <w:rPr>
      <w:rFonts w:ascii="Times New Roman" w:eastAsiaTheme="majorEastAsia" w:hAnsi="Times New Roman" w:cstheme="majorBidi"/>
      <w:bCs/>
      <w:color w:val="879BAA" w:themeColor="text2"/>
      <w:sz w:val="48"/>
      <w:szCs w:val="26"/>
    </w:rPr>
  </w:style>
  <w:style w:type="character" w:customStyle="1" w:styleId="berschrift3Zchn">
    <w:name w:val="Überschrift 3 Zchn"/>
    <w:aliases w:val="_Headline 11pt Zchn"/>
    <w:basedOn w:val="Absatz-Standardschriftart"/>
    <w:link w:val="berschrift3"/>
    <w:uiPriority w:val="9"/>
    <w:rPr>
      <w:rFonts w:eastAsiaTheme="majorEastAsia" w:cstheme="majorBidi"/>
      <w:b/>
      <w:color w:val="006487" w:themeColor="accent3"/>
      <w:szCs w:val="26"/>
    </w:rPr>
  </w:style>
  <w:style w:type="character" w:styleId="SchwacheHervorhebung">
    <w:name w:val="Subtle Emphasis"/>
    <w:basedOn w:val="Absatz-Standardschriftart"/>
    <w:uiPriority w:val="19"/>
    <w:qFormat/>
    <w:rPr>
      <w:b/>
      <w:i w:val="0"/>
      <w:iCs/>
      <w:color w:val="000000" w:themeColor="text1"/>
    </w:rPr>
  </w:style>
  <w:style w:type="character" w:styleId="Hervorhebung">
    <w:name w:val="Emphasis"/>
    <w:basedOn w:val="Absatz-Standardschriftart"/>
    <w:uiPriority w:val="20"/>
    <w:qFormat/>
    <w:rPr>
      <w:b/>
      <w:i w:val="0"/>
      <w:iCs/>
    </w:rPr>
  </w:style>
  <w:style w:type="paragraph" w:styleId="Zitat">
    <w:name w:val="Quote"/>
    <w:basedOn w:val="Standard"/>
    <w:next w:val="Standard"/>
    <w:link w:val="ZitatZchn"/>
    <w:uiPriority w:val="2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sz w:val="20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 w:val="0"/>
      <w:iCs/>
      <w:color w:val="879BAA" w:themeColor="text2"/>
    </w:rPr>
  </w:style>
  <w:style w:type="paragraph" w:styleId="IntensivesZitat">
    <w:name w:val="Intense Quote"/>
    <w:basedOn w:val="Standard"/>
    <w:next w:val="Standard"/>
    <w:link w:val="IntensivesZitatZchn"/>
    <w:uiPriority w:val="30"/>
    <w:pP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b/>
      <w:bCs/>
      <w:i/>
      <w:iCs/>
      <w:sz w:val="20"/>
    </w:rPr>
  </w:style>
  <w:style w:type="paragraph" w:styleId="Titel">
    <w:name w:val="Title"/>
    <w:basedOn w:val="Standard"/>
    <w:next w:val="Standard"/>
    <w:link w:val="TitelZchn"/>
    <w:uiPriority w:val="10"/>
    <w:pPr>
      <w:spacing w:after="300" w:line="240" w:lineRule="auto"/>
      <w:contextualSpacing/>
    </w:pPr>
    <w:rPr>
      <w:rFonts w:ascii="Times New Roman" w:eastAsiaTheme="majorEastAsia" w:hAnsi="Times New Roman" w:cstheme="majorBidi"/>
      <w:color w:val="879BAA" w:themeColor="text2"/>
      <w:spacing w:val="5"/>
      <w:kern w:val="28"/>
      <w:sz w:val="6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="Times New Roman" w:eastAsiaTheme="majorEastAsia" w:hAnsi="Times New Roman" w:cstheme="majorBidi"/>
      <w:color w:val="879BAA" w:themeColor="text2"/>
      <w:spacing w:val="5"/>
      <w:kern w:val="28"/>
      <w:sz w:val="6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eastAsiaTheme="majorEastAsia" w:cstheme="majorBidi"/>
      <w:b/>
      <w:iCs/>
      <w:color w:val="879BAA" w:themeColor="text2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ajorEastAsia" w:cstheme="majorBidi"/>
      <w:b/>
      <w:iCs/>
      <w:color w:val="879BAA" w:themeColor="text2"/>
    </w:rPr>
  </w:style>
  <w:style w:type="paragraph" w:customStyle="1" w:styleId="Footer">
    <w:name w:val="_Footer"/>
    <w:basedOn w:val="KeinAbsatzformat"/>
    <w:next w:val="KeinAbsatzformat"/>
    <w:qFormat/>
    <w:rPr>
      <w:color w:val="879BAA" w:themeColor="text2"/>
      <w:sz w:val="15"/>
    </w:rPr>
  </w:style>
  <w:style w:type="paragraph" w:customStyle="1" w:styleId="KeinAbsatzformat">
    <w:name w:val="[Kein Absatzformat]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character" w:styleId="Kommentarzeichen">
    <w:name w:val="annotation reference"/>
    <w:basedOn w:val="Absatz-Standardschriftart"/>
    <w:uiPriority w:val="99"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aliases w:val="Highlight_Box_Stone 35%"/>
    <w:basedOn w:val="NormaleTabelle"/>
    <w:pPr>
      <w:spacing w:after="0" w:line="240" w:lineRule="auto"/>
    </w:pPr>
    <w:rPr>
      <w:color w:val="006487" w:themeColor="accent3"/>
      <w:sz w:val="20"/>
    </w:rPr>
    <w:tblPr>
      <w:tblCellMar>
        <w:top w:w="340" w:type="dxa"/>
        <w:left w:w="340" w:type="dxa"/>
        <w:bottom w:w="227" w:type="dxa"/>
        <w:right w:w="454" w:type="dxa"/>
      </w:tblCellMar>
    </w:tblPr>
    <w:tcPr>
      <w:shd w:val="clear" w:color="auto" w:fill="F2F5F7" w:themeFill="background2" w:themeFillTint="33"/>
    </w:tcPr>
  </w:style>
  <w:style w:type="character" w:styleId="IntensiverVerweis">
    <w:name w:val="Intense Reference"/>
    <w:basedOn w:val="Absatz-Standardschriftart"/>
    <w:uiPriority w:val="32"/>
    <w:rPr>
      <w:b/>
      <w:bCs/>
      <w:smallCaps/>
      <w:color w:val="D7D7CD" w:themeColor="accent2"/>
      <w:spacing w:val="5"/>
      <w:u w:val="single"/>
    </w:rPr>
  </w:style>
  <w:style w:type="character" w:customStyle="1" w:styleId="berschrift4Zchn">
    <w:name w:val="Überschrift 4 Zchn"/>
    <w:aliases w:val="_ Zchn"/>
    <w:basedOn w:val="Absatz-Standardschriftart"/>
    <w:link w:val="berschrift4"/>
    <w:uiPriority w:val="9"/>
    <w:rPr>
      <w:rFonts w:eastAsiaTheme="majorEastAsia" w:cstheme="majorBidi"/>
      <w:b/>
      <w:bCs/>
      <w:iCs/>
      <w:color w:val="006487" w:themeColor="accent3"/>
      <w:szCs w:val="26"/>
    </w:rPr>
  </w:style>
  <w:style w:type="paragraph" w:customStyle="1" w:styleId="CopyBulletpoints">
    <w:name w:val="_Copy Bulletpoints"/>
    <w:basedOn w:val="Standard"/>
    <w:qFormat/>
    <w:pPr>
      <w:numPr>
        <w:numId w:val="1"/>
      </w:numPr>
      <w:spacing w:after="240"/>
      <w:contextualSpacing/>
    </w:pPr>
    <w:rPr>
      <w:lang w:val="en-GB"/>
    </w:rPr>
  </w:style>
  <w:style w:type="paragraph" w:customStyle="1" w:styleId="Page">
    <w:name w:val="_Page"/>
    <w:next w:val="KeinAbsatzformat"/>
    <w:qFormat/>
    <w:pPr>
      <w:spacing w:after="0"/>
      <w:jc w:val="right"/>
    </w:pPr>
    <w:rPr>
      <w:b/>
      <w:sz w:val="18"/>
      <w:szCs w:val="18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Fuzeile">
    <w:name w:val="footer"/>
    <w:next w:val="KeinAbsatzformat"/>
    <w:link w:val="FuzeileZchn"/>
    <w:uiPriority w:val="99"/>
    <w:unhideWhenUsed/>
    <w:pPr>
      <w:tabs>
        <w:tab w:val="center" w:pos="4536"/>
        <w:tab w:val="right" w:pos="9072"/>
      </w:tabs>
      <w:spacing w:after="0" w:line="360" w:lineRule="auto"/>
    </w:pPr>
    <w:rPr>
      <w:color w:val="879BAA" w:themeColor="text2"/>
      <w:sz w:val="15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879BAA" w:themeColor="text2"/>
      <w:sz w:val="15"/>
    </w:rPr>
  </w:style>
  <w:style w:type="paragraph" w:customStyle="1" w:styleId="DoDontHeadline1">
    <w:name w:val="_Do/Don't Headline 1"/>
    <w:next w:val="KeinAbsatzformat"/>
    <w:qFormat/>
    <w:rPr>
      <w:rFonts w:eastAsiaTheme="majorEastAsia" w:cstheme="majorBidi"/>
      <w:b/>
      <w:bCs/>
      <w:noProof/>
      <w:color w:val="006487" w:themeColor="accent3"/>
      <w:szCs w:val="26"/>
      <w:lang w:val="en-GB"/>
    </w:rPr>
  </w:style>
  <w:style w:type="table" w:styleId="HelleSchattierung-Akzent5">
    <w:name w:val="Light Shading Accent 5"/>
    <w:basedOn w:val="NormaleTabelle"/>
    <w:uiPriority w:val="60"/>
    <w:pPr>
      <w:spacing w:after="0" w:line="240" w:lineRule="auto"/>
    </w:pPr>
    <w:rPr>
      <w:color w:val="4A1234" w:themeColor="accent5" w:themeShade="BF"/>
    </w:rPr>
    <w:tblPr>
      <w:tblStyleRowBandSize w:val="1"/>
      <w:tblStyleColBandSize w:val="1"/>
      <w:tblBorders>
        <w:top w:val="single" w:sz="8" w:space="0" w:color="641946" w:themeColor="accent5"/>
        <w:bottom w:val="single" w:sz="8" w:space="0" w:color="64194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1946" w:themeColor="accent5"/>
          <w:left w:val="nil"/>
          <w:bottom w:val="single" w:sz="8" w:space="0" w:color="64194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1946" w:themeColor="accent5"/>
          <w:left w:val="nil"/>
          <w:bottom w:val="single" w:sz="8" w:space="0" w:color="64194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B2D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B2D5" w:themeFill="accent5" w:themeFillTint="3F"/>
      </w:tcPr>
    </w:tblStylePr>
  </w:style>
  <w:style w:type="paragraph" w:customStyle="1" w:styleId="DoDontHeadline2">
    <w:name w:val="_Do/Don't Headline 2"/>
    <w:basedOn w:val="Standard"/>
    <w:qFormat/>
    <w:pPr>
      <w:contextualSpacing/>
    </w:pPr>
    <w:rPr>
      <w:b/>
      <w:color w:val="FFFFFF" w:themeColor="background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DoDontCopy">
    <w:name w:val="_Do/Don't Copy"/>
    <w:qFormat/>
    <w:pPr>
      <w:spacing w:after="40"/>
    </w:pPr>
    <w:rPr>
      <w:color w:val="FFFFFF" w:themeColor="background1"/>
      <w:sz w:val="20"/>
    </w:rPr>
  </w:style>
  <w:style w:type="paragraph" w:customStyle="1" w:styleId="HighlightboxGreyBulletpoints">
    <w:name w:val="_Highlightbox_Grey: Bulletpoints"/>
    <w:basedOn w:val="DoDontBulletpoints"/>
    <w:qFormat/>
    <w:pPr>
      <w:spacing w:after="120"/>
      <w:ind w:left="360" w:hanging="360"/>
    </w:pPr>
    <w:rPr>
      <w:b/>
      <w:color w:val="006487" w:themeColor="accent3"/>
      <w:sz w:val="20"/>
      <w:szCs w:val="20"/>
    </w:rPr>
  </w:style>
  <w:style w:type="paragraph" w:customStyle="1" w:styleId="DoDontBulletpoints">
    <w:name w:val="_Do/Don't Bulletpoints"/>
    <w:basedOn w:val="Standard"/>
    <w:qFormat/>
    <w:pPr>
      <w:numPr>
        <w:numId w:val="3"/>
      </w:numPr>
      <w:spacing w:line="240" w:lineRule="auto"/>
      <w:ind w:left="284" w:hanging="284"/>
    </w:pPr>
    <w:rPr>
      <w:color w:val="FFFFFF" w:themeColor="background1"/>
      <w:sz w:val="18"/>
    </w:rPr>
  </w:style>
  <w:style w:type="paragraph" w:customStyle="1" w:styleId="HighlightboxGreyHeadlineNaturalBlue">
    <w:name w:val="_Highlightbox_Grey: Headline Natural Blue"/>
    <w:basedOn w:val="Standard"/>
    <w:qFormat/>
    <w:pPr>
      <w:tabs>
        <w:tab w:val="left" w:pos="426"/>
      </w:tabs>
      <w:spacing w:after="120" w:line="240" w:lineRule="auto"/>
    </w:pPr>
    <w:rPr>
      <w:b/>
      <w:color w:val="006487" w:themeColor="accent3"/>
    </w:rPr>
  </w:style>
  <w:style w:type="paragraph" w:customStyle="1" w:styleId="ExamplesCopy">
    <w:name w:val="_Examples Copy"/>
    <w:basedOn w:val="Standard"/>
    <w:pPr>
      <w:tabs>
        <w:tab w:val="left" w:pos="426"/>
      </w:tabs>
      <w:spacing w:after="0" w:line="240" w:lineRule="auto"/>
      <w:ind w:right="227"/>
      <w:contextualSpacing/>
    </w:pPr>
    <w:rPr>
      <w:b/>
      <w:i/>
      <w:color w:val="006487" w:themeColor="accent3"/>
    </w:rPr>
  </w:style>
  <w:style w:type="character" w:styleId="SchwacherVerweis">
    <w:name w:val="Subtle Reference"/>
    <w:basedOn w:val="Absatz-Standardschriftart"/>
    <w:uiPriority w:val="31"/>
    <w:rPr>
      <w:caps w:val="0"/>
      <w:smallCaps w:val="0"/>
      <w:color w:val="BECDD7" w:themeColor="background2"/>
      <w:u w:val="none"/>
    </w:rPr>
  </w:style>
  <w:style w:type="paragraph" w:customStyle="1" w:styleId="HighlightboxGreyCopy">
    <w:name w:val="_Highlightbox_Grey: Copy"/>
    <w:basedOn w:val="HighlightboxGreyHeadlineNaturalBlue"/>
    <w:qFormat/>
    <w:rPr>
      <w:b w:val="0"/>
    </w:rPr>
  </w:style>
  <w:style w:type="character" w:styleId="Buchtitel">
    <w:name w:val="Book Title"/>
    <w:basedOn w:val="Absatz-Standardschriftart"/>
    <w:uiPriority w:val="33"/>
    <w:rPr>
      <w:b w:val="0"/>
      <w:bCs/>
      <w:i/>
      <w:caps w:val="0"/>
      <w:smallCaps w:val="0"/>
      <w:spacing w:val="0"/>
    </w:rPr>
  </w:style>
  <w:style w:type="paragraph" w:customStyle="1" w:styleId="Underlinepictures">
    <w:name w:val="_Underline: pictures"/>
    <w:aliases w:val="graphics,tables"/>
    <w:basedOn w:val="KeinAbsatzformat"/>
    <w:qFormat/>
    <w:pPr>
      <w:spacing w:before="113" w:after="454"/>
      <w:ind w:left="454"/>
    </w:pPr>
    <w:rPr>
      <w:rFonts w:ascii="Arial" w:hAnsi="Arial" w:cs="Arial"/>
      <w:i/>
      <w:sz w:val="18"/>
      <w:szCs w:val="18"/>
    </w:rPr>
  </w:style>
  <w:style w:type="character" w:customStyle="1" w:styleId="Naturalblue">
    <w:name w:val="_Natural blue"/>
    <w:basedOn w:val="Absatz-Standardschriftart"/>
    <w:uiPriority w:val="1"/>
    <w:qFormat/>
    <w:rPr>
      <w:color w:val="006487" w:themeColor="accent3"/>
    </w:rPr>
  </w:style>
  <w:style w:type="paragraph" w:customStyle="1" w:styleId="Numbers">
    <w:name w:val="_Numbers"/>
    <w:basedOn w:val="Standard"/>
    <w:qFormat/>
    <w:pPr>
      <w:numPr>
        <w:numId w:val="2"/>
      </w:numPr>
      <w:tabs>
        <w:tab w:val="left" w:pos="426"/>
      </w:tabs>
      <w:ind w:left="442" w:hanging="357"/>
      <w:contextualSpacing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Pr>
      <w:sz w:val="15"/>
    </w:rPr>
  </w:style>
  <w:style w:type="paragraph" w:customStyle="1" w:styleId="Header">
    <w:name w:val="_Header"/>
    <w:next w:val="KeinAbsatzformat"/>
    <w:qFormat/>
    <w:rPr>
      <w:sz w:val="15"/>
    </w:rPr>
  </w:style>
  <w:style w:type="table" w:customStyle="1" w:styleId="HelleSchattierung-Akzent11">
    <w:name w:val="Helle Schattierung - Akzent 11"/>
    <w:basedOn w:val="NormaleTabelle"/>
    <w:uiPriority w:val="60"/>
    <w:pPr>
      <w:spacing w:after="0" w:line="240" w:lineRule="auto"/>
    </w:pPr>
    <w:rPr>
      <w:color w:val="84846B" w:themeColor="accent1" w:themeShade="BF"/>
    </w:rPr>
    <w:tblPr>
      <w:tblStyleRowBandSize w:val="1"/>
      <w:tblStyleColBandSize w:val="1"/>
      <w:tblBorders>
        <w:top w:val="single" w:sz="8" w:space="0" w:color="AAAA96" w:themeColor="accent1"/>
        <w:bottom w:val="single" w:sz="8" w:space="0" w:color="AAAA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A96" w:themeColor="accent1"/>
          <w:left w:val="nil"/>
          <w:bottom w:val="single" w:sz="8" w:space="0" w:color="AAAA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A96" w:themeColor="accent1"/>
          <w:left w:val="nil"/>
          <w:bottom w:val="single" w:sz="8" w:space="0" w:color="AAAA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A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AE5" w:themeFill="accent1" w:themeFillTint="3F"/>
      </w:tcPr>
    </w:tblStylePr>
  </w:style>
  <w:style w:type="table" w:styleId="HelleListe-Akzent3">
    <w:name w:val="Light List Accent 3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6487" w:themeColor="accent3"/>
        <w:left w:val="single" w:sz="8" w:space="0" w:color="006487" w:themeColor="accent3"/>
        <w:bottom w:val="single" w:sz="8" w:space="0" w:color="006487" w:themeColor="accent3"/>
        <w:right w:val="single" w:sz="8" w:space="0" w:color="00648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4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  <w:tblStylePr w:type="band1Horz">
      <w:tblPr/>
      <w:tcPr>
        <w:tcBorders>
          <w:top w:val="single" w:sz="8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</w:style>
  <w:style w:type="table" w:customStyle="1" w:styleId="Head">
    <w:name w:val="Head"/>
    <w:basedOn w:val="NormaleTabelle"/>
    <w:uiPriority w:val="99"/>
    <w:pPr>
      <w:spacing w:after="0" w:line="240" w:lineRule="auto"/>
    </w:pPr>
    <w:rPr>
      <w:sz w:val="15"/>
    </w:rPr>
    <w:tblPr>
      <w:tblCellMar>
        <w:top w:w="85" w:type="dxa"/>
        <w:left w:w="0" w:type="dxa"/>
        <w:bottom w:w="91" w:type="dxa"/>
        <w:right w:w="0" w:type="dxa"/>
      </w:tblCellMar>
    </w:tblPr>
    <w:tcPr>
      <w:shd w:val="clear" w:color="auto" w:fill="F2F5F7" w:themeFill="background2" w:themeFillTint="33"/>
      <w:vAlign w:val="center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9BAA" w:themeFill="text2"/>
      </w:tcPr>
    </w:tblStylePr>
  </w:style>
  <w:style w:type="table" w:styleId="HelleListe-Akzent2">
    <w:name w:val="Light List Accent 2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D7D7CD" w:themeColor="accent2"/>
        <w:left w:val="single" w:sz="8" w:space="0" w:color="D7D7CD" w:themeColor="accent2"/>
        <w:bottom w:val="single" w:sz="8" w:space="0" w:color="D7D7CD" w:themeColor="accent2"/>
        <w:right w:val="single" w:sz="8" w:space="0" w:color="D7D7C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7D7C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  <w:tblStylePr w:type="band1Horz">
      <w:tblPr/>
      <w:tcPr>
        <w:tcBorders>
          <w:top w:val="single" w:sz="8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</w:style>
  <w:style w:type="table" w:customStyle="1" w:styleId="Invisible">
    <w:name w:val="Invisible"/>
    <w:basedOn w:val="NormaleTabelle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eastAsiaTheme="majorEastAsia" w:cstheme="majorBidi"/>
      <w:b/>
      <w:color w:val="006487" w:themeColor="accent3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eastAsiaTheme="majorEastAsia" w:cstheme="majorBidi"/>
      <w:b/>
      <w:iCs/>
      <w:color w:val="006487" w:themeColor="accent3"/>
      <w:szCs w:val="26"/>
    </w:rPr>
  </w:style>
  <w:style w:type="numbering" w:customStyle="1" w:styleId="Formatvorlage1">
    <w:name w:val="Formatvorlage1"/>
    <w:uiPriority w:val="99"/>
    <w:pPr>
      <w:numPr>
        <w:numId w:val="5"/>
      </w:numPr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pPr>
      <w:spacing w:after="200" w:line="276" w:lineRule="auto"/>
    </w:pPr>
    <w:rPr>
      <w:sz w:val="22"/>
    </w:rPr>
  </w:style>
  <w:style w:type="character" w:customStyle="1" w:styleId="FunotentextZchn">
    <w:name w:val="Fußnotentext Zchn"/>
    <w:basedOn w:val="Absatz-Standardschriftart"/>
    <w:link w:val="Funotentext"/>
  </w:style>
  <w:style w:type="paragraph" w:customStyle="1" w:styleId="eManualAufzhlunga">
    <w:name w:val="eManual Aufzählung a"/>
    <w:aliases w:val="b"/>
    <w:basedOn w:val="Standard"/>
    <w:uiPriority w:val="99"/>
    <w:pPr>
      <w:numPr>
        <w:numId w:val="6"/>
      </w:numPr>
      <w:spacing w:after="200" w:line="360" w:lineRule="atLeast"/>
      <w:jc w:val="both"/>
    </w:pPr>
    <w:rPr>
      <w:rFonts w:cs="Arial"/>
      <w:sz w:val="22"/>
    </w:rPr>
  </w:style>
  <w:style w:type="character" w:styleId="Funotenzeichen">
    <w:name w:val="footnote reference"/>
    <w:basedOn w:val="Absatz-Standardschriftart"/>
    <w:unhideWhenUsed/>
    <w:rPr>
      <w:vertAlign w:val="superscript"/>
    </w:rPr>
  </w:style>
  <w:style w:type="character" w:customStyle="1" w:styleId="berschrift7Zchn">
    <w:name w:val="Überschrift 7 Zchn"/>
    <w:basedOn w:val="Absatz-Standardschriftart"/>
    <w:link w:val="berschrift7"/>
  </w:style>
  <w:style w:type="character" w:customStyle="1" w:styleId="berschrift8Zchn">
    <w:name w:val="Überschrift 8 Zchn"/>
    <w:basedOn w:val="Absatz-Standardschriftart"/>
    <w:link w:val="berschrift8"/>
    <w:rPr>
      <w:i/>
      <w:iCs/>
      <w:szCs w:val="24"/>
    </w:rPr>
  </w:style>
  <w:style w:type="character" w:customStyle="1" w:styleId="berschrift9Zchn">
    <w:name w:val="Überschrift 9 Zchn"/>
    <w:basedOn w:val="Absatz-Standardschriftart"/>
    <w:link w:val="berschrift9"/>
    <w:rPr>
      <w:rFonts w:cs="Arial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yperlink1">
    <w:name w:val="hyperlink1"/>
    <w:basedOn w:val="Absatz-Standardschriftart"/>
    <w:rPr>
      <w:strike w:val="0"/>
      <w:dstrike w:val="0"/>
      <w:color w:val="990000"/>
      <w:u w:val="none"/>
      <w:effect w:val="non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Arial"/>
      <w:color w:val="000000"/>
      <w:sz w:val="24"/>
      <w:szCs w:val="24"/>
    </w:rPr>
  </w:style>
  <w:style w:type="table" w:customStyle="1" w:styleId="HighlightBoxStone351">
    <w:name w:val="Highlight_Box_Stone 35%1"/>
    <w:basedOn w:val="NormaleTabelle"/>
    <w:next w:val="Tabellenraster"/>
    <w:uiPriority w:val="59"/>
    <w:pPr>
      <w:spacing w:after="0" w:line="240" w:lineRule="auto"/>
    </w:pPr>
    <w:rPr>
      <w:color w:val="006487" w:themeColor="accent3"/>
      <w:sz w:val="20"/>
    </w:rPr>
    <w:tblPr>
      <w:tblCellMar>
        <w:top w:w="340" w:type="dxa"/>
        <w:left w:w="340" w:type="dxa"/>
        <w:bottom w:w="227" w:type="dxa"/>
        <w:right w:w="454" w:type="dxa"/>
      </w:tblCellMar>
    </w:tblPr>
    <w:tcPr>
      <w:shd w:val="clear" w:color="auto" w:fill="F2F5F7" w:themeFill="background2" w:themeFillTint="33"/>
    </w:tcPr>
  </w:style>
  <w:style w:type="character" w:styleId="NichtaufgelsteErwhnung">
    <w:name w:val="Unresolved Mention"/>
    <w:basedOn w:val="Absatz-Standardschriftart"/>
    <w:uiPriority w:val="99"/>
    <w:semiHidden/>
    <w:unhideWhenUsed/>
    <w:rsid w:val="00D74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6802">
                  <w:marLeft w:val="2256"/>
                  <w:marRight w:val="2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4932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3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8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6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4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35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46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74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62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35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890">
          <w:marLeft w:val="562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425">
          <w:marLeft w:val="562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_layouts/15/hypernet/custom/link.aspx?bid=00010023&amp;pt=2._x0020Compliance_x0020in_x0020Procurement" TargetMode="External"/><Relationship Id="rId18" Type="http://schemas.openxmlformats.org/officeDocument/2006/relationships/hyperlink" Target="https://webbooks.siemens.com/public/LC/chen/index.htm?n=Part-2-Business-Perspective,H.-Compliance-in-Business-Processes-and-Projects,7.-Compliance-in-Permanent-Establishment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s://workspace.c6.siemens.com/content/300000007/Compliance%20WebBook/Part%202%20Business%20Perspective/H)%20Compliance%20in%20Business%20Processes%20and%20Projects/_layouts/15/hypernet/custom/link.aspx?bid=00010023&amp;pt=1._x0020Compliance_x0020in_x0020Project_x0020Business" TargetMode="External"/><Relationship Id="rId17" Type="http://schemas.openxmlformats.org/officeDocument/2006/relationships/hyperlink" Target="https://webbooks.siemens.com/public/LC/chen/index.htm?n=Part-2-Business-Perspective,H.-Compliance-in-Business-Processes-and-Projects,6.-Compliance-in-Minorities,6.2.-Training---supporting-document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ebbooks.siemens.com/public/LC/chen/index.htm?n=Part-2-Business-Perspective,H.-Compliance-in-Business-Processes-and-Projects,5.-Compliance@Production-Facilitie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hyperlink" Target="_layouts/15/hypernet/custom/link.aspx?bid=00010023&amp;pt=5._x0020High_x0020Risk_x0020Payments" TargetMode="External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orkspace.c6.siemens.com/content/300000007/Compliance%20WebBook/Part%202%20Business%20Perspective/H)%20Compliance%20in%20Business%20Processes%20and%20Projects/_layouts/15/hypernet/custom/link.aspx?bid=00010023&amp;pt=4._x0020Requirements_x0020of_x0020third_x0020parties_x0020e.g._x0020in_x0020tenders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3d9vu\AppData\Local\Microsoft\Windows\Temporary%20Internet%20Files\Content.Outlook\KT277LDL\SCL_140916_Legal_Handbook_Template_Lay07.dotx" TargetMode="External"/></Relationships>
</file>

<file path=word/theme/theme1.xml><?xml version="1.0" encoding="utf-8"?>
<a:theme xmlns:a="http://schemas.openxmlformats.org/drawingml/2006/main" name="SIM_newsletter">
  <a:themeElements>
    <a:clrScheme name="Siemens AG">
      <a:dk1>
        <a:sysClr val="windowText" lastClr="000000"/>
      </a:dk1>
      <a:lt1>
        <a:sysClr val="window" lastClr="FFFFFF"/>
      </a:lt1>
      <a:dk2>
        <a:srgbClr val="879BAA"/>
      </a:dk2>
      <a:lt2>
        <a:srgbClr val="BECDD7"/>
      </a:lt2>
      <a:accent1>
        <a:srgbClr val="AAAA96"/>
      </a:accent1>
      <a:accent2>
        <a:srgbClr val="D7D7CD"/>
      </a:accent2>
      <a:accent3>
        <a:srgbClr val="006487"/>
      </a:accent3>
      <a:accent4>
        <a:srgbClr val="647D2D"/>
      </a:accent4>
      <a:accent5>
        <a:srgbClr val="641946"/>
      </a:accent5>
      <a:accent6>
        <a:srgbClr val="EB780A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e1f5f8-4a5f-4619-969f-c34e20667274">
      <Value>96</Value>
    </TaxCatchAll>
    <MaintainPublication xmlns="91B9760D-53D8-425F-9F7F-8911CF84EED2">Publish</MaintainPublication>
    <nb766c42a6d34ad7b224884871f9394f xmlns="91b9760d-53d8-425f-9f7f-8911cf84eed2">
      <Terms xmlns="http://schemas.microsoft.com/office/infopath/2007/PartnerControls">
        <TermInfo xmlns="http://schemas.microsoft.com/office/infopath/2007/PartnerControls">
          <TermName xmlns="http://schemas.microsoft.com/office/infopath/2007/PartnerControls">H. Compliance in Business Processes and Projects</TermName>
          <TermId xmlns="http://schemas.microsoft.com/office/infopath/2007/PartnerControls">1973ca93-017d-444e-9a75-c9da93f4a188</TermId>
        </TermInfo>
      </Terms>
    </nb766c42a6d34ad7b224884871f9394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ource Library Content Type" ma:contentTypeID="0x010100DA792F68E16F46C1935D46987B61C0F50099EFCC051DBFF746BCEF6C3628588333" ma:contentTypeVersion="3" ma:contentTypeDescription="Source Library Content Type" ma:contentTypeScope="" ma:versionID="52b79649b671b7cf6b980e9492bceffc">
  <xsd:schema xmlns:xsd="http://www.w3.org/2001/XMLSchema" xmlns:xs="http://www.w3.org/2001/XMLSchema" xmlns:p="http://schemas.microsoft.com/office/2006/metadata/properties" xmlns:ns2="91B9760D-53D8-425F-9F7F-8911CF84EED2" xmlns:ns3="91b9760d-53d8-425f-9f7f-8911cf84eed2" xmlns:ns4="6ee1f5f8-4a5f-4619-969f-c34e20667274" targetNamespace="http://schemas.microsoft.com/office/2006/metadata/properties" ma:root="true" ma:fieldsID="ab9dd9530a4bae8b2da3ad282918049b" ns2:_="" ns3:_="" ns4:_="">
    <xsd:import namespace="91B9760D-53D8-425F-9F7F-8911CF84EED2"/>
    <xsd:import namespace="91b9760d-53d8-425f-9f7f-8911cf84eed2"/>
    <xsd:import namespace="6ee1f5f8-4a5f-4619-969f-c34e20667274"/>
    <xsd:element name="properties">
      <xsd:complexType>
        <xsd:sequence>
          <xsd:element name="documentManagement">
            <xsd:complexType>
              <xsd:all>
                <xsd:element ref="ns2:MaintainPublication"/>
                <xsd:element ref="ns3:nb766c42a6d34ad7b224884871f9394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9760D-53D8-425F-9F7F-8911CF84EED2" elementFormDefault="qualified">
    <xsd:import namespace="http://schemas.microsoft.com/office/2006/documentManagement/types"/>
    <xsd:import namespace="http://schemas.microsoft.com/office/infopath/2007/PartnerControls"/>
    <xsd:element name="MaintainPublication" ma:index="9" ma:displayName="Maintain publication" ma:default="Publish" ma:format="Dropdown" ma:internalName="MaintainPublication">
      <xsd:simpleType>
        <xsd:restriction base="dms:Choice">
          <xsd:enumeration value="Publish"/>
          <xsd:enumeration value="Ignore"/>
          <xsd:enumeration value="Un-publish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9760d-53d8-425f-9f7f-8911cf84eed2" elementFormDefault="qualified">
    <xsd:import namespace="http://schemas.microsoft.com/office/2006/documentManagement/types"/>
    <xsd:import namespace="http://schemas.microsoft.com/office/infopath/2007/PartnerControls"/>
    <xsd:element name="nb766c42a6d34ad7b224884871f9394f" ma:index="11" nillable="true" ma:taxonomy="true" ma:internalName="nb766c42a6d34ad7b224884871f9394f" ma:taxonomyFieldName="TOC" ma:displayName="TOC" ma:default="" ma:fieldId="{7b766c42-a6d3-4ad7-b224-884871f9394f}" ma:sspId="407be2cf-81e9-4a29-bb69-6cc8cd970df2" ma:termSetId="fc876880-718d-4551-830e-d86cc8c7db1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1f5f8-4a5f-4619-969f-c34e206672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37966c-1784-403a-a85c-bfb82e633b6a}" ma:internalName="TaxCatchAll" ma:showField="CatchAllData" ma:web="6ee1f5f8-4a5f-4619-969f-c34e206672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00C999-954E-40C4-B77A-84DC79E3F9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40680D-646E-4F44-BA00-04EB703E5B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C410B-8DA4-4E57-8D14-A0D69B388DE0}">
  <ds:schemaRefs>
    <ds:schemaRef ds:uri="http://schemas.microsoft.com/office/2006/documentManagement/types"/>
    <ds:schemaRef ds:uri="http://schemas.microsoft.com/office/infopath/2007/PartnerControls"/>
    <ds:schemaRef ds:uri="91B9760D-53D8-425F-9F7F-8911CF84EED2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6ee1f5f8-4a5f-4619-969f-c34e20667274"/>
    <ds:schemaRef ds:uri="91b9760d-53d8-425f-9f7f-8911cf84eed2"/>
    <ds:schemaRef ds:uri="http://www.w3.org/XML/1998/namespace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CF51AED-F4EA-42D6-AE9D-56ECD96005F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5420678-E49E-42DB-93C0-59FAA7EEF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9760D-53D8-425F-9F7F-8911CF84EED2"/>
    <ds:schemaRef ds:uri="91b9760d-53d8-425f-9f7f-8911cf84eed2"/>
    <ds:schemaRef ds:uri="6ee1f5f8-4a5f-4619-969f-c34e20667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SCL_140916_Legal_Handbook_Template_Lay07.dotx</Template>
  <TotalTime>0</TotalTime>
  <Pages>1</Pages>
  <Words>338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AG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Schieber, Franziska</dc:creator>
  <cp:keywords>C_Restricted</cp:keywords>
  <dc:description/>
  <cp:lastModifiedBy>Hamm-Dueppe, Yvonne (LC CO RFC LF)</cp:lastModifiedBy>
  <cp:revision>14</cp:revision>
  <cp:lastPrinted>2015-08-31T13:30:00Z</cp:lastPrinted>
  <dcterms:created xsi:type="dcterms:W3CDTF">2018-08-07T12:50:00Z</dcterms:created>
  <dcterms:modified xsi:type="dcterms:W3CDTF">2020-09-28T11:29:00Z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0x010100DA792F68E16F46C1935D46987B61C0F50099EFCC051DBFF746BCEF6C3628588333</vt:lpwstr>
  </property>
  <property fmtid="{D5CDD505-2E9C-101B-9397-08002B2CF9AE}" pid="4" name="TOC">
    <vt:lpwstr>96;#H. Compliance in Business Processes and Projects|1973ca93-017d-444e-9a75-c9da93f4a188</vt:lpwstr>
  </property>
  <property fmtid="{D5CDD505-2E9C-101B-9397-08002B2CF9AE}" pid="5" name="Document Confidentiality">
    <vt:lpwstr>Restricted</vt:lpwstr>
  </property>
  <property fmtid="{D5CDD505-2E9C-101B-9397-08002B2CF9AE}" pid="6" name="MSIP_Label_a59b6cd5-d141-4a33-8bf1-0ca04484304f_Enabled">
    <vt:lpwstr>true</vt:lpwstr>
  </property>
  <property fmtid="{D5CDD505-2E9C-101B-9397-08002B2CF9AE}" pid="7" name="MSIP_Label_a59b6cd5-d141-4a33-8bf1-0ca04484304f_SetDate">
    <vt:lpwstr>2020-09-28T11:27:19Z</vt:lpwstr>
  </property>
  <property fmtid="{D5CDD505-2E9C-101B-9397-08002B2CF9AE}" pid="8" name="MSIP_Label_a59b6cd5-d141-4a33-8bf1-0ca04484304f_Method">
    <vt:lpwstr>Standard</vt:lpwstr>
  </property>
  <property fmtid="{D5CDD505-2E9C-101B-9397-08002B2CF9AE}" pid="9" name="MSIP_Label_a59b6cd5-d141-4a33-8bf1-0ca04484304f_Name">
    <vt:lpwstr>restricted-default</vt:lpwstr>
  </property>
  <property fmtid="{D5CDD505-2E9C-101B-9397-08002B2CF9AE}" pid="10" name="MSIP_Label_a59b6cd5-d141-4a33-8bf1-0ca04484304f_SiteId">
    <vt:lpwstr>38ae3bcd-9579-4fd4-adda-b42e1495d55a</vt:lpwstr>
  </property>
  <property fmtid="{D5CDD505-2E9C-101B-9397-08002B2CF9AE}" pid="11" name="MSIP_Label_a59b6cd5-d141-4a33-8bf1-0ca04484304f_ActionId">
    <vt:lpwstr>e4464caa-f687-4863-8b2f-2684fcf242e7</vt:lpwstr>
  </property>
  <property fmtid="{D5CDD505-2E9C-101B-9397-08002B2CF9AE}" pid="12" name="MSIP_Label_a59b6cd5-d141-4a33-8bf1-0ca04484304f_ContentBits">
    <vt:lpwstr>0</vt:lpwstr>
  </property>
  <property fmtid="{D5CDD505-2E9C-101B-9397-08002B2CF9AE}" pid="13" name="Document_Confidentiality">
    <vt:lpwstr>Restricted</vt:lpwstr>
  </property>
</Properties>
</file>