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F052" w14:textId="77777777" w:rsidR="004731B8" w:rsidRDefault="00F119E6">
      <w:pPr>
        <w:spacing w:after="240" w:line="240" w:lineRule="auto"/>
        <w:ind w:right="567"/>
        <w:rPr>
          <w:rFonts w:ascii="Times New Roman" w:eastAsia="Times New Roman" w:hAnsi="Times New Roman" w:cs="Times New Roman"/>
          <w:color w:val="879BAA" w:themeColor="text2"/>
          <w:sz w:val="52"/>
          <w:szCs w:val="20"/>
          <w:lang w:eastAsia="de-DE"/>
        </w:rPr>
      </w:pPr>
      <w:r>
        <w:rPr>
          <w:rFonts w:ascii="Times New Roman" w:eastAsia="Times New Roman" w:hAnsi="Times New Roman" w:cs="Times New Roman"/>
          <w:color w:val="879BAA" w:themeColor="text2"/>
          <w:sz w:val="52"/>
          <w:szCs w:val="20"/>
          <w:lang w:eastAsia="de-DE"/>
        </w:rPr>
        <w:t>D. Data Privacy</w:t>
      </w:r>
    </w:p>
    <w:p w14:paraId="536EF053" w14:textId="77777777" w:rsidR="004731B8" w:rsidRDefault="00F119E6">
      <w:pPr>
        <w:spacing w:after="240" w:line="280" w:lineRule="exact"/>
        <w:ind w:right="567"/>
        <w:rPr>
          <w:rFonts w:eastAsia="Times New Roman" w:cs="Times New Roman"/>
          <w:szCs w:val="20"/>
          <w:lang w:eastAsia="de-DE"/>
        </w:rPr>
      </w:pPr>
      <w:r>
        <w:rPr>
          <w:rFonts w:eastAsia="Times New Roman" w:cs="Times New Roman"/>
          <w:szCs w:val="20"/>
          <w:lang w:eastAsia="de-DE"/>
        </w:rPr>
        <w:t xml:space="preserve">Data privacy laws are being introduced for the first time or else are being tightened up, not only in the EU in the form of the directly applicable General Data Protection Regulation adopted on April 14, 2016, but also in many other countries. At the same time, supervisory authorities are being put in place and given more rights than ever. This is accompanied by greater media coverage and an increase in the number of public tenders which request data privacy solutions. This change has a tangible impact for Siemens AG and Siemens Affiliated Companies located within or outside the EU and requires adapting Siemens’ data privacy related processes to the applicable legal framework. </w:t>
      </w:r>
    </w:p>
    <w:p w14:paraId="536EF055" w14:textId="77777777" w:rsidR="004731B8" w:rsidRDefault="004731B8">
      <w:pPr>
        <w:pStyle w:val="KeinAbsatzformat"/>
        <w:rPr>
          <w:lang w:val="en-US" w:eastAsia="de-DE"/>
        </w:rPr>
      </w:pPr>
    </w:p>
    <w:tbl>
      <w:tblPr>
        <w:tblStyle w:val="Tabellenraster"/>
        <w:tblW w:w="0" w:type="auto"/>
        <w:tblInd w:w="360" w:type="dxa"/>
        <w:tblLook w:val="04A0" w:firstRow="1" w:lastRow="0" w:firstColumn="1" w:lastColumn="0" w:noHBand="0" w:noVBand="1"/>
      </w:tblPr>
      <w:tblGrid>
        <w:gridCol w:w="10225"/>
      </w:tblGrid>
      <w:tr w:rsidR="004731B8" w14:paraId="536EF05C" w14:textId="77777777">
        <w:trPr>
          <w:trHeight w:val="3725"/>
        </w:trPr>
        <w:tc>
          <w:tcPr>
            <w:tcW w:w="10225" w:type="dxa"/>
          </w:tcPr>
          <w:p w14:paraId="536EF056" w14:textId="77777777" w:rsidR="004731B8" w:rsidRDefault="00F119E6">
            <w:pPr>
              <w:pStyle w:val="HighlightboxGreyBulletpoints"/>
              <w:numPr>
                <w:ilvl w:val="0"/>
                <w:numId w:val="0"/>
              </w:numPr>
              <w:ind w:left="360" w:hanging="360"/>
              <w:rPr>
                <w:lang w:val="de-DE"/>
              </w:rPr>
            </w:pPr>
            <w:bookmarkStart w:id="0" w:name="_Hlk532206607"/>
            <w:r>
              <w:rPr>
                <w:lang w:val="de-DE"/>
              </w:rPr>
              <w:t xml:space="preserve">Data Privacy in a </w:t>
            </w:r>
            <w:proofErr w:type="spellStart"/>
            <w:r>
              <w:rPr>
                <w:lang w:val="de-DE"/>
              </w:rPr>
              <w:t>nutshell</w:t>
            </w:r>
            <w:proofErr w:type="spellEnd"/>
          </w:p>
          <w:p w14:paraId="536EF057" w14:textId="77777777" w:rsidR="004731B8" w:rsidRDefault="00F119E6">
            <w:pPr>
              <w:pStyle w:val="HighlightboxGreyBulletpoints"/>
              <w:rPr>
                <w:rFonts w:cstheme="minorHAnsi"/>
                <w:b w:val="0"/>
              </w:rPr>
            </w:pPr>
            <w:r>
              <w:rPr>
                <w:rFonts w:cstheme="minorHAnsi"/>
                <w:b w:val="0"/>
              </w:rPr>
              <w:t>Personal data means any information that relates to an identified or identifiable natural person.</w:t>
            </w:r>
          </w:p>
          <w:p w14:paraId="536EF058" w14:textId="77777777" w:rsidR="004731B8" w:rsidRDefault="00F119E6">
            <w:pPr>
              <w:pStyle w:val="HighlightboxGreyBulletpoints"/>
              <w:rPr>
                <w:rFonts w:cstheme="minorHAnsi"/>
                <w:b w:val="0"/>
              </w:rPr>
            </w:pPr>
            <w:r>
              <w:rPr>
                <w:rFonts w:cstheme="minorHAnsi"/>
                <w:b w:val="0"/>
              </w:rPr>
              <w:t>Processing of personal data requires a legitimate legal basis. Examples of legal bases include contractual relationships, legitimate interests of the company or consent by the data subject.</w:t>
            </w:r>
          </w:p>
          <w:p w14:paraId="536EF059" w14:textId="77777777" w:rsidR="004731B8" w:rsidRDefault="00F119E6">
            <w:pPr>
              <w:pStyle w:val="HighlightboxGreyBulletpoints"/>
              <w:rPr>
                <w:rFonts w:cstheme="minorHAnsi"/>
              </w:rPr>
            </w:pPr>
            <w:r>
              <w:rPr>
                <w:rFonts w:cstheme="minorHAnsi"/>
                <w:b w:val="0"/>
              </w:rPr>
              <w:t xml:space="preserve">Any employee who becomes aware of a data breach must take immediate action and inform the </w:t>
            </w:r>
            <w:hyperlink r:id="rId11" w:history="1">
              <w:r>
                <w:rPr>
                  <w:rStyle w:val="Hyperlink"/>
                  <w:rFonts w:cstheme="minorHAnsi"/>
                  <w:b w:val="0"/>
                </w:rPr>
                <w:t>Data Privacy Organization</w:t>
              </w:r>
            </w:hyperlink>
            <w:r>
              <w:rPr>
                <w:rFonts w:cstheme="minorHAnsi"/>
                <w:b w:val="0"/>
              </w:rPr>
              <w:t xml:space="preserve"> as described in the </w:t>
            </w:r>
            <w:hyperlink r:id="rId12" w:history="1">
              <w:r>
                <w:rPr>
                  <w:rStyle w:val="Hyperlink"/>
                  <w:rFonts w:cstheme="minorHAnsi"/>
                  <w:b w:val="0"/>
                </w:rPr>
                <w:t>Data Privacy Incident Management Process</w:t>
              </w:r>
            </w:hyperlink>
            <w:r>
              <w:rPr>
                <w:rStyle w:val="Hyperlink"/>
                <w:rFonts w:cstheme="minorHAnsi"/>
                <w:b w:val="0"/>
              </w:rPr>
              <w:t>.</w:t>
            </w:r>
            <w:r>
              <w:rPr>
                <w:rFonts w:cstheme="minorHAnsi"/>
                <w:b w:val="0"/>
              </w:rPr>
              <w:t xml:space="preserve"> </w:t>
            </w:r>
          </w:p>
          <w:p w14:paraId="536EF05A" w14:textId="77777777" w:rsidR="004731B8" w:rsidRDefault="00F119E6">
            <w:pPr>
              <w:pStyle w:val="HighlightboxGreyBulletpoints"/>
            </w:pPr>
            <w:r>
              <w:rPr>
                <w:rFonts w:cstheme="minorHAnsi"/>
                <w:b w:val="0"/>
              </w:rPr>
              <w:t xml:space="preserve">Applicable data privacy laws often require companies to maintain a detailed record of all processing activities of personal information. Any processing of personal information in an application or system must be documented within the </w:t>
            </w:r>
            <w:hyperlink r:id="rId13" w:history="1">
              <w:r>
                <w:rPr>
                  <w:rStyle w:val="Hyperlink"/>
                  <w:rFonts w:cstheme="minorHAnsi"/>
                  <w:b w:val="0"/>
                </w:rPr>
                <w:t>Siemens CDP Center</w:t>
              </w:r>
            </w:hyperlink>
            <w:r>
              <w:rPr>
                <w:rFonts w:cstheme="minorHAnsi"/>
                <w:b w:val="0"/>
              </w:rPr>
              <w:t xml:space="preserve"> by the respective process owner with the support of IT.</w:t>
            </w:r>
          </w:p>
          <w:p w14:paraId="536EF05B" w14:textId="77777777" w:rsidR="004731B8" w:rsidRDefault="00F119E6">
            <w:pPr>
              <w:pStyle w:val="HighlightboxGreyBulletpoints"/>
            </w:pPr>
            <w:r>
              <w:rPr>
                <w:rFonts w:cstheme="minorHAnsi"/>
                <w:b w:val="0"/>
              </w:rPr>
              <w:t>Data Privacy laws require appropriate data processing agreements that contain requirements for service providers which provide data processing services (such as hosting or similar solutions).</w:t>
            </w:r>
          </w:p>
        </w:tc>
      </w:tr>
    </w:tbl>
    <w:p w14:paraId="3E1FBE21" w14:textId="46388ABF" w:rsidR="006528A5" w:rsidRDefault="006528A5" w:rsidP="006528A5">
      <w:pPr>
        <w:pStyle w:val="KeinAbsatzformat"/>
        <w:rPr>
          <w:lang w:val="en-US" w:eastAsia="de-DE"/>
        </w:rPr>
      </w:pPr>
      <w:bookmarkStart w:id="1" w:name="_Toc511649679"/>
      <w:bookmarkStart w:id="2" w:name="_Toc486944742"/>
      <w:bookmarkStart w:id="3" w:name="_Toc488326066"/>
      <w:bookmarkEnd w:id="0"/>
      <w:r>
        <w:rPr>
          <w:lang w:val="en-US" w:eastAsia="de-DE"/>
        </w:rPr>
        <w:t xml:space="preserve">More Information on our Data Privacy Management System are available </w:t>
      </w:r>
      <w:hyperlink r:id="rId14" w:history="1">
        <w:r w:rsidRPr="006528A5">
          <w:rPr>
            <w:rStyle w:val="Hyperlink"/>
            <w:lang w:val="en-US" w:eastAsia="de-DE"/>
          </w:rPr>
          <w:t>here</w:t>
        </w:r>
      </w:hyperlink>
      <w:r>
        <w:rPr>
          <w:lang w:val="en-US" w:eastAsia="de-DE"/>
        </w:rPr>
        <w:t xml:space="preserve">. </w:t>
      </w:r>
    </w:p>
    <w:p w14:paraId="536EF05D" w14:textId="77777777" w:rsidR="004731B8" w:rsidRDefault="00F119E6">
      <w:pPr>
        <w:pStyle w:val="berschrift1"/>
      </w:pPr>
      <w:r>
        <w:t xml:space="preserve">1. </w:t>
      </w:r>
      <w:bookmarkEnd w:id="1"/>
      <w:r>
        <w:rPr>
          <w:bCs w:val="0"/>
        </w:rPr>
        <w:t>Responsibility</w:t>
      </w:r>
    </w:p>
    <w:p w14:paraId="536EF05E" w14:textId="464F4B1E" w:rsidR="004731B8" w:rsidRDefault="00F119E6">
      <w:pPr>
        <w:pStyle w:val="Untertitel"/>
        <w:rPr>
          <w:rFonts w:eastAsia="Times New Roman"/>
          <w:lang w:eastAsia="de-DE"/>
        </w:rPr>
      </w:pPr>
      <w:bookmarkStart w:id="4" w:name="_Toc511649680"/>
      <w:r>
        <w:rPr>
          <w:rFonts w:eastAsia="Times New Roman"/>
          <w:lang w:eastAsia="de-DE"/>
        </w:rPr>
        <w:t>The first key principle - Data privacy compliance as the responsibility of each Siemens employee</w:t>
      </w:r>
      <w:bookmarkEnd w:id="2"/>
      <w:bookmarkEnd w:id="3"/>
      <w:bookmarkEnd w:id="4"/>
    </w:p>
    <w:p w14:paraId="536EF05F" w14:textId="58BB17C7" w:rsidR="004731B8" w:rsidRDefault="00F119E6">
      <w:pPr>
        <w:spacing w:after="0" w:line="280" w:lineRule="exact"/>
        <w:ind w:right="567"/>
        <w:rPr>
          <w:rFonts w:eastAsia="Times New Roman" w:cs="Times New Roman"/>
          <w:szCs w:val="20"/>
          <w:lang w:eastAsia="de-DE"/>
        </w:rPr>
      </w:pPr>
      <w:r>
        <w:rPr>
          <w:rFonts w:eastAsia="Times New Roman" w:cs="Times New Roman"/>
          <w:szCs w:val="20"/>
          <w:lang w:eastAsia="de-DE"/>
        </w:rPr>
        <w:t xml:space="preserve">Complying with the law is a fundamental principle for Siemens. All Siemens employees are required to perform their daily tasks in accordance with applicable laws and regulations, including laws and regulations on data privacy (for example sections H7 of the </w:t>
      </w:r>
      <w:hyperlink r:id="rId15" w:history="1">
        <w:r>
          <w:rPr>
            <w:rStyle w:val="Hyperlink"/>
            <w:rFonts w:eastAsia="Times New Roman" w:cs="Times New Roman"/>
            <w:szCs w:val="20"/>
            <w:lang w:eastAsia="de-DE"/>
          </w:rPr>
          <w:t>Business Conduct Guidelines</w:t>
        </w:r>
      </w:hyperlink>
      <w:r>
        <w:rPr>
          <w:rFonts w:eastAsia="Times New Roman" w:cs="Times New Roman"/>
          <w:szCs w:val="20"/>
          <w:lang w:eastAsia="de-DE"/>
        </w:rPr>
        <w:t xml:space="preserve">). This chapter therefore provides support to help employees from the respective target groups to comply with this principle in their daily work. Further directives are included in </w:t>
      </w:r>
      <w:r w:rsidR="00DA2DAA">
        <w:rPr>
          <w:rFonts w:eastAsia="Times New Roman" w:cs="Times New Roman"/>
          <w:szCs w:val="20"/>
          <w:lang w:eastAsia="de-DE"/>
        </w:rPr>
        <w:t>the</w:t>
      </w:r>
      <w:r>
        <w:rPr>
          <w:rFonts w:eastAsia="Times New Roman" w:cs="Times New Roman"/>
          <w:szCs w:val="20"/>
          <w:lang w:eastAsia="de-DE"/>
        </w:rPr>
        <w:t xml:space="preserve"> “</w:t>
      </w:r>
      <w:hyperlink r:id="rId16" w:history="1">
        <w:r>
          <w:rPr>
            <w:rFonts w:eastAsia="Times New Roman" w:cs="Times New Roman"/>
            <w:color w:val="0000FF"/>
            <w:szCs w:val="20"/>
            <w:lang w:eastAsia="de-DE"/>
          </w:rPr>
          <w:t>Binding Corporate Rules (BCR) for the Protection of Personal Data</w:t>
        </w:r>
      </w:hyperlink>
      <w:r>
        <w:rPr>
          <w:rFonts w:eastAsia="Times New Roman" w:cs="Times New Roman"/>
          <w:szCs w:val="20"/>
          <w:lang w:eastAsia="de-DE"/>
        </w:rPr>
        <w:t>”.</w:t>
      </w:r>
    </w:p>
    <w:p w14:paraId="536EF060" w14:textId="77777777" w:rsidR="004731B8" w:rsidRDefault="004731B8">
      <w:pPr>
        <w:spacing w:after="0" w:line="280" w:lineRule="exact"/>
        <w:ind w:right="567"/>
        <w:rPr>
          <w:rFonts w:eastAsia="Times New Roman" w:cs="Times New Roman"/>
          <w:szCs w:val="20"/>
          <w:lang w:eastAsia="de-DE"/>
        </w:rPr>
      </w:pPr>
      <w:bookmarkStart w:id="5" w:name="_Toc480383302"/>
    </w:p>
    <w:p w14:paraId="536EF061" w14:textId="77777777" w:rsidR="004731B8" w:rsidRDefault="00F119E6">
      <w:pPr>
        <w:pStyle w:val="Untertitel"/>
        <w:rPr>
          <w:rFonts w:eastAsia="Times New Roman"/>
          <w:lang w:eastAsia="de-DE"/>
        </w:rPr>
      </w:pPr>
      <w:bookmarkStart w:id="6" w:name="_Toc486944743"/>
      <w:bookmarkStart w:id="7" w:name="_Toc488326067"/>
      <w:bookmarkStart w:id="8" w:name="_Toc511649681"/>
      <w:r>
        <w:rPr>
          <w:rFonts w:eastAsia="Times New Roman"/>
          <w:lang w:eastAsia="de-DE"/>
        </w:rPr>
        <w:lastRenderedPageBreak/>
        <w:t xml:space="preserve">The second key principle - Collaboration </w:t>
      </w:r>
      <w:bookmarkEnd w:id="5"/>
      <w:r>
        <w:rPr>
          <w:rFonts w:eastAsia="Times New Roman"/>
          <w:lang w:eastAsia="de-DE"/>
        </w:rPr>
        <w:t>between the stakeholders identified and the Data Privacy Organization</w:t>
      </w:r>
      <w:bookmarkEnd w:id="6"/>
      <w:bookmarkEnd w:id="7"/>
      <w:bookmarkEnd w:id="8"/>
    </w:p>
    <w:p w14:paraId="536EF062" w14:textId="77777777" w:rsidR="004731B8" w:rsidRDefault="00F119E6">
      <w:pPr>
        <w:spacing w:after="120" w:line="280" w:lineRule="exact"/>
        <w:ind w:right="567"/>
        <w:rPr>
          <w:rFonts w:eastAsia="Times New Roman" w:cs="Times New Roman"/>
          <w:szCs w:val="20"/>
          <w:lang w:eastAsia="de-DE"/>
        </w:rPr>
      </w:pPr>
      <w:r>
        <w:rPr>
          <w:rFonts w:eastAsia="Times New Roman" w:cs="Times New Roman"/>
          <w:szCs w:val="20"/>
          <w:lang w:eastAsia="de-DE"/>
        </w:rPr>
        <w:t>Data privacy compliance falls under the responsibility of the Controller</w:t>
      </w:r>
      <w:r>
        <w:rPr>
          <w:rStyle w:val="Funotenzeichen"/>
          <w:rFonts w:eastAsia="Times New Roman" w:cs="Times New Roman"/>
          <w:szCs w:val="20"/>
          <w:lang w:eastAsia="de-DE"/>
        </w:rPr>
        <w:footnoteReference w:id="1"/>
      </w:r>
      <w:r>
        <w:rPr>
          <w:rFonts w:eastAsia="Times New Roman" w:cs="Times New Roman"/>
          <w:szCs w:val="20"/>
          <w:lang w:eastAsia="de-DE"/>
        </w:rPr>
        <w:t xml:space="preserve"> and the Processor</w:t>
      </w:r>
      <w:r>
        <w:rPr>
          <w:rStyle w:val="Funotenzeichen"/>
          <w:rFonts w:eastAsia="Times New Roman" w:cs="Times New Roman"/>
          <w:szCs w:val="20"/>
          <w:lang w:eastAsia="de-DE"/>
        </w:rPr>
        <w:footnoteReference w:id="2"/>
      </w:r>
      <w:r>
        <w:rPr>
          <w:rFonts w:eastAsia="Times New Roman" w:cs="Times New Roman"/>
          <w:szCs w:val="20"/>
          <w:lang w:eastAsia="de-DE"/>
        </w:rPr>
        <w:t>. Collaboration between Siemens entities is a key driver in Siemens’ compliance with applicable laws and regulations. In addition, the Siemens Data Privacy Organization</w:t>
      </w:r>
      <w:r>
        <w:rPr>
          <w:rStyle w:val="Funotenzeichen"/>
          <w:rFonts w:eastAsia="Times New Roman" w:cs="Times New Roman"/>
          <w:szCs w:val="20"/>
          <w:lang w:eastAsia="de-DE"/>
        </w:rPr>
        <w:footnoteReference w:id="3"/>
      </w:r>
      <w:r>
        <w:rPr>
          <w:rFonts w:eastAsia="Times New Roman" w:cs="Times New Roman"/>
          <w:szCs w:val="20"/>
          <w:lang w:eastAsia="de-DE"/>
        </w:rPr>
        <w:t xml:space="preserve"> supports stakeholders in the implementation of their respective tasks defined herein and acts as an intermediary between the stakeholders and external parties (e.g. supervisory authorities, data subjects, service providers and third parties). </w:t>
      </w:r>
    </w:p>
    <w:p w14:paraId="536EF063" w14:textId="45253C10" w:rsidR="004731B8" w:rsidRDefault="00F119E6">
      <w:pPr>
        <w:spacing w:after="0" w:line="280" w:lineRule="exact"/>
        <w:ind w:right="567"/>
        <w:rPr>
          <w:rFonts w:eastAsia="Times New Roman" w:cs="Times New Roman"/>
          <w:szCs w:val="20"/>
          <w:lang w:eastAsia="de-DE"/>
        </w:rPr>
      </w:pPr>
      <w:r>
        <w:rPr>
          <w:rFonts w:eastAsia="Times New Roman" w:cs="Times New Roman"/>
          <w:szCs w:val="20"/>
          <w:lang w:eastAsia="de-DE"/>
        </w:rPr>
        <w:t xml:space="preserve">An overview of the Siemens Data Privacy Organization including data privacy contacts in Siemens entities can be found in the </w:t>
      </w:r>
      <w:hyperlink r:id="rId17" w:history="1">
        <w:r>
          <w:rPr>
            <w:rFonts w:eastAsia="Times New Roman" w:cs="Times New Roman"/>
            <w:color w:val="0000FF"/>
            <w:szCs w:val="20"/>
            <w:lang w:eastAsia="de-DE"/>
          </w:rPr>
          <w:t>Intranet</w:t>
        </w:r>
      </w:hyperlink>
      <w:r>
        <w:rPr>
          <w:rFonts w:eastAsia="Times New Roman" w:cs="Times New Roman"/>
          <w:szCs w:val="20"/>
          <w:lang w:eastAsia="de-DE"/>
        </w:rPr>
        <w:t>.</w:t>
      </w:r>
    </w:p>
    <w:p w14:paraId="536EF064" w14:textId="77777777" w:rsidR="004731B8" w:rsidRDefault="00F119E6">
      <w:pPr>
        <w:pStyle w:val="berschrift1"/>
      </w:pPr>
      <w:bookmarkStart w:id="9" w:name="_Toc486944745"/>
      <w:bookmarkStart w:id="10" w:name="_Toc488326069"/>
      <w:bookmarkStart w:id="11" w:name="_Toc511649683"/>
      <w:bookmarkStart w:id="12" w:name="_Hlk2683746"/>
      <w:r>
        <w:t xml:space="preserve">2. Tasks – Action Items </w:t>
      </w:r>
    </w:p>
    <w:p w14:paraId="536EF065" w14:textId="77777777" w:rsidR="004731B8" w:rsidRDefault="00F119E6">
      <w:pPr>
        <w:pStyle w:val="berschrift2"/>
        <w:rPr>
          <w:rFonts w:eastAsia="Times New Roman"/>
          <w:lang w:eastAsia="de-DE"/>
        </w:rPr>
      </w:pPr>
      <w:bookmarkStart w:id="13" w:name="_2.1._Incident_Handling"/>
      <w:bookmarkEnd w:id="13"/>
      <w:r>
        <w:rPr>
          <w:rFonts w:eastAsia="Times New Roman"/>
          <w:lang w:eastAsia="de-DE"/>
        </w:rPr>
        <w:t>2.1. Incident Handling / Data Breaches</w:t>
      </w:r>
      <w:bookmarkEnd w:id="9"/>
      <w:bookmarkEnd w:id="10"/>
      <w:bookmarkEnd w:id="11"/>
    </w:p>
    <w:p w14:paraId="536EF066"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Any breach of security leading to the accidental or unlawful destruction, loss, alteration, unauthorized disclosure of, or access to personal data may trigger notification requirements to authorities and data subjects.</w:t>
      </w:r>
    </w:p>
    <w:p w14:paraId="536EF067" w14:textId="77777777" w:rsidR="004731B8" w:rsidRDefault="00F119E6">
      <w:pPr>
        <w:spacing w:after="240" w:line="280" w:lineRule="exact"/>
        <w:ind w:right="567"/>
        <w:rPr>
          <w:rFonts w:eastAsia="Times New Roman" w:cs="Times New Roman"/>
          <w:b/>
          <w:szCs w:val="20"/>
          <w:lang w:eastAsia="de-DE"/>
        </w:rPr>
      </w:pPr>
      <w:r>
        <w:rPr>
          <w:rFonts w:eastAsia="Times New Roman" w:cs="Arial"/>
          <w:szCs w:val="20"/>
          <w:lang w:eastAsia="de-DE"/>
        </w:rPr>
        <w:t xml:space="preserve">For this purpose, any employee who becomes aware of such a breach must take immediate action in line with the </w:t>
      </w:r>
      <w:hyperlink r:id="rId18" w:history="1">
        <w:r>
          <w:rPr>
            <w:rFonts w:eastAsia="Times New Roman" w:cs="Arial"/>
            <w:color w:val="0000FF"/>
            <w:szCs w:val="20"/>
            <w:lang w:eastAsia="de-DE"/>
          </w:rPr>
          <w:t>Data Privacy Incident Management Guidance</w:t>
        </w:r>
      </w:hyperlink>
      <w:r>
        <w:rPr>
          <w:rFonts w:eastAsia="Times New Roman" w:cs="Arial"/>
          <w:szCs w:val="20"/>
          <w:lang w:eastAsia="de-DE"/>
        </w:rPr>
        <w:t xml:space="preserve"> and inform the Data Privacy Organization, if possible by using </w:t>
      </w:r>
      <w:hyperlink r:id="rId19" w:history="1">
        <w:r>
          <w:rPr>
            <w:rStyle w:val="Hyperlink"/>
            <w:rFonts w:eastAsia="Times New Roman" w:cs="Arial"/>
            <w:szCs w:val="20"/>
            <w:lang w:eastAsia="de-DE"/>
          </w:rPr>
          <w:t>the data breach report form</w:t>
        </w:r>
      </w:hyperlink>
      <w:r>
        <w:rPr>
          <w:rFonts w:eastAsia="Times New Roman" w:cs="Arial"/>
          <w:szCs w:val="20"/>
          <w:lang w:eastAsia="de-DE"/>
        </w:rPr>
        <w:t>. Any communication with supervisory authorities and data subjects concerned needs to be coordinated with the Data Privacy Organization.</w:t>
      </w:r>
      <w:bookmarkStart w:id="14" w:name="_Toc486944746"/>
      <w:bookmarkStart w:id="15" w:name="_Toc488326070"/>
    </w:p>
    <w:p w14:paraId="536EF068" w14:textId="77777777" w:rsidR="004731B8" w:rsidRDefault="00F119E6">
      <w:pPr>
        <w:pStyle w:val="berschrift2"/>
        <w:rPr>
          <w:rFonts w:eastAsia="Times New Roman"/>
          <w:lang w:eastAsia="de-DE"/>
        </w:rPr>
      </w:pPr>
      <w:bookmarkStart w:id="16" w:name="_2.2._Register_of"/>
      <w:bookmarkStart w:id="17" w:name="_Toc511649684"/>
      <w:bookmarkEnd w:id="16"/>
      <w:r>
        <w:rPr>
          <w:rFonts w:eastAsia="Times New Roman"/>
          <w:lang w:eastAsia="de-DE"/>
        </w:rPr>
        <w:t>2.2. Register of processing activities</w:t>
      </w:r>
      <w:bookmarkEnd w:id="14"/>
      <w:bookmarkEnd w:id="15"/>
      <w:bookmarkEnd w:id="17"/>
    </w:p>
    <w:p w14:paraId="536EF069"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 xml:space="preserve">Applicable data privacy laws (such as the EU data protection regulation) often require companies to maintain a detailed record of all processing activities and to conduct a privacy impact assessment for certain processing operations. Such processing activities shall be documented within the </w:t>
      </w:r>
      <w:hyperlink r:id="rId20" w:history="1">
        <w:r>
          <w:rPr>
            <w:rFonts w:eastAsia="Times New Roman" w:cs="Arial"/>
            <w:color w:val="0000FF"/>
            <w:szCs w:val="20"/>
            <w:lang w:eastAsia="de-DE"/>
          </w:rPr>
          <w:t>Siemens CDP Center</w:t>
        </w:r>
      </w:hyperlink>
      <w:r>
        <w:rPr>
          <w:rStyle w:val="Funotenzeichen"/>
          <w:rFonts w:eastAsia="Times New Roman" w:cs="Arial"/>
          <w:color w:val="0000FF"/>
          <w:szCs w:val="20"/>
          <w:lang w:eastAsia="de-DE"/>
        </w:rPr>
        <w:footnoteReference w:id="4"/>
      </w:r>
      <w:r>
        <w:rPr>
          <w:rFonts w:eastAsia="Times New Roman" w:cs="Arial"/>
          <w:szCs w:val="20"/>
          <w:lang w:eastAsia="de-DE"/>
        </w:rPr>
        <w:t xml:space="preserve"> by the respective Process Owner</w:t>
      </w:r>
      <w:r>
        <w:rPr>
          <w:rStyle w:val="Funotenzeichen"/>
          <w:rFonts w:eastAsia="Times New Roman" w:cs="Arial"/>
          <w:szCs w:val="20"/>
          <w:lang w:eastAsia="de-DE"/>
        </w:rPr>
        <w:footnoteReference w:id="5"/>
      </w:r>
      <w:r>
        <w:rPr>
          <w:rFonts w:eastAsia="Times New Roman" w:cs="Arial"/>
          <w:szCs w:val="20"/>
          <w:lang w:eastAsia="de-DE"/>
        </w:rPr>
        <w:t xml:space="preserve"> with the support of the IT (responsible for describing the technical and organizational measures and the possible engagement of further sub-processors).</w:t>
      </w:r>
      <w:r>
        <w:rPr>
          <w:sz w:val="16"/>
          <w:szCs w:val="16"/>
        </w:rPr>
        <w:t xml:space="preserve"> </w:t>
      </w:r>
    </w:p>
    <w:p w14:paraId="536EF06A"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Documentation in the CDP Center is mandatory if:</w:t>
      </w:r>
    </w:p>
    <w:p w14:paraId="536EF06B" w14:textId="77777777" w:rsidR="004731B8" w:rsidRDefault="00F119E6">
      <w:pPr>
        <w:pStyle w:val="CopyBulletpoints"/>
        <w:ind w:left="470" w:hanging="357"/>
      </w:pPr>
      <w:r>
        <w:t xml:space="preserve">the Controller is situated in a country in which an application register is required by law, or </w:t>
      </w:r>
    </w:p>
    <w:p w14:paraId="536EF06C" w14:textId="77777777" w:rsidR="004731B8" w:rsidRDefault="00F119E6">
      <w:pPr>
        <w:pStyle w:val="CopyBulletpoints"/>
        <w:ind w:left="470" w:hanging="357"/>
      </w:pPr>
      <w:r>
        <w:lastRenderedPageBreak/>
        <w:t>a Siemens entity acts as Processor for a Controller located in a country with this type of documentation requirement.</w:t>
      </w:r>
    </w:p>
    <w:p w14:paraId="536EF06D" w14:textId="77777777" w:rsidR="004731B8" w:rsidRDefault="00F119E6">
      <w:pPr>
        <w:spacing w:after="240" w:line="280" w:lineRule="exact"/>
        <w:ind w:right="567"/>
        <w:rPr>
          <w:rFonts w:eastAsia="Times New Roman" w:cs="Times New Roman"/>
          <w:b/>
          <w:szCs w:val="20"/>
          <w:lang w:eastAsia="de-DE"/>
        </w:rPr>
      </w:pPr>
      <w:r>
        <w:rPr>
          <w:rFonts w:eastAsia="Times New Roman" w:cs="Arial"/>
          <w:szCs w:val="20"/>
          <w:lang w:eastAsia="de-DE"/>
        </w:rPr>
        <w:t xml:space="preserve">Even in other cases, a notification in the CDP Center is highly recommended </w:t>
      </w:r>
      <w:proofErr w:type="gramStart"/>
      <w:r>
        <w:rPr>
          <w:rFonts w:eastAsia="Times New Roman" w:cs="Arial"/>
          <w:szCs w:val="20"/>
          <w:lang w:eastAsia="de-DE"/>
        </w:rPr>
        <w:t>in order to</w:t>
      </w:r>
      <w:proofErr w:type="gramEnd"/>
      <w:r>
        <w:rPr>
          <w:rFonts w:eastAsia="Times New Roman" w:cs="Arial"/>
          <w:szCs w:val="20"/>
          <w:lang w:eastAsia="de-DE"/>
        </w:rPr>
        <w:t xml:space="preserve"> obtain a comprehensive overview of data privacy risks within Siemens.</w:t>
      </w:r>
      <w:bookmarkStart w:id="18" w:name="_Toc486944747"/>
      <w:bookmarkStart w:id="19" w:name="_Toc488326071"/>
    </w:p>
    <w:p w14:paraId="536EF06E" w14:textId="77777777" w:rsidR="004731B8" w:rsidRDefault="00F119E6">
      <w:pPr>
        <w:pStyle w:val="berschrift2"/>
        <w:rPr>
          <w:rFonts w:eastAsia="Times New Roman"/>
          <w:lang w:eastAsia="de-DE"/>
        </w:rPr>
      </w:pPr>
      <w:bookmarkStart w:id="20" w:name="_2.3._Data_processing"/>
      <w:bookmarkStart w:id="21" w:name="_Toc511649685"/>
      <w:bookmarkEnd w:id="20"/>
      <w:r>
        <w:rPr>
          <w:rFonts w:eastAsia="Times New Roman"/>
          <w:lang w:eastAsia="de-DE"/>
        </w:rPr>
        <w:t>2.3. Data processing agreements</w:t>
      </w:r>
      <w:bookmarkEnd w:id="18"/>
      <w:bookmarkEnd w:id="19"/>
      <w:bookmarkEnd w:id="21"/>
    </w:p>
    <w:p w14:paraId="536EF06F" w14:textId="77777777" w:rsidR="004731B8" w:rsidRDefault="00F119E6">
      <w:pPr>
        <w:spacing w:after="0" w:line="280" w:lineRule="exact"/>
        <w:ind w:right="567"/>
        <w:rPr>
          <w:rFonts w:eastAsia="Times New Roman" w:cs="Arial"/>
          <w:szCs w:val="20"/>
          <w:lang w:eastAsia="de-DE"/>
        </w:rPr>
      </w:pPr>
      <w:r>
        <w:rPr>
          <w:rFonts w:eastAsia="Times New Roman" w:cs="Arial"/>
          <w:szCs w:val="20"/>
          <w:lang w:eastAsia="de-DE"/>
        </w:rPr>
        <w:t xml:space="preserve">EU and other data privacy laws impose contractual requirements for the provision of processing services (such as SaaS, hosting or similar solutions). These requirements apply </w:t>
      </w:r>
      <w:proofErr w:type="gramStart"/>
      <w:r>
        <w:rPr>
          <w:rFonts w:eastAsia="Times New Roman" w:cs="Arial"/>
          <w:szCs w:val="20"/>
          <w:lang w:eastAsia="de-DE"/>
        </w:rPr>
        <w:t>in particular to</w:t>
      </w:r>
      <w:proofErr w:type="gramEnd"/>
      <w:r>
        <w:rPr>
          <w:rFonts w:eastAsia="Times New Roman" w:cs="Arial"/>
          <w:szCs w:val="20"/>
          <w:lang w:eastAsia="de-DE"/>
        </w:rPr>
        <w:t xml:space="preserve"> Sales, Procurement, LC and IT. </w:t>
      </w:r>
    </w:p>
    <w:p w14:paraId="536EF070"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 xml:space="preserve">Such requirements include the obligation to </w:t>
      </w:r>
    </w:p>
    <w:p w14:paraId="536EF071" w14:textId="77777777" w:rsidR="004731B8" w:rsidRDefault="00F119E6">
      <w:pPr>
        <w:pStyle w:val="CopyBulletpoints"/>
        <w:ind w:left="470" w:hanging="357"/>
      </w:pPr>
      <w:r>
        <w:t xml:space="preserve">carefully select a provider, </w:t>
      </w:r>
      <w:proofErr w:type="gramStart"/>
      <w:r>
        <w:t>taking into account</w:t>
      </w:r>
      <w:proofErr w:type="gramEnd"/>
      <w:r>
        <w:t xml:space="preserve"> the adequacy of the technical and organizational measures implemented and </w:t>
      </w:r>
    </w:p>
    <w:p w14:paraId="536EF072" w14:textId="77777777" w:rsidR="004731B8" w:rsidRDefault="00F119E6">
      <w:pPr>
        <w:pStyle w:val="CopyBulletpoints"/>
        <w:ind w:left="470" w:hanging="357"/>
      </w:pPr>
      <w:r>
        <w:t>agree on certain contract terms for the data processing agreement (by including data processing terms with certain mandatory content).</w:t>
      </w:r>
    </w:p>
    <w:p w14:paraId="536EF073" w14:textId="77777777" w:rsidR="004731B8" w:rsidRDefault="00F119E6">
      <w:pPr>
        <w:spacing w:after="240" w:line="280" w:lineRule="exact"/>
        <w:ind w:right="567"/>
        <w:rPr>
          <w:rFonts w:eastAsia="Times New Roman" w:cs="Arial"/>
          <w:szCs w:val="20"/>
          <w:lang w:eastAsia="de-DE"/>
        </w:rPr>
      </w:pPr>
      <w:r>
        <w:rPr>
          <w:rFonts w:eastAsia="Times New Roman" w:cs="Arial"/>
          <w:szCs w:val="20"/>
          <w:lang w:eastAsia="de-DE"/>
        </w:rPr>
        <w:t xml:space="preserve">Siemens AG or an Affiliated Company is directly bound by the statutory requirement to enter into such data processing terms even if it only acts as provider (i.e. a </w:t>
      </w:r>
      <w:hyperlink r:id="rId21" w:history="1">
        <w:r>
          <w:t>Processor</w:t>
        </w:r>
      </w:hyperlink>
      <w:r>
        <w:rPr>
          <w:rFonts w:eastAsia="Times New Roman" w:cs="Arial"/>
          <w:szCs w:val="20"/>
          <w:lang w:eastAsia="de-DE"/>
        </w:rPr>
        <w:t>) for customers. In regard to external customer / provider facing agreements there are sample data processing terms for “</w:t>
      </w:r>
      <w:hyperlink r:id="rId22" w:history="1">
        <w:r>
          <w:rPr>
            <w:rFonts w:eastAsia="Times New Roman" w:cs="Arial"/>
            <w:color w:val="0000FF"/>
            <w:szCs w:val="20"/>
            <w:lang w:eastAsia="de-DE"/>
          </w:rPr>
          <w:t>Siemens acting as Customer</w:t>
        </w:r>
      </w:hyperlink>
      <w:r>
        <w:rPr>
          <w:rFonts w:eastAsia="Times New Roman" w:cs="Arial"/>
          <w:szCs w:val="20"/>
          <w:lang w:eastAsia="de-DE"/>
        </w:rPr>
        <w:t>” and “</w:t>
      </w:r>
      <w:hyperlink r:id="rId23" w:history="1">
        <w:r>
          <w:rPr>
            <w:rFonts w:eastAsia="Times New Roman" w:cs="Arial"/>
            <w:color w:val="0000FF"/>
            <w:szCs w:val="20"/>
            <w:lang w:eastAsia="de-DE"/>
          </w:rPr>
          <w:t>Siemens acting as Provider</w:t>
        </w:r>
      </w:hyperlink>
      <w:r>
        <w:rPr>
          <w:rFonts w:eastAsia="Times New Roman" w:cs="Arial"/>
          <w:szCs w:val="20"/>
          <w:lang w:eastAsia="de-DE"/>
        </w:rPr>
        <w:t>” available on the intranet.</w:t>
      </w:r>
    </w:p>
    <w:p w14:paraId="536EF074" w14:textId="7EFB2FC9" w:rsidR="004731B8" w:rsidRDefault="00F119E6">
      <w:pPr>
        <w:spacing w:after="240" w:line="280" w:lineRule="exact"/>
        <w:ind w:right="567"/>
        <w:rPr>
          <w:rFonts w:eastAsia="Times New Roman" w:cs="Times New Roman"/>
          <w:b/>
          <w:szCs w:val="20"/>
          <w:lang w:eastAsia="de-DE"/>
        </w:rPr>
      </w:pPr>
      <w:r>
        <w:rPr>
          <w:rFonts w:eastAsia="Times New Roman" w:cs="Arial"/>
          <w:szCs w:val="20"/>
          <w:lang w:eastAsia="de-DE"/>
        </w:rPr>
        <w:t xml:space="preserve">Furthermore there is an existing </w:t>
      </w:r>
      <w:hyperlink r:id="rId24" w:history="1">
        <w:r>
          <w:rPr>
            <w:rStyle w:val="Hyperlink"/>
            <w:rFonts w:eastAsia="Times New Roman" w:cs="Arial"/>
            <w:szCs w:val="20"/>
            <w:lang w:eastAsia="de-DE"/>
          </w:rPr>
          <w:t>internal data processing agreement</w:t>
        </w:r>
      </w:hyperlink>
      <w:r>
        <w:rPr>
          <w:rFonts w:eastAsia="Times New Roman" w:cs="Arial"/>
          <w:szCs w:val="20"/>
          <w:lang w:eastAsia="de-DE"/>
        </w:rPr>
        <w:t xml:space="preserve"> between all Siemens Group Companies</w:t>
      </w:r>
      <w:r w:rsidR="00DC43A4">
        <w:rPr>
          <w:rFonts w:eastAsia="Times New Roman" w:cs="Arial"/>
          <w:szCs w:val="20"/>
          <w:lang w:eastAsia="de-DE"/>
        </w:rPr>
        <w:t>(“Intercompany Agreement”)</w:t>
      </w:r>
      <w:r>
        <w:rPr>
          <w:rFonts w:eastAsia="Times New Roman" w:cs="Arial"/>
          <w:szCs w:val="20"/>
          <w:lang w:eastAsia="de-DE"/>
        </w:rPr>
        <w:t>.</w:t>
      </w:r>
      <w:bookmarkStart w:id="22" w:name="_Toc486944748"/>
      <w:bookmarkStart w:id="23" w:name="_Toc488326072"/>
    </w:p>
    <w:p w14:paraId="536EF075" w14:textId="77777777" w:rsidR="004731B8" w:rsidRDefault="00F119E6">
      <w:pPr>
        <w:pStyle w:val="berschrift2"/>
        <w:rPr>
          <w:rFonts w:eastAsia="Times New Roman"/>
          <w:lang w:eastAsia="de-DE"/>
        </w:rPr>
      </w:pPr>
      <w:bookmarkStart w:id="24" w:name="_Toc511649686"/>
      <w:r>
        <w:rPr>
          <w:rFonts w:eastAsia="Times New Roman"/>
          <w:lang w:eastAsia="de-DE"/>
        </w:rPr>
        <w:t>2.4. Data privacy audits of service providers</w:t>
      </w:r>
      <w:bookmarkEnd w:id="22"/>
      <w:bookmarkEnd w:id="23"/>
      <w:bookmarkEnd w:id="24"/>
      <w:r>
        <w:rPr>
          <w:rFonts w:eastAsia="Times New Roman"/>
          <w:lang w:eastAsia="de-DE"/>
        </w:rPr>
        <w:t xml:space="preserve"> </w:t>
      </w:r>
    </w:p>
    <w:p w14:paraId="536EF076"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If the provision of processing services (such as SaaS, hosting or similar solutions) involves personal data and such services are purchased from an external IT service provider, the technical and organizational measures implemented by this service provider must be audited on a regular basis by the respective Process Owner.</w:t>
      </w:r>
      <w:r>
        <w:rPr>
          <w:sz w:val="16"/>
          <w:szCs w:val="16"/>
        </w:rPr>
        <w:t xml:space="preserve"> </w:t>
      </w:r>
      <w:r>
        <w:rPr>
          <w:rFonts w:eastAsia="Times New Roman" w:cs="Arial"/>
          <w:szCs w:val="20"/>
          <w:lang w:eastAsia="de-DE"/>
        </w:rPr>
        <w:t>Additional stakeholders are IT.</w:t>
      </w:r>
    </w:p>
    <w:p w14:paraId="536EF077" w14:textId="14BDA396" w:rsidR="004731B8" w:rsidRDefault="00F119E6">
      <w:pPr>
        <w:spacing w:after="240" w:line="280" w:lineRule="exact"/>
        <w:ind w:right="567"/>
        <w:rPr>
          <w:rFonts w:eastAsia="Times New Roman" w:cs="Times New Roman"/>
          <w:b/>
          <w:szCs w:val="20"/>
          <w:lang w:eastAsia="de-DE"/>
        </w:rPr>
      </w:pPr>
      <w:r>
        <w:rPr>
          <w:rFonts w:eastAsia="Times New Roman" w:cs="Arial"/>
          <w:szCs w:val="20"/>
          <w:lang w:eastAsia="de-DE"/>
        </w:rPr>
        <w:t xml:space="preserve">The intervals of such audits depend on the criticality of the personal data processed; in the case of IT applications and services containing sensitive HR data, audits should be conducted </w:t>
      </w:r>
      <w:r w:rsidR="00DA2DAA">
        <w:rPr>
          <w:rFonts w:eastAsia="Times New Roman" w:cs="Arial"/>
          <w:szCs w:val="20"/>
          <w:lang w:eastAsia="de-DE"/>
        </w:rPr>
        <w:t>every two years</w:t>
      </w:r>
      <w:r>
        <w:rPr>
          <w:rFonts w:eastAsia="Times New Roman" w:cs="Arial"/>
          <w:szCs w:val="20"/>
          <w:lang w:eastAsia="de-DE"/>
        </w:rPr>
        <w:t>. For this purpose</w:t>
      </w:r>
      <w:r w:rsidR="00DA2DAA">
        <w:rPr>
          <w:rFonts w:eastAsia="Times New Roman" w:cs="Arial"/>
          <w:szCs w:val="20"/>
          <w:lang w:eastAsia="de-DE"/>
        </w:rPr>
        <w:t>,</w:t>
      </w:r>
      <w:r>
        <w:rPr>
          <w:rFonts w:eastAsia="Times New Roman" w:cs="Arial"/>
          <w:szCs w:val="20"/>
          <w:lang w:eastAsia="de-DE"/>
        </w:rPr>
        <w:t xml:space="preserve"> it is recommended that the Process Owner requests applicable and current audit reports and certifications from the service provider and retains a copy thereof for documentation purposes. For low risk applications the audit may be based on </w:t>
      </w:r>
      <w:hyperlink r:id="rId25" w:history="1">
        <w:r>
          <w:rPr>
            <w:rStyle w:val="Hyperlink"/>
            <w:rFonts w:eastAsia="Times New Roman" w:cs="Arial"/>
            <w:szCs w:val="20"/>
            <w:lang w:eastAsia="de-DE"/>
          </w:rPr>
          <w:t>self-assessments</w:t>
        </w:r>
      </w:hyperlink>
      <w:r>
        <w:rPr>
          <w:rFonts w:eastAsia="Times New Roman" w:cs="Arial"/>
          <w:szCs w:val="20"/>
          <w:lang w:eastAsia="de-DE"/>
        </w:rPr>
        <w:t>.</w:t>
      </w:r>
    </w:p>
    <w:p w14:paraId="536EF078" w14:textId="77777777" w:rsidR="004731B8" w:rsidRDefault="00F119E6">
      <w:pPr>
        <w:pStyle w:val="berschrift2"/>
        <w:rPr>
          <w:rFonts w:eastAsia="Times New Roman"/>
          <w:lang w:eastAsia="de-DE"/>
        </w:rPr>
      </w:pPr>
      <w:bookmarkStart w:id="25" w:name="_Toc486944749"/>
      <w:bookmarkStart w:id="26" w:name="_Toc488326073"/>
      <w:bookmarkStart w:id="27" w:name="_Toc511649687"/>
      <w:r>
        <w:rPr>
          <w:rFonts w:eastAsia="Times New Roman"/>
          <w:lang w:eastAsia="de-DE"/>
        </w:rPr>
        <w:lastRenderedPageBreak/>
        <w:t>2.5. Rights of data subjects (information rights)</w:t>
      </w:r>
      <w:bookmarkEnd w:id="25"/>
      <w:bookmarkEnd w:id="26"/>
      <w:bookmarkEnd w:id="27"/>
      <w:r>
        <w:rPr>
          <w:rFonts w:eastAsia="Times New Roman"/>
          <w:lang w:eastAsia="de-DE"/>
        </w:rPr>
        <w:t xml:space="preserve"> </w:t>
      </w:r>
    </w:p>
    <w:p w14:paraId="536EF079"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 xml:space="preserve">Data privacy laws often </w:t>
      </w:r>
      <w:hyperlink r:id="rId26" w:history="1">
        <w:r>
          <w:rPr>
            <w:rStyle w:val="Hyperlink"/>
            <w:rFonts w:eastAsia="Times New Roman" w:cs="Arial"/>
            <w:szCs w:val="20"/>
            <w:lang w:eastAsia="de-DE"/>
          </w:rPr>
          <w:t>grant information and access rights</w:t>
        </w:r>
      </w:hyperlink>
      <w:r>
        <w:rPr>
          <w:rFonts w:eastAsia="Times New Roman" w:cs="Arial"/>
          <w:szCs w:val="20"/>
          <w:lang w:eastAsia="de-DE"/>
        </w:rPr>
        <w:t xml:space="preserve"> to individuals.</w:t>
      </w:r>
      <w:r>
        <w:rPr>
          <w:sz w:val="16"/>
          <w:szCs w:val="16"/>
        </w:rPr>
        <w:t xml:space="preserve"> </w:t>
      </w:r>
      <w:r>
        <w:rPr>
          <w:rFonts w:eastAsia="Times New Roman" w:cs="Arial"/>
          <w:szCs w:val="20"/>
          <w:lang w:eastAsia="de-DE"/>
        </w:rPr>
        <w:t>The stakeholder involved is the Process Owner. Information on processing personal data shall be provided at the time when personal data is obtained (e.g. through a privacy notice in the application).</w:t>
      </w:r>
    </w:p>
    <w:p w14:paraId="536EF07A" w14:textId="77777777" w:rsidR="004731B8" w:rsidRDefault="00F119E6">
      <w:pPr>
        <w:spacing w:after="120" w:line="280" w:lineRule="exact"/>
        <w:ind w:right="567"/>
        <w:rPr>
          <w:rFonts w:eastAsia="Times New Roman" w:cs="Arial"/>
          <w:szCs w:val="20"/>
          <w:lang w:eastAsia="de-DE"/>
        </w:rPr>
      </w:pPr>
      <w:r>
        <w:rPr>
          <w:rFonts w:eastAsia="Times New Roman" w:cs="Arial"/>
          <w:szCs w:val="20"/>
          <w:lang w:eastAsia="de-DE"/>
        </w:rPr>
        <w:t xml:space="preserve">Access rights to personal data processed (including a copy thereof) shall also be considered, depending on the applicable laws. The </w:t>
      </w:r>
      <w:hyperlink r:id="rId27" w:history="1">
        <w:r>
          <w:rPr>
            <w:rFonts w:eastAsia="Times New Roman" w:cs="Arial"/>
            <w:color w:val="0000FF"/>
            <w:szCs w:val="20"/>
            <w:lang w:eastAsia="de-DE"/>
          </w:rPr>
          <w:t>Siemens HR Privacy Notice</w:t>
        </w:r>
      </w:hyperlink>
      <w:r>
        <w:rPr>
          <w:rFonts w:eastAsia="Times New Roman" w:cs="Arial"/>
          <w:szCs w:val="20"/>
          <w:lang w:eastAsia="de-DE"/>
        </w:rPr>
        <w:t xml:space="preserve"> describes the processing of personal data of the Siemens employees.</w:t>
      </w:r>
    </w:p>
    <w:p w14:paraId="536EF07B" w14:textId="77777777" w:rsidR="004731B8" w:rsidRDefault="00F119E6">
      <w:pPr>
        <w:pStyle w:val="berschrift2"/>
        <w:rPr>
          <w:rFonts w:eastAsia="Times New Roman"/>
          <w:lang w:eastAsia="de-DE"/>
        </w:rPr>
      </w:pPr>
      <w:bookmarkStart w:id="28" w:name="_Toc486944750"/>
      <w:bookmarkStart w:id="29" w:name="_Toc488326074"/>
      <w:bookmarkStart w:id="30" w:name="_Toc511649688"/>
      <w:r>
        <w:rPr>
          <w:rFonts w:eastAsia="Times New Roman"/>
          <w:lang w:eastAsia="de-DE"/>
        </w:rPr>
        <w:t>2.6. Privacy in the product business</w:t>
      </w:r>
      <w:bookmarkEnd w:id="28"/>
      <w:bookmarkEnd w:id="29"/>
      <w:bookmarkEnd w:id="30"/>
    </w:p>
    <w:p w14:paraId="13A64659" w14:textId="77777777" w:rsidR="00FA1BC5" w:rsidRDefault="00FA1BC5" w:rsidP="00FA1BC5">
      <w:r>
        <w:t xml:space="preserve">In the development of Siemens products, </w:t>
      </w:r>
      <w:proofErr w:type="gramStart"/>
      <w:r>
        <w:t>solutions</w:t>
      </w:r>
      <w:proofErr w:type="gramEnd"/>
      <w:r>
        <w:t xml:space="preserve"> and services the principles of “data privacy by design” (and by default) shall be taken into account throughout the development process. Concerned stakeholder are Cybersecurity, R&amp;D, Quality managers and CT.</w:t>
      </w:r>
    </w:p>
    <w:p w14:paraId="6CE59208" w14:textId="4A395B74" w:rsidR="00FA1BC5" w:rsidRDefault="00FA1BC5" w:rsidP="00FA1BC5">
      <w:r>
        <w:t>The </w:t>
      </w:r>
      <w:hyperlink r:id="rId28" w:anchor="/c/zpus5k" w:tgtFrame="_blank" w:history="1">
        <w:r w:rsidRPr="00FA1BC5">
          <w:rPr>
            <w:rFonts w:eastAsia="Times New Roman" w:cs="Arial"/>
            <w:color w:val="0000FF"/>
            <w:szCs w:val="20"/>
            <w:lang w:eastAsia="de-DE"/>
          </w:rPr>
          <w:t>Circular No. 23</w:t>
        </w:r>
      </w:hyperlink>
      <w:r w:rsidRPr="00FA1BC5">
        <w:rPr>
          <w:rFonts w:eastAsia="Times New Roman" w:cs="Arial"/>
          <w:color w:val="0000FF"/>
          <w:szCs w:val="20"/>
          <w:lang w:eastAsia="de-DE"/>
        </w:rPr>
        <w:t>6</w:t>
      </w:r>
      <w:r>
        <w:t xml:space="preserve"> “Cybersecurity” requires that Siemens complies with data privacy laws, e.g. the General Data Protection Regulation, including the privacy by design and by default principle. These principles require Siemens to consider data privacy during the whole lifecycle of a product, </w:t>
      </w:r>
      <w:proofErr w:type="gramStart"/>
      <w:r>
        <w:t>solution</w:t>
      </w:r>
      <w:proofErr w:type="gramEnd"/>
      <w:r>
        <w:t xml:space="preserve"> and service in order to</w:t>
      </w:r>
    </w:p>
    <w:p w14:paraId="3E20249C" w14:textId="61776277" w:rsidR="00FA1BC5" w:rsidRDefault="00FA1BC5" w:rsidP="001C65AB">
      <w:pPr>
        <w:pStyle w:val="Listenabsatz"/>
        <w:numPr>
          <w:ilvl w:val="0"/>
          <w:numId w:val="13"/>
        </w:numPr>
        <w:rPr>
          <w:rFonts w:eastAsia="Times New Roman"/>
        </w:rPr>
      </w:pPr>
      <w:r w:rsidRPr="001C65AB">
        <w:rPr>
          <w:rFonts w:eastAsia="Times New Roman"/>
        </w:rPr>
        <w:t xml:space="preserve">implement measures and product components which meet the data protection principles within products, </w:t>
      </w:r>
      <w:proofErr w:type="gramStart"/>
      <w:r w:rsidRPr="001C65AB">
        <w:rPr>
          <w:rFonts w:eastAsia="Times New Roman"/>
        </w:rPr>
        <w:t>solutions</w:t>
      </w:r>
      <w:proofErr w:type="gramEnd"/>
      <w:r w:rsidRPr="001C65AB">
        <w:rPr>
          <w:rFonts w:eastAsia="Times New Roman"/>
        </w:rPr>
        <w:t xml:space="preserve"> and services (Privacy by Design), and</w:t>
      </w:r>
    </w:p>
    <w:p w14:paraId="3C09664B" w14:textId="77777777" w:rsidR="001C65AB" w:rsidRPr="001C65AB" w:rsidRDefault="001C65AB" w:rsidP="001C65AB">
      <w:pPr>
        <w:pStyle w:val="Listenabsatz"/>
        <w:rPr>
          <w:rFonts w:eastAsia="Times New Roman"/>
        </w:rPr>
      </w:pPr>
    </w:p>
    <w:p w14:paraId="72293721" w14:textId="77777777" w:rsidR="00FA1BC5" w:rsidRPr="001C65AB" w:rsidRDefault="00FA1BC5" w:rsidP="001C65AB">
      <w:pPr>
        <w:pStyle w:val="Listenabsatz"/>
        <w:numPr>
          <w:ilvl w:val="0"/>
          <w:numId w:val="13"/>
        </w:numPr>
        <w:rPr>
          <w:rFonts w:eastAsia="Times New Roman"/>
        </w:rPr>
      </w:pPr>
      <w:r w:rsidRPr="001C65AB">
        <w:rPr>
          <w:rFonts w:eastAsia="Times New Roman"/>
        </w:rPr>
        <w:t>apply privacy friendly settings automatically, without requiring the user to make manual changes to the privacy settings (“Privacy by Default”).</w:t>
      </w:r>
    </w:p>
    <w:p w14:paraId="3234F19D" w14:textId="77777777" w:rsidR="00FA1BC5" w:rsidRDefault="00FA1BC5" w:rsidP="00FA1BC5">
      <w:r>
        <w:t>For further details, the Privacy by Design Checklist for Product Business and other material (including for customer requests), please refer to the </w:t>
      </w:r>
      <w:hyperlink r:id="rId29" w:tgtFrame="_blank" w:history="1">
        <w:r w:rsidRPr="00FA1BC5">
          <w:rPr>
            <w:rFonts w:eastAsia="Times New Roman" w:cs="Arial"/>
            <w:color w:val="0000FF"/>
            <w:szCs w:val="20"/>
            <w:lang w:eastAsia="de-DE"/>
          </w:rPr>
          <w:t>Intranet</w:t>
        </w:r>
      </w:hyperlink>
      <w:r>
        <w:t>.</w:t>
      </w:r>
    </w:p>
    <w:p w14:paraId="536EF083" w14:textId="77777777" w:rsidR="004731B8" w:rsidRDefault="00F119E6">
      <w:pPr>
        <w:pStyle w:val="berschrift1"/>
      </w:pPr>
      <w:bookmarkStart w:id="31" w:name="_Toc511649691"/>
      <w:r>
        <w:t>3. Training and supporting</w:t>
      </w:r>
      <w:bookmarkEnd w:id="31"/>
      <w:r>
        <w:t xml:space="preserve"> material</w:t>
      </w:r>
    </w:p>
    <w:bookmarkStart w:id="32" w:name="_Toc511649693"/>
    <w:bookmarkEnd w:id="12"/>
    <w:p w14:paraId="536EF085" w14:textId="15764031" w:rsidR="004731B8" w:rsidRPr="00890928" w:rsidRDefault="00F119E6" w:rsidP="00890928">
      <w:pPr>
        <w:pStyle w:val="Listenabsatz"/>
        <w:numPr>
          <w:ilvl w:val="0"/>
          <w:numId w:val="11"/>
        </w:numPr>
        <w:spacing w:after="0" w:line="280" w:lineRule="exact"/>
        <w:ind w:left="714" w:hanging="357"/>
        <w:rPr>
          <w:rStyle w:val="Hyperlink"/>
          <w:rFonts w:eastAsia="Times New Roman" w:cs="Arial"/>
          <w:szCs w:val="20"/>
          <w:lang w:eastAsia="de-DE"/>
        </w:rPr>
      </w:pPr>
      <w:r>
        <w:rPr>
          <w:rStyle w:val="Hyperlink"/>
        </w:rPr>
        <w:fldChar w:fldCharType="begin"/>
      </w:r>
      <w:r>
        <w:rPr>
          <w:rStyle w:val="Hyperlink"/>
        </w:rPr>
        <w:instrText xml:space="preserve"> HYPERLINK "https://intranet.for.siemens.com/cms/059/en/processes/publications/Pages/compliance_data-privacy_management_system.aspx" </w:instrText>
      </w:r>
      <w:r>
        <w:rPr>
          <w:rStyle w:val="Hyperlink"/>
        </w:rPr>
        <w:fldChar w:fldCharType="separate"/>
      </w:r>
      <w:r>
        <w:rPr>
          <w:rStyle w:val="Hyperlink"/>
          <w:rFonts w:eastAsia="Times New Roman" w:cs="Arial"/>
          <w:szCs w:val="20"/>
          <w:lang w:eastAsia="de-DE"/>
        </w:rPr>
        <w:t>Data Privacy Management System</w:t>
      </w:r>
      <w:r>
        <w:rPr>
          <w:rStyle w:val="Hyperlink"/>
        </w:rPr>
        <w:fldChar w:fldCharType="end"/>
      </w:r>
    </w:p>
    <w:p w14:paraId="536EF086" w14:textId="77777777" w:rsidR="004731B8" w:rsidRDefault="008562BF">
      <w:pPr>
        <w:pStyle w:val="Listenabsatz"/>
        <w:numPr>
          <w:ilvl w:val="0"/>
          <w:numId w:val="11"/>
        </w:numPr>
        <w:spacing w:after="0" w:line="280" w:lineRule="exact"/>
        <w:ind w:left="714" w:hanging="357"/>
        <w:rPr>
          <w:rStyle w:val="Hyperlink"/>
          <w:rFonts w:eastAsia="Times New Roman" w:cs="Arial"/>
          <w:szCs w:val="20"/>
          <w:lang w:eastAsia="de-DE"/>
        </w:rPr>
      </w:pPr>
      <w:hyperlink r:id="rId30" w:history="1">
        <w:r w:rsidR="00F119E6">
          <w:rPr>
            <w:rStyle w:val="Hyperlink"/>
            <w:rFonts w:eastAsia="Times New Roman" w:cs="Arial"/>
            <w:szCs w:val="20"/>
            <w:lang w:eastAsia="de-DE"/>
          </w:rPr>
          <w:t>Siemens CDP Center</w:t>
        </w:r>
      </w:hyperlink>
    </w:p>
    <w:p w14:paraId="536EF087" w14:textId="6204AD61" w:rsidR="004731B8" w:rsidRDefault="008562BF">
      <w:pPr>
        <w:pStyle w:val="Listenabsatz"/>
        <w:numPr>
          <w:ilvl w:val="0"/>
          <w:numId w:val="11"/>
        </w:numPr>
        <w:spacing w:after="0" w:line="280" w:lineRule="exact"/>
        <w:ind w:left="714" w:hanging="357"/>
        <w:rPr>
          <w:rStyle w:val="Hyperlink"/>
          <w:rFonts w:eastAsia="Times New Roman" w:cs="Arial"/>
          <w:szCs w:val="20"/>
          <w:lang w:eastAsia="de-DE"/>
        </w:rPr>
      </w:pPr>
      <w:hyperlink r:id="rId31" w:anchor="/c/zpus5k" w:history="1">
        <w:r w:rsidR="00F119E6">
          <w:rPr>
            <w:rStyle w:val="Hyperlink"/>
            <w:rFonts w:eastAsia="Times New Roman" w:cs="Arial"/>
            <w:szCs w:val="20"/>
            <w:lang w:eastAsia="de-DE"/>
          </w:rPr>
          <w:t>Siemens Circular No. 23</w:t>
        </w:r>
        <w:r w:rsidR="00675F2B">
          <w:rPr>
            <w:rStyle w:val="Hyperlink"/>
            <w:rFonts w:eastAsia="Times New Roman" w:cs="Arial"/>
            <w:szCs w:val="20"/>
            <w:lang w:eastAsia="de-DE"/>
          </w:rPr>
          <w:t>6</w:t>
        </w:r>
      </w:hyperlink>
      <w:bookmarkEnd w:id="32"/>
      <w:r w:rsidR="00F119E6">
        <w:rPr>
          <w:rStyle w:val="Hyperlink"/>
          <w:rFonts w:eastAsia="Times New Roman" w:cs="Arial"/>
          <w:szCs w:val="20"/>
          <w:lang w:eastAsia="de-DE"/>
        </w:rPr>
        <w:t xml:space="preserve"> </w:t>
      </w:r>
    </w:p>
    <w:p w14:paraId="536EF088" w14:textId="77777777" w:rsidR="004731B8" w:rsidRDefault="008562BF">
      <w:pPr>
        <w:pStyle w:val="Listenabsatz"/>
        <w:numPr>
          <w:ilvl w:val="0"/>
          <w:numId w:val="11"/>
        </w:numPr>
        <w:spacing w:after="0" w:line="280" w:lineRule="exact"/>
        <w:ind w:left="714" w:hanging="357"/>
        <w:rPr>
          <w:rStyle w:val="Hyperlink"/>
          <w:rFonts w:eastAsia="Times New Roman" w:cs="Arial"/>
          <w:szCs w:val="20"/>
          <w:lang w:eastAsia="de-DE"/>
        </w:rPr>
      </w:pPr>
      <w:hyperlink r:id="rId32" w:tgtFrame="_blank" w:tooltip="Data Privacy WBT (mandatory for specific job families)" w:history="1">
        <w:r w:rsidR="00F119E6">
          <w:rPr>
            <w:rStyle w:val="Hyperlink"/>
            <w:rFonts w:eastAsia="Times New Roman" w:cs="Arial"/>
            <w:szCs w:val="20"/>
            <w:lang w:eastAsia="de-DE"/>
          </w:rPr>
          <w:t>Data Privacy WBT (mandatory for specific job families)</w:t>
        </w:r>
      </w:hyperlink>
    </w:p>
    <w:p w14:paraId="536EF089" w14:textId="77777777" w:rsidR="004731B8" w:rsidRDefault="008562BF">
      <w:pPr>
        <w:pStyle w:val="Listenabsatz"/>
        <w:numPr>
          <w:ilvl w:val="0"/>
          <w:numId w:val="11"/>
        </w:numPr>
        <w:spacing w:after="0" w:line="280" w:lineRule="exact"/>
        <w:ind w:left="714" w:hanging="357"/>
        <w:rPr>
          <w:rStyle w:val="Hyperlink"/>
          <w:rFonts w:eastAsia="Times New Roman" w:cs="Arial"/>
          <w:szCs w:val="20"/>
          <w:lang w:eastAsia="de-DE"/>
        </w:rPr>
      </w:pPr>
      <w:hyperlink r:id="rId33" w:tgtFrame="_blank" w:tooltip="Interactive subway plan for the General Data Protection Regulation (GDPR)" w:history="1">
        <w:r w:rsidR="00F119E6">
          <w:rPr>
            <w:rStyle w:val="Hyperlink"/>
            <w:rFonts w:eastAsia="Times New Roman" w:cs="Arial"/>
            <w:szCs w:val="20"/>
            <w:lang w:eastAsia="de-DE"/>
          </w:rPr>
          <w:t>Interactive subway plan for the General Data Protection Regulation (GDPR)</w:t>
        </w:r>
      </w:hyperlink>
    </w:p>
    <w:p w14:paraId="536EF08A" w14:textId="77777777" w:rsidR="004731B8" w:rsidRDefault="008562BF">
      <w:pPr>
        <w:pStyle w:val="Listenabsatz"/>
        <w:numPr>
          <w:ilvl w:val="0"/>
          <w:numId w:val="11"/>
        </w:numPr>
        <w:spacing w:after="0" w:line="280" w:lineRule="exact"/>
        <w:ind w:left="714" w:hanging="357"/>
        <w:rPr>
          <w:rStyle w:val="Hyperlink"/>
          <w:rFonts w:eastAsia="Times New Roman"/>
          <w:szCs w:val="20"/>
          <w:lang w:eastAsia="de-DE"/>
        </w:rPr>
      </w:pPr>
      <w:hyperlink r:id="rId34" w:tgtFrame="_blank" w:tooltip="Scribble Video" w:history="1">
        <w:r w:rsidR="00F119E6">
          <w:rPr>
            <w:rStyle w:val="Hyperlink"/>
            <w:rFonts w:eastAsia="Times New Roman" w:cs="Arial"/>
            <w:szCs w:val="20"/>
            <w:lang w:eastAsia="de-DE"/>
          </w:rPr>
          <w:t>Scribble Video</w:t>
        </w:r>
      </w:hyperlink>
    </w:p>
    <w:p w14:paraId="536EF08B" w14:textId="77777777" w:rsidR="004731B8" w:rsidRDefault="00F119E6">
      <w:pPr>
        <w:pStyle w:val="berschrift1"/>
      </w:pPr>
      <w:bookmarkStart w:id="33" w:name="_Toc511649694"/>
      <w:r>
        <w:lastRenderedPageBreak/>
        <w:t>4. History of changes</w:t>
      </w:r>
      <w:bookmarkEnd w:id="33"/>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4731B8" w14:paraId="536EF08F" w14:textId="77777777">
        <w:tc>
          <w:tcPr>
            <w:tcW w:w="1960" w:type="dxa"/>
            <w:shd w:val="clear" w:color="auto" w:fill="879BAA" w:themeFill="text2"/>
          </w:tcPr>
          <w:p w14:paraId="536EF08C" w14:textId="77777777" w:rsidR="004731B8" w:rsidRDefault="00F119E6">
            <w:pPr>
              <w:rPr>
                <w:b/>
                <w:color w:val="auto"/>
              </w:rPr>
            </w:pPr>
            <w:r>
              <w:rPr>
                <w:b/>
                <w:color w:val="auto"/>
              </w:rPr>
              <w:t xml:space="preserve">Date </w:t>
            </w:r>
          </w:p>
        </w:tc>
        <w:tc>
          <w:tcPr>
            <w:tcW w:w="2520" w:type="dxa"/>
            <w:shd w:val="clear" w:color="auto" w:fill="879BAA" w:themeFill="text2"/>
          </w:tcPr>
          <w:p w14:paraId="536EF08D" w14:textId="77777777" w:rsidR="004731B8" w:rsidRDefault="00F119E6">
            <w:pPr>
              <w:rPr>
                <w:b/>
                <w:color w:val="auto"/>
              </w:rPr>
            </w:pPr>
            <w:r>
              <w:rPr>
                <w:b/>
                <w:color w:val="auto"/>
              </w:rPr>
              <w:t>Author</w:t>
            </w:r>
          </w:p>
        </w:tc>
        <w:tc>
          <w:tcPr>
            <w:tcW w:w="5745" w:type="dxa"/>
            <w:shd w:val="clear" w:color="auto" w:fill="879BAA" w:themeFill="text2"/>
          </w:tcPr>
          <w:p w14:paraId="536EF08E" w14:textId="77777777" w:rsidR="004731B8" w:rsidRDefault="00F119E6">
            <w:pPr>
              <w:rPr>
                <w:b/>
                <w:color w:val="auto"/>
              </w:rPr>
            </w:pPr>
            <w:r>
              <w:rPr>
                <w:b/>
                <w:color w:val="auto"/>
              </w:rPr>
              <w:t>Major changes of binding content</w:t>
            </w:r>
          </w:p>
        </w:tc>
      </w:tr>
      <w:tr w:rsidR="004731B8" w14:paraId="536EF094" w14:textId="77777777">
        <w:tc>
          <w:tcPr>
            <w:tcW w:w="1960" w:type="dxa"/>
          </w:tcPr>
          <w:p w14:paraId="536EF090" w14:textId="77777777" w:rsidR="004731B8" w:rsidRDefault="00F119E6">
            <w:r>
              <w:rPr>
                <w:rFonts w:eastAsia="Times New Roman"/>
              </w:rPr>
              <w:t>January 1, 2019                </w:t>
            </w:r>
          </w:p>
        </w:tc>
        <w:tc>
          <w:tcPr>
            <w:tcW w:w="2520" w:type="dxa"/>
          </w:tcPr>
          <w:p w14:paraId="536EF091" w14:textId="77777777" w:rsidR="004731B8" w:rsidRDefault="00F119E6">
            <w:pPr>
              <w:rPr>
                <w:lang w:val="de-DE"/>
              </w:rPr>
            </w:pPr>
            <w:r>
              <w:rPr>
                <w:lang w:val="de-DE"/>
              </w:rPr>
              <w:t>Achim Köhler</w:t>
            </w:r>
          </w:p>
          <w:p w14:paraId="536EF092" w14:textId="5D279F3B" w:rsidR="004731B8" w:rsidRDefault="00F119E6">
            <w:pPr>
              <w:rPr>
                <w:lang w:val="de-DE"/>
              </w:rPr>
            </w:pPr>
            <w:r>
              <w:rPr>
                <w:lang w:val="de-DE"/>
              </w:rPr>
              <w:t>Axel Kessler</w:t>
            </w:r>
          </w:p>
        </w:tc>
        <w:tc>
          <w:tcPr>
            <w:tcW w:w="5745" w:type="dxa"/>
          </w:tcPr>
          <w:p w14:paraId="536EF093" w14:textId="77777777" w:rsidR="004731B8" w:rsidRDefault="00F119E6">
            <w:r>
              <w:t>First release through the Compliance Handbook based on Siemens Circular SC No. 226 “Global Compliance”, Appendix 14.</w:t>
            </w:r>
          </w:p>
        </w:tc>
      </w:tr>
      <w:tr w:rsidR="00890928" w14:paraId="41B2197E" w14:textId="77777777">
        <w:tc>
          <w:tcPr>
            <w:tcW w:w="1960" w:type="dxa"/>
          </w:tcPr>
          <w:p w14:paraId="5A023AFE" w14:textId="77A6F99F" w:rsidR="00890928" w:rsidRDefault="00890928">
            <w:pPr>
              <w:rPr>
                <w:rFonts w:eastAsia="Times New Roman"/>
              </w:rPr>
            </w:pPr>
            <w:r>
              <w:rPr>
                <w:rFonts w:eastAsia="Times New Roman"/>
              </w:rPr>
              <w:t>O</w:t>
            </w:r>
            <w:r>
              <w:t>ctober 1, 2020</w:t>
            </w:r>
          </w:p>
        </w:tc>
        <w:tc>
          <w:tcPr>
            <w:tcW w:w="2520" w:type="dxa"/>
          </w:tcPr>
          <w:p w14:paraId="229E03C2" w14:textId="0CBC4F62" w:rsidR="00890928" w:rsidRDefault="00890928">
            <w:pPr>
              <w:rPr>
                <w:lang w:val="de-DE"/>
              </w:rPr>
            </w:pPr>
            <w:r>
              <w:rPr>
                <w:lang w:val="de-DE"/>
              </w:rPr>
              <w:t>Axel Kessler</w:t>
            </w:r>
          </w:p>
        </w:tc>
        <w:tc>
          <w:tcPr>
            <w:tcW w:w="5745" w:type="dxa"/>
          </w:tcPr>
          <w:p w14:paraId="2302E905" w14:textId="30A75E82" w:rsidR="00890928" w:rsidRDefault="00890928">
            <w:r>
              <w:t xml:space="preserve">Adaptions according to deletion of </w:t>
            </w:r>
            <w:r w:rsidRPr="00E8424C">
              <w:rPr>
                <w:rFonts w:eastAsia="Times New Roman" w:cs="Arial"/>
                <w:szCs w:val="20"/>
                <w:lang w:eastAsia="de-DE"/>
              </w:rPr>
              <w:t>Siemens Circular 216 “Binding Corporate Rules (BCR) and Intercompany Agreement (ICA) for the Protection of Personal Data</w:t>
            </w:r>
            <w:r w:rsidR="00E8424C">
              <w:rPr>
                <w:rFonts w:eastAsia="Times New Roman" w:cs="Arial"/>
                <w:szCs w:val="20"/>
                <w:lang w:eastAsia="de-DE"/>
              </w:rPr>
              <w:t>” and integration into Circular 226</w:t>
            </w:r>
          </w:p>
        </w:tc>
      </w:tr>
      <w:tr w:rsidR="006F474F" w14:paraId="3A3D34E5" w14:textId="77777777">
        <w:tc>
          <w:tcPr>
            <w:tcW w:w="1960" w:type="dxa"/>
          </w:tcPr>
          <w:p w14:paraId="5C9ECC15" w14:textId="65EB9FA6" w:rsidR="006F474F" w:rsidRDefault="006F474F">
            <w:pPr>
              <w:rPr>
                <w:rFonts w:eastAsia="Times New Roman"/>
              </w:rPr>
            </w:pPr>
            <w:r>
              <w:rPr>
                <w:rFonts w:eastAsia="Times New Roman"/>
              </w:rPr>
              <w:t>April 1, 2021</w:t>
            </w:r>
          </w:p>
        </w:tc>
        <w:tc>
          <w:tcPr>
            <w:tcW w:w="2520" w:type="dxa"/>
          </w:tcPr>
          <w:p w14:paraId="1B61A119" w14:textId="77777777" w:rsidR="006F474F" w:rsidRDefault="006F474F">
            <w:pPr>
              <w:rPr>
                <w:lang w:val="de-DE"/>
              </w:rPr>
            </w:pPr>
            <w:r>
              <w:rPr>
                <w:lang w:val="de-DE"/>
              </w:rPr>
              <w:t>Axel Kessler</w:t>
            </w:r>
          </w:p>
          <w:p w14:paraId="530825E2" w14:textId="55FE647B" w:rsidR="006F474F" w:rsidRDefault="006F474F">
            <w:pPr>
              <w:rPr>
                <w:lang w:val="de-DE"/>
              </w:rPr>
            </w:pPr>
            <w:r>
              <w:rPr>
                <w:lang w:val="de-DE"/>
              </w:rPr>
              <w:t>Yvonne Hamm-Düppe</w:t>
            </w:r>
          </w:p>
        </w:tc>
        <w:tc>
          <w:tcPr>
            <w:tcW w:w="5745" w:type="dxa"/>
          </w:tcPr>
          <w:p w14:paraId="7AA22A49" w14:textId="0E723625" w:rsidR="006F474F" w:rsidRDefault="006F474F">
            <w:r>
              <w:rPr>
                <w:lang w:eastAsia="de-DE"/>
              </w:rPr>
              <w:t xml:space="preserve">Reference to </w:t>
            </w:r>
            <w:r>
              <w:rPr>
                <w:lang w:eastAsia="de-DE"/>
              </w:rPr>
              <w:t>LC CO Data Deletion and Retention Policy</w:t>
            </w:r>
            <w:r>
              <w:rPr>
                <w:lang w:eastAsia="de-DE"/>
              </w:rPr>
              <w:t xml:space="preserve"> </w:t>
            </w:r>
            <w:r>
              <w:rPr>
                <w:lang w:eastAsia="de-DE"/>
              </w:rPr>
              <w:t xml:space="preserve">applicable for the LC Organization </w:t>
            </w:r>
            <w:r>
              <w:rPr>
                <w:lang w:eastAsia="de-DE"/>
              </w:rPr>
              <w:t xml:space="preserve">deleted due to new Chapter Part </w:t>
            </w:r>
            <w:proofErr w:type="gramStart"/>
            <w:r>
              <w:rPr>
                <w:lang w:eastAsia="de-DE"/>
              </w:rPr>
              <w:t>3</w:t>
            </w:r>
            <w:r w:rsidR="008562BF">
              <w:rPr>
                <w:lang w:eastAsia="de-DE"/>
              </w:rPr>
              <w:t xml:space="preserve"> </w:t>
            </w:r>
            <w:r>
              <w:rPr>
                <w:lang w:eastAsia="de-DE"/>
              </w:rPr>
              <w:t>.</w:t>
            </w:r>
            <w:proofErr w:type="gramEnd"/>
            <w:r>
              <w:rPr>
                <w:lang w:eastAsia="de-DE"/>
              </w:rPr>
              <w:t>L.8.</w:t>
            </w:r>
          </w:p>
        </w:tc>
      </w:tr>
    </w:tbl>
    <w:p w14:paraId="536EF095" w14:textId="77777777" w:rsidR="004731B8" w:rsidRDefault="00F119E6">
      <w:pPr>
        <w:pStyle w:val="berschrift1"/>
      </w:pPr>
      <w:r>
        <w:t>5. Contacts</w:t>
      </w:r>
    </w:p>
    <w:p w14:paraId="536EF096" w14:textId="77777777" w:rsidR="004731B8" w:rsidRDefault="00F119E6">
      <w:pPr>
        <w:pStyle w:val="HighlightboxGreyBulletpoints"/>
      </w:pPr>
      <w:r>
        <w:t xml:space="preserve">Compliance Officer </w:t>
      </w:r>
    </w:p>
    <w:p w14:paraId="536EF097" w14:textId="77777777" w:rsidR="004731B8" w:rsidRDefault="00F119E6">
      <w:pPr>
        <w:ind w:left="360"/>
      </w:pPr>
      <w:r>
        <w:rPr>
          <w:rFonts w:eastAsia="Siemens Sans" w:cs="Arial"/>
          <w:lang w:eastAsia="de-DE"/>
        </w:rPr>
        <w:t xml:space="preserve">The Compliance Officer responsible for your unit can be found through the following </w:t>
      </w:r>
      <w:hyperlink r:id="rId35" w:history="1">
        <w:r>
          <w:rPr>
            <w:rStyle w:val="Hyperlink"/>
            <w:rFonts w:eastAsia="Siemens Sans" w:cs="Arial"/>
            <w:lang w:eastAsia="de-DE"/>
          </w:rPr>
          <w:t>link</w:t>
        </w:r>
      </w:hyperlink>
      <w:r>
        <w:rPr>
          <w:rFonts w:eastAsia="Siemens Sans" w:cs="Arial"/>
          <w:lang w:eastAsia="de-DE"/>
        </w:rPr>
        <w:t>.</w:t>
      </w:r>
      <w:r>
        <w:t xml:space="preserve"> </w:t>
      </w:r>
    </w:p>
    <w:p w14:paraId="536EF098" w14:textId="77777777" w:rsidR="004731B8" w:rsidRDefault="00F119E6">
      <w:pPr>
        <w:pStyle w:val="HighlightboxGreyBulletpoints"/>
      </w:pPr>
      <w:r>
        <w:t>Corporate Governance Owner</w:t>
      </w:r>
    </w:p>
    <w:p w14:paraId="536EF099" w14:textId="77777777" w:rsidR="004731B8" w:rsidRDefault="00F119E6">
      <w:pPr>
        <w:ind w:left="360"/>
      </w:pPr>
      <w:r>
        <w:rPr>
          <w:lang w:eastAsia="de-DE"/>
        </w:rPr>
        <w:t xml:space="preserve">The contact persons for data privacy are: </w:t>
      </w:r>
      <w:bookmarkStart w:id="34" w:name="_Toc421711309"/>
      <w:bookmarkStart w:id="35" w:name="_Toc421711315"/>
      <w:bookmarkStart w:id="36" w:name="_bookmark1"/>
      <w:bookmarkStart w:id="37" w:name="_bookmark2"/>
      <w:bookmarkStart w:id="38" w:name="_bookmark3"/>
      <w:bookmarkStart w:id="39" w:name="_bookmark4"/>
      <w:bookmarkStart w:id="40" w:name="_bookmark5"/>
      <w:bookmarkStart w:id="41" w:name="_bookmark6"/>
      <w:bookmarkStart w:id="42" w:name="_bookmark7"/>
      <w:bookmarkStart w:id="43" w:name="_bookmark8"/>
      <w:bookmarkStart w:id="44" w:name="_bookmark9"/>
      <w:bookmarkStart w:id="45" w:name="_bookmark10"/>
      <w:bookmarkStart w:id="46" w:name="_bookmark11"/>
      <w:bookmarkStart w:id="47" w:name="_bookmark13"/>
      <w:bookmarkStart w:id="48" w:name="_bookmark14"/>
      <w:bookmarkStart w:id="49" w:name="_bookmark15"/>
      <w:bookmarkStart w:id="50" w:name="_bookmark16"/>
      <w:bookmarkStart w:id="51" w:name="_bookmark17"/>
      <w:bookmarkStart w:id="52" w:name="_bookmark18"/>
      <w:bookmarkStart w:id="53" w:name="_bookmark22"/>
      <w:bookmarkStart w:id="54" w:name="_bookmark23"/>
      <w:bookmarkStart w:id="55" w:name="_bookmark25"/>
      <w:bookmarkStart w:id="56" w:name="_bookmark26"/>
      <w:bookmarkStart w:id="57" w:name="_bookmark27"/>
      <w:bookmarkStart w:id="58" w:name="_bookmark28"/>
      <w:bookmarkStart w:id="59" w:name="_bookmark29"/>
      <w:bookmarkStart w:id="60" w:name="_bookmark30"/>
      <w:bookmarkStart w:id="61" w:name="_bookmark31"/>
      <w:bookmarkStart w:id="62" w:name="_bookmark32"/>
      <w:bookmarkStart w:id="63" w:name="_bookmark33"/>
      <w:bookmarkStart w:id="64" w:name="_bookmark3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536EF09B" w14:textId="4636A003" w:rsidR="004731B8" w:rsidRDefault="008562BF">
      <w:pPr>
        <w:ind w:left="360"/>
      </w:pPr>
      <w:hyperlink r:id="rId36" w:history="1">
        <w:r w:rsidR="00F119E6">
          <w:rPr>
            <w:rStyle w:val="Hyperlink"/>
          </w:rPr>
          <w:t>Axel Kessler</w:t>
        </w:r>
      </w:hyperlink>
      <w:r w:rsidR="00F119E6">
        <w:t xml:space="preserve"> (Data Protection Officer</w:t>
      </w:r>
      <w:r w:rsidR="00D27B2E">
        <w:t xml:space="preserve"> Siemens AG</w:t>
      </w:r>
      <w:r w:rsidR="00F119E6">
        <w:t>)</w:t>
      </w:r>
    </w:p>
    <w:p w14:paraId="536EF09C" w14:textId="77777777" w:rsidR="004731B8" w:rsidRDefault="004731B8">
      <w:pPr>
        <w:pStyle w:val="KeinAbsatzformat"/>
        <w:rPr>
          <w:lang w:val="en-US"/>
        </w:rPr>
      </w:pPr>
    </w:p>
    <w:p w14:paraId="536EF09D" w14:textId="77777777" w:rsidR="004731B8" w:rsidRDefault="004731B8">
      <w:pPr>
        <w:pStyle w:val="CopyBulletpoints"/>
        <w:numPr>
          <w:ilvl w:val="0"/>
          <w:numId w:val="0"/>
        </w:numPr>
        <w:ind w:left="470"/>
        <w:rPr>
          <w:lang w:val="en-US"/>
        </w:rPr>
      </w:pPr>
    </w:p>
    <w:sectPr w:rsidR="004731B8">
      <w:headerReference w:type="even" r:id="rId37"/>
      <w:headerReference w:type="default" r:id="rId38"/>
      <w:footerReference w:type="even" r:id="rId39"/>
      <w:footerReference w:type="default" r:id="rId40"/>
      <w:headerReference w:type="first" r:id="rId41"/>
      <w:footerReference w:type="first" r:id="rId42"/>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EF0A0" w14:textId="77777777" w:rsidR="004731B8" w:rsidRDefault="00F119E6">
      <w:pPr>
        <w:spacing w:after="0" w:line="240" w:lineRule="auto"/>
      </w:pPr>
      <w:r>
        <w:separator/>
      </w:r>
    </w:p>
  </w:endnote>
  <w:endnote w:type="continuationSeparator" w:id="0">
    <w:p w14:paraId="536EF0A1" w14:textId="77777777" w:rsidR="004731B8" w:rsidRDefault="00F11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F0AE" w14:textId="77777777" w:rsidR="004731B8" w:rsidRDefault="004731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F0AF" w14:textId="77777777" w:rsidR="004731B8" w:rsidRDefault="00F119E6">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F0B1" w14:textId="77777777" w:rsidR="004731B8" w:rsidRDefault="004731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EF09E" w14:textId="77777777" w:rsidR="004731B8" w:rsidRDefault="00F119E6">
      <w:pPr>
        <w:spacing w:after="0" w:line="240" w:lineRule="auto"/>
      </w:pPr>
      <w:r>
        <w:separator/>
      </w:r>
    </w:p>
  </w:footnote>
  <w:footnote w:type="continuationSeparator" w:id="0">
    <w:p w14:paraId="536EF09F" w14:textId="77777777" w:rsidR="004731B8" w:rsidRDefault="00F119E6">
      <w:pPr>
        <w:spacing w:after="0" w:line="240" w:lineRule="auto"/>
      </w:pPr>
      <w:r>
        <w:continuationSeparator/>
      </w:r>
    </w:p>
  </w:footnote>
  <w:footnote w:id="1">
    <w:p w14:paraId="536EF0B4" w14:textId="77777777" w:rsidR="004731B8" w:rsidRPr="00FA1BC5" w:rsidRDefault="00F119E6" w:rsidP="00FA1BC5">
      <w:pPr>
        <w:pStyle w:val="Funotentext"/>
        <w:spacing w:after="0" w:line="240" w:lineRule="auto"/>
        <w:ind w:left="142" w:hanging="142"/>
        <w:rPr>
          <w:sz w:val="16"/>
          <w:szCs w:val="16"/>
        </w:rPr>
      </w:pPr>
      <w:r w:rsidRPr="00FA1BC5">
        <w:rPr>
          <w:rStyle w:val="Funotenzeichen"/>
          <w:sz w:val="16"/>
          <w:szCs w:val="16"/>
        </w:rPr>
        <w:footnoteRef/>
      </w:r>
      <w:r w:rsidRPr="00FA1BC5">
        <w:rPr>
          <w:sz w:val="16"/>
          <w:szCs w:val="16"/>
        </w:rPr>
        <w:t xml:space="preserve"> M</w:t>
      </w:r>
      <w:r w:rsidRPr="00FA1BC5">
        <w:rPr>
          <w:rFonts w:cs="Arial"/>
          <w:sz w:val="16"/>
          <w:szCs w:val="16"/>
        </w:rPr>
        <w:t xml:space="preserve">eans the company which, alone or jointly with others, determines the purposes and means of the processing of personal </w:t>
      </w:r>
      <w:proofErr w:type="gramStart"/>
      <w:r w:rsidRPr="00FA1BC5">
        <w:rPr>
          <w:rFonts w:cs="Arial"/>
          <w:sz w:val="16"/>
          <w:szCs w:val="16"/>
        </w:rPr>
        <w:t>data;</w:t>
      </w:r>
      <w:proofErr w:type="gramEnd"/>
      <w:r w:rsidRPr="00FA1BC5">
        <w:rPr>
          <w:rFonts w:cs="Arial"/>
          <w:sz w:val="16"/>
          <w:szCs w:val="16"/>
        </w:rPr>
        <w:t xml:space="preserve"> e.g. the employer regularly acts as Controller for the personal data of its employees.</w:t>
      </w:r>
    </w:p>
  </w:footnote>
  <w:footnote w:id="2">
    <w:p w14:paraId="536EF0B5" w14:textId="77777777" w:rsidR="004731B8" w:rsidRPr="00FA1BC5" w:rsidRDefault="00F119E6" w:rsidP="00FA1BC5">
      <w:pPr>
        <w:pStyle w:val="Funotentext"/>
        <w:spacing w:after="0" w:line="240" w:lineRule="auto"/>
        <w:ind w:left="142" w:hanging="142"/>
        <w:rPr>
          <w:sz w:val="16"/>
          <w:szCs w:val="16"/>
        </w:rPr>
      </w:pPr>
      <w:r w:rsidRPr="00FA1BC5">
        <w:rPr>
          <w:rStyle w:val="Funotenzeichen"/>
          <w:sz w:val="16"/>
          <w:szCs w:val="16"/>
        </w:rPr>
        <w:footnoteRef/>
      </w:r>
      <w:r w:rsidRPr="00FA1BC5">
        <w:rPr>
          <w:sz w:val="16"/>
          <w:szCs w:val="16"/>
        </w:rPr>
        <w:t xml:space="preserve"> M</w:t>
      </w:r>
      <w:r w:rsidRPr="00FA1BC5">
        <w:rPr>
          <w:rFonts w:cs="Arial"/>
          <w:sz w:val="16"/>
          <w:szCs w:val="16"/>
        </w:rPr>
        <w:t>eans a legal person which processes Personal Data on behalf of a Controller. A company regularly qualifies as Processor if it acts as external or internal IT service provider (such as the hosting of applications or the provision of IT support services).</w:t>
      </w:r>
    </w:p>
  </w:footnote>
  <w:footnote w:id="3">
    <w:p w14:paraId="536EF0B6" w14:textId="77777777" w:rsidR="004731B8" w:rsidRPr="00FA1BC5" w:rsidRDefault="00F119E6" w:rsidP="00FA1BC5">
      <w:pPr>
        <w:pStyle w:val="Funotentext"/>
        <w:spacing w:after="0" w:line="240" w:lineRule="auto"/>
        <w:ind w:left="142" w:hanging="142"/>
        <w:rPr>
          <w:sz w:val="16"/>
          <w:szCs w:val="16"/>
        </w:rPr>
      </w:pPr>
      <w:r w:rsidRPr="00FA1BC5">
        <w:rPr>
          <w:rStyle w:val="Funotenzeichen"/>
          <w:sz w:val="16"/>
          <w:szCs w:val="16"/>
        </w:rPr>
        <w:footnoteRef/>
      </w:r>
      <w:r w:rsidRPr="00FA1BC5">
        <w:rPr>
          <w:sz w:val="16"/>
          <w:szCs w:val="16"/>
        </w:rPr>
        <w:t xml:space="preserve"> </w:t>
      </w:r>
      <w:r w:rsidRPr="00FA1BC5">
        <w:rPr>
          <w:rFonts w:cs="Arial"/>
          <w:sz w:val="16"/>
          <w:szCs w:val="16"/>
        </w:rPr>
        <w:t xml:space="preserve">A local contact within the Data Privacy Organization can be identified </w:t>
      </w:r>
      <w:hyperlink r:id="rId1" w:history="1">
        <w:r w:rsidRPr="00FA1BC5">
          <w:rPr>
            <w:rFonts w:cs="Arial"/>
            <w:color w:val="0000FF"/>
            <w:sz w:val="16"/>
            <w:szCs w:val="16"/>
          </w:rPr>
          <w:t>here</w:t>
        </w:r>
      </w:hyperlink>
      <w:r w:rsidRPr="00FA1BC5">
        <w:rPr>
          <w:rFonts w:cs="Arial"/>
          <w:sz w:val="16"/>
          <w:szCs w:val="16"/>
        </w:rPr>
        <w:t>. The responsibilities within the Siemens Data Privacy Organization are described in</w:t>
      </w:r>
      <w:hyperlink r:id="rId2" w:history="1">
        <w:r w:rsidRPr="00FA1BC5">
          <w:rPr>
            <w:rFonts w:cs="Arial"/>
            <w:color w:val="0000FF"/>
            <w:sz w:val="16"/>
            <w:szCs w:val="16"/>
          </w:rPr>
          <w:t xml:space="preserve"> Roles &amp; Responsibilities document</w:t>
        </w:r>
      </w:hyperlink>
      <w:r w:rsidRPr="00FA1BC5">
        <w:rPr>
          <w:rFonts w:cs="Arial"/>
          <w:sz w:val="16"/>
          <w:szCs w:val="16"/>
        </w:rPr>
        <w:t>.</w:t>
      </w:r>
    </w:p>
  </w:footnote>
  <w:footnote w:id="4">
    <w:p w14:paraId="536EF0B7" w14:textId="77777777" w:rsidR="004731B8" w:rsidRPr="00FA1BC5" w:rsidRDefault="00F119E6" w:rsidP="00FA1BC5">
      <w:pPr>
        <w:pStyle w:val="Funotentext"/>
        <w:spacing w:after="0" w:line="240" w:lineRule="auto"/>
        <w:ind w:left="142" w:hanging="142"/>
        <w:rPr>
          <w:sz w:val="16"/>
          <w:szCs w:val="16"/>
        </w:rPr>
      </w:pPr>
      <w:r w:rsidRPr="00FA1BC5">
        <w:rPr>
          <w:rStyle w:val="Funotenzeichen"/>
          <w:sz w:val="16"/>
          <w:szCs w:val="16"/>
        </w:rPr>
        <w:footnoteRef/>
      </w:r>
      <w:r w:rsidRPr="00FA1BC5">
        <w:rPr>
          <w:sz w:val="16"/>
          <w:szCs w:val="16"/>
        </w:rPr>
        <w:t xml:space="preserve"> M</w:t>
      </w:r>
      <w:r w:rsidRPr="00FA1BC5">
        <w:rPr>
          <w:rFonts w:cs="Arial"/>
          <w:sz w:val="16"/>
          <w:szCs w:val="16"/>
        </w:rPr>
        <w:t xml:space="preserve">eans the electronic application register of Siemens, available </w:t>
      </w:r>
      <w:hyperlink r:id="rId3" w:history="1">
        <w:r w:rsidRPr="00FA1BC5">
          <w:rPr>
            <w:rStyle w:val="Hyperlink"/>
            <w:rFonts w:cs="Arial"/>
            <w:sz w:val="16"/>
            <w:szCs w:val="16"/>
          </w:rPr>
          <w:t>here</w:t>
        </w:r>
      </w:hyperlink>
      <w:r w:rsidRPr="00FA1BC5">
        <w:rPr>
          <w:rFonts w:cs="Arial"/>
          <w:sz w:val="16"/>
          <w:szCs w:val="16"/>
        </w:rPr>
        <w:t>.</w:t>
      </w:r>
    </w:p>
  </w:footnote>
  <w:footnote w:id="5">
    <w:p w14:paraId="536EF0B8" w14:textId="77777777" w:rsidR="004731B8" w:rsidRPr="00FA1BC5" w:rsidRDefault="00F119E6" w:rsidP="00FA1BC5">
      <w:pPr>
        <w:pStyle w:val="Funotentext"/>
        <w:spacing w:after="0" w:line="240" w:lineRule="auto"/>
        <w:ind w:left="142" w:hanging="142"/>
        <w:rPr>
          <w:sz w:val="16"/>
          <w:szCs w:val="16"/>
        </w:rPr>
      </w:pPr>
      <w:r w:rsidRPr="00FA1BC5">
        <w:rPr>
          <w:rStyle w:val="Funotenzeichen"/>
          <w:sz w:val="16"/>
          <w:szCs w:val="16"/>
        </w:rPr>
        <w:footnoteRef/>
      </w:r>
      <w:r w:rsidRPr="00FA1BC5">
        <w:rPr>
          <w:sz w:val="16"/>
          <w:szCs w:val="16"/>
        </w:rPr>
        <w:t xml:space="preserve"> M</w:t>
      </w:r>
      <w:r w:rsidRPr="00FA1BC5">
        <w:rPr>
          <w:rFonts w:cs="Arial"/>
          <w:sz w:val="16"/>
          <w:szCs w:val="16"/>
        </w:rPr>
        <w:t>eans the organizational unit at Siemens AG or an Affiliated Company that has the business responsibility for a data processing activity, such as an IT application or 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F0A2" w14:textId="77777777" w:rsidR="004731B8" w:rsidRDefault="004731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4731B8" w14:paraId="536EF0A7" w14:textId="77777777" w:rsidTr="004731B8">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536EF0A3" w14:textId="77777777" w:rsidR="004731B8" w:rsidRDefault="00F119E6">
          <w:pPr>
            <w:pStyle w:val="Kopfzeile"/>
            <w:ind w:left="-426"/>
          </w:pPr>
          <w:r>
            <w:t>z</w:t>
          </w:r>
        </w:p>
      </w:tc>
      <w:tc>
        <w:tcPr>
          <w:tcW w:w="624" w:type="dxa"/>
        </w:tcPr>
        <w:p w14:paraId="536EF0A4" w14:textId="77777777" w:rsidR="004731B8" w:rsidRDefault="004731B8">
          <w:pPr>
            <w:pStyle w:val="Kopfzeile"/>
            <w:ind w:left="-641"/>
          </w:pPr>
        </w:p>
      </w:tc>
      <w:tc>
        <w:tcPr>
          <w:tcW w:w="9752" w:type="dxa"/>
        </w:tcPr>
        <w:p w14:paraId="536EF0A5" w14:textId="77777777" w:rsidR="004731B8" w:rsidRDefault="004731B8">
          <w:pPr>
            <w:pStyle w:val="Kopfzeile"/>
          </w:pPr>
        </w:p>
      </w:tc>
      <w:tc>
        <w:tcPr>
          <w:tcW w:w="1173" w:type="dxa"/>
        </w:tcPr>
        <w:p w14:paraId="536EF0A6" w14:textId="77777777" w:rsidR="004731B8" w:rsidRDefault="004731B8">
          <w:pPr>
            <w:pStyle w:val="Kopfzeile"/>
          </w:pPr>
        </w:p>
      </w:tc>
    </w:tr>
    <w:tr w:rsidR="004731B8" w14:paraId="536EF0AC" w14:textId="77777777" w:rsidTr="004731B8">
      <w:trPr>
        <w:cantSplit/>
        <w:trHeight w:hRule="exact" w:val="575"/>
      </w:trPr>
      <w:tc>
        <w:tcPr>
          <w:tcW w:w="1020" w:type="dxa"/>
        </w:tcPr>
        <w:p w14:paraId="536EF0A8" w14:textId="77777777" w:rsidR="004731B8" w:rsidRDefault="004731B8">
          <w:pPr>
            <w:pStyle w:val="Fuzeile"/>
          </w:pPr>
        </w:p>
      </w:tc>
      <w:tc>
        <w:tcPr>
          <w:tcW w:w="624" w:type="dxa"/>
          <w:vAlign w:val="bottom"/>
        </w:tcPr>
        <w:p w14:paraId="536EF0A9" w14:textId="77777777" w:rsidR="004731B8" w:rsidRDefault="00F119E6">
          <w:pPr>
            <w:pStyle w:val="Fuzeile"/>
            <w:jc w:val="center"/>
          </w:pPr>
          <w:r>
            <w:rPr>
              <w:noProof/>
            </w:rPr>
            <w:drawing>
              <wp:inline distT="0" distB="0" distL="0" distR="0" wp14:anchorId="536EF0B2" wp14:editId="536EF0B3">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536EF0AA" w14:textId="77777777" w:rsidR="004731B8" w:rsidRDefault="00F119E6">
          <w:pPr>
            <w:pStyle w:val="Header"/>
          </w:pPr>
          <w:r>
            <w:t>Compliance Handbook | Part 1 | D. Data Privacy</w:t>
          </w:r>
        </w:p>
      </w:tc>
      <w:tc>
        <w:tcPr>
          <w:tcW w:w="1173" w:type="dxa"/>
        </w:tcPr>
        <w:p w14:paraId="536EF0AB" w14:textId="77777777" w:rsidR="004731B8" w:rsidRDefault="004731B8">
          <w:pPr>
            <w:pStyle w:val="Header"/>
          </w:pPr>
        </w:p>
      </w:tc>
    </w:tr>
  </w:tbl>
  <w:p w14:paraId="536EF0AD" w14:textId="77777777" w:rsidR="004731B8" w:rsidRDefault="004731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F0B0" w14:textId="77777777" w:rsidR="004731B8" w:rsidRDefault="004731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4"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BC317A9"/>
    <w:multiLevelType w:val="multilevel"/>
    <w:tmpl w:val="E812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62792"/>
    <w:multiLevelType w:val="hybridMultilevel"/>
    <w:tmpl w:val="4C189658"/>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12" w15:restartNumberingAfterBreak="0">
    <w:nsid w:val="7EB407E0"/>
    <w:multiLevelType w:val="hybridMultilevel"/>
    <w:tmpl w:val="B41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9"/>
  </w:num>
  <w:num w:numId="5">
    <w:abstractNumId w:val="1"/>
  </w:num>
  <w:num w:numId="6">
    <w:abstractNumId w:val="0"/>
  </w:num>
  <w:num w:numId="7">
    <w:abstractNumId w:val="5"/>
  </w:num>
  <w:num w:numId="8">
    <w:abstractNumId w:val="4"/>
  </w:num>
  <w:num w:numId="9">
    <w:abstractNumId w:val="10"/>
  </w:num>
  <w:num w:numId="10">
    <w:abstractNumId w:val="8"/>
  </w:num>
  <w:num w:numId="11">
    <w:abstractNumId w:val="12"/>
  </w:num>
  <w:num w:numId="12">
    <w:abstractNumId w:val="6"/>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attachedTemplate r:id="rId1"/>
  <w:stylePaneSortMethod w:val="0004"/>
  <w:defaultTabStop w:val="720"/>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1B8"/>
    <w:rsid w:val="001C65AB"/>
    <w:rsid w:val="0021749E"/>
    <w:rsid w:val="004731B8"/>
    <w:rsid w:val="005F56CC"/>
    <w:rsid w:val="006528A5"/>
    <w:rsid w:val="00671490"/>
    <w:rsid w:val="00675F2B"/>
    <w:rsid w:val="006F474F"/>
    <w:rsid w:val="008562BF"/>
    <w:rsid w:val="00890928"/>
    <w:rsid w:val="00944AD4"/>
    <w:rsid w:val="00C93425"/>
    <w:rsid w:val="00D27B2E"/>
    <w:rsid w:val="00DA2DAA"/>
    <w:rsid w:val="00DC43A4"/>
    <w:rsid w:val="00E8424C"/>
    <w:rsid w:val="00F119E6"/>
    <w:rsid w:val="00FA1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01"/>
    <o:shapelayout v:ext="edit">
      <o:idmap v:ext="edit" data="1"/>
    </o:shapelayout>
  </w:shapeDefaults>
  <w:decimalSymbol w:val=","/>
  <w:listSeparator w:val=";"/>
  <w14:docId w14:val="536EF052"/>
  <w15:docId w15:val="{A9575210-72C6-443C-98F5-E2157338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qFormat/>
    <w:pPr>
      <w:spacing w:after="140" w:line="300" w:lineRule="auto"/>
    </w:pPr>
    <w:rPr>
      <w:sz w:val="20"/>
    </w:rPr>
  </w:style>
  <w:style w:type="paragraph" w:styleId="berschrift1">
    <w:name w:val="heading 1"/>
    <w:aliases w:val="_Headline 18 pt,H1"/>
    <w:basedOn w:val="Standard"/>
    <w:next w:val="Standard"/>
    <w:link w:val="berschrift1Zchn"/>
    <w:uiPriority w:val="9"/>
    <w:qFormat/>
    <w:pPr>
      <w:keepNext/>
      <w:keepLines/>
      <w:spacing w:before="360" w:after="12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120" w:line="300" w:lineRule="auto"/>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4"/>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99"/>
    <w:pPr>
      <w:spacing w:after="200" w:line="276" w:lineRule="auto"/>
    </w:pPr>
    <w:rPr>
      <w:sz w:val="22"/>
    </w:rPr>
  </w:style>
  <w:style w:type="character" w:customStyle="1" w:styleId="FunotentextZchn">
    <w:name w:val="Fußnotentext Zchn"/>
    <w:basedOn w:val="Absatz-Standardschriftart"/>
    <w:link w:val="Funotentext"/>
    <w:uiPriority w:val="99"/>
  </w:style>
  <w:style w:type="paragraph" w:customStyle="1" w:styleId="eManualAufzhlunga">
    <w:name w:val="eManual Aufzählung a"/>
    <w:aliases w:val="b"/>
    <w:basedOn w:val="Standard"/>
    <w:uiPriority w:val="99"/>
    <w:pPr>
      <w:numPr>
        <w:numId w:val="5"/>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6"/>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7"/>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7"/>
      </w:numPr>
      <w:tabs>
        <w:tab w:val="clear" w:pos="720"/>
      </w:tabs>
      <w:spacing w:before="24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7"/>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uiPriority w:val="99"/>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8"/>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9"/>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0"/>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table" w:customStyle="1" w:styleId="Tabellenraster1">
    <w:name w:val="Tabellenraster1"/>
    <w:basedOn w:val="NormaleTabelle"/>
    <w:next w:val="Tabellenraster"/>
    <w:pPr>
      <w:spacing w:after="0" w:line="240" w:lineRule="auto"/>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sid w:val="00652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614628450">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26325860">
      <w:bodyDiv w:val="1"/>
      <w:marLeft w:val="0"/>
      <w:marRight w:val="0"/>
      <w:marTop w:val="0"/>
      <w:marBottom w:val="0"/>
      <w:divBdr>
        <w:top w:val="none" w:sz="0" w:space="0" w:color="auto"/>
        <w:left w:val="none" w:sz="0" w:space="0" w:color="auto"/>
        <w:bottom w:val="none" w:sz="0" w:space="0" w:color="auto"/>
        <w:right w:val="none" w:sz="0" w:space="0" w:color="auto"/>
      </w:divBdr>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pplicable%20data%20privacy%20laws%20often%20require%20companies%20to%20maintain%20a%20detailed%20record%20of%20all%20processing%20activities%20of%20personal%20information.%20%20Any%20processing%20of%20personal%20information%20in%20an%20application%20or%20system%20must%20be%20documented%20within%20the%20Siemens%20CDP%20Center%20by%20the%20respective%20process%20owner%20with%20the%20support%20of%20IT." TargetMode="External"/><Relationship Id="rId18" Type="http://schemas.openxmlformats.org/officeDocument/2006/relationships/hyperlink" Target="https://findit.compliance.siemens.com/content/10000101/Compliance/CL_CO/CL_CO_P/findIT_CL_CO_P_2957.pdf" TargetMode="External"/><Relationship Id="rId26" Type="http://schemas.openxmlformats.org/officeDocument/2006/relationships/hyperlink" Target="https://intranet.for.siemens.com/cms/059/en/processes/publications/Pages/compliance_data-privacy_gdpr.aspx"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intranet.for.siemens.com/cms/059/en/processes/publications/Pages/compliance_data-privacy_gdpr.aspx" TargetMode="External"/><Relationship Id="rId34" Type="http://schemas.openxmlformats.org/officeDocument/2006/relationships/hyperlink" Target="https://myvideo.siemens.com/media/SIEMENS+betrieblicher+Datenschutz_EN+-+by+explainity/1_wvyhuhwn" TargetMode="External"/><Relationship Id="rId42"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intranet.for.siemens.com/cms/059/en/processes/publications/Pages/compliance_data-privacy_program.aspx?tabcardno=1-6" TargetMode="External"/><Relationship Id="rId17" Type="http://schemas.openxmlformats.org/officeDocument/2006/relationships/hyperlink" Target="https://intranet.for.siemens.com/cms/059/en/processes/publications/Pages/compliance_data-privacy_organization_NEW.aspx?tabcardno=1-1" TargetMode="External"/><Relationship Id="rId25" Type="http://schemas.openxmlformats.org/officeDocument/2006/relationships/hyperlink" Target="https://intranet.for.siemens.com/cms/059/en/processes/publications/Pages/compliance_data-privacy.aspx" TargetMode="External"/><Relationship Id="rId33" Type="http://schemas.openxmlformats.org/officeDocument/2006/relationships/hyperlink" Target="https://intranet.legal-compliance.siemens.com/dp-subway-map"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findit.compliance.siemens.com/content/10000101/Compliance/CL_CO/CL_CF_DP/findIT_CL_CF_DP_9541.pdf" TargetMode="External"/><Relationship Id="rId20" Type="http://schemas.openxmlformats.org/officeDocument/2006/relationships/hyperlink" Target="https://intranet.for.siemens.com/cms/059/en/processes/publications/Pages/compliance_data-privacy_cdp.aspx" TargetMode="External"/><Relationship Id="rId29" Type="http://schemas.openxmlformats.org/officeDocument/2006/relationships/hyperlink" Target="https://intranet.for.siemens.com/cms/059/en/processes/publications/Pages/compliance_data-privacy.aspx"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ndit.compliance.siemens.com/content/10000101/Compliance/CL_CO/CL_CF_DP/findIT_CL_CF_DP_3529.pdf" TargetMode="External"/><Relationship Id="rId24" Type="http://schemas.openxmlformats.org/officeDocument/2006/relationships/hyperlink" Target="https://intranet.for.siemens.com/cms/059/en/processes/publications/Pages/compliance_data-privacy_program.aspx?tabcardno=1-8" TargetMode="External"/><Relationship Id="rId32" Type="http://schemas.openxmlformats.org/officeDocument/2006/relationships/hyperlink" Target="https://training.siemens.com/lms/participant/"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findit.compliance.siemens.com/content/10000101/Compliance/CL_CO/CL_CO_AT/findIT_CL_CO_AT_55.pdf" TargetMode="External"/><Relationship Id="rId23" Type="http://schemas.openxmlformats.org/officeDocument/2006/relationships/hyperlink" Target="https://findit.compliance.siemens.com/content/10000101/Compliance/LC_CO/LC_CO_DP/findIT_LC_CO_DP_4583.doc" TargetMode="External"/><Relationship Id="rId28" Type="http://schemas.openxmlformats.org/officeDocument/2006/relationships/hyperlink" Target="https://srs.siemens.cloud/" TargetMode="External"/><Relationship Id="rId36" Type="http://schemas.openxmlformats.org/officeDocument/2006/relationships/hyperlink" Target="https://scd.siemens.com/luz/IdentitySearch?tcgid=Z000SFCC" TargetMode="External"/><Relationship Id="rId10" Type="http://schemas.openxmlformats.org/officeDocument/2006/relationships/endnotes" Target="endnotes.xml"/><Relationship Id="rId19" Type="http://schemas.openxmlformats.org/officeDocument/2006/relationships/hyperlink" Target="https://findit.compliance.siemens.com/content/10000101/Compliance/LC_CO/LC_C_DP/findIT_LC_C_DP_6356.docx" TargetMode="External"/><Relationship Id="rId31" Type="http://schemas.openxmlformats.org/officeDocument/2006/relationships/hyperlink" Target="https://srs.siemens.cloud/"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for.siemens.com/cms/059/en/processes/publications/Pages/compliance_data-privacy_management_system.aspx" TargetMode="External"/><Relationship Id="rId22" Type="http://schemas.openxmlformats.org/officeDocument/2006/relationships/hyperlink" Target="https://findit.compliance.siemens.com/content/10000101/Compliance/LC_CO/LC_CO_DP/findIT_LC_CO_DP_4584.docx" TargetMode="External"/><Relationship Id="rId27" Type="http://schemas.openxmlformats.org/officeDocument/2006/relationships/hyperlink" Target="https://findit.compliance.siemens.com/content/10000101/Compliance/LC_CO/LC_C_DP/findIT_LC_C_DP_5592.pdf" TargetMode="External"/><Relationship Id="rId30" Type="http://schemas.openxmlformats.org/officeDocument/2006/relationships/hyperlink" Target="https://intranet.for.siemens.com/cms/059/en/processes/publications/Pages/compliance_data-privacy_cdp.aspx." TargetMode="External"/><Relationship Id="rId35" Type="http://schemas.openxmlformats.org/officeDocument/2006/relationships/hyperlink" Target="https://intranet.for.siemens.com/cms/059/en/about/org/Pages/compliance_organization.aspx"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for.siemens.com/cms/059/en/processes/publications/Pages/compliance_data-privacy.aspx" TargetMode="External"/><Relationship Id="rId2" Type="http://schemas.openxmlformats.org/officeDocument/2006/relationships/hyperlink" Target="https://findit.compliance.siemens.com/content/10000101/Compliance/CL_CO/CL_CF_DP/findIT_CL_CF_DP_3142.pdf" TargetMode="External"/><Relationship Id="rId1" Type="http://schemas.openxmlformats.org/officeDocument/2006/relationships/hyperlink" Target="https://findit.compliance.siemens.com/content/10000101/Compliance/CL_CO/CL_CF_DP/findIT_CL_CF_DP_352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90</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D. Data Privacy</TermName>
          <TermId xmlns="http://schemas.microsoft.com/office/infopath/2007/PartnerControls">60b0f14c-0799-432a-97fc-b0006c678daf</TermId>
        </TermInfo>
      </Terms>
    </nb766c42a6d34ad7b224884871f9394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2.xml><?xml version="1.0" encoding="utf-8"?>
<ds:datastoreItem xmlns:ds="http://schemas.openxmlformats.org/officeDocument/2006/customXml" ds:itemID="{9C5C410B-8DA4-4E57-8D14-A0D69B388DE0}">
  <ds:schemaRefs>
    <ds:schemaRef ds:uri="http://schemas.microsoft.com/office/2006/metadata/propertie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6ee1f5f8-4a5f-4619-969f-c34e20667274"/>
    <ds:schemaRef ds:uri="http://www.w3.org/XML/1998/namespace"/>
    <ds:schemaRef ds:uri="http://purl.org/dc/dcmitype/"/>
  </ds:schemaRefs>
</ds:datastoreItem>
</file>

<file path=customXml/itemProps3.xml><?xml version="1.0" encoding="utf-8"?>
<ds:datastoreItem xmlns:ds="http://schemas.openxmlformats.org/officeDocument/2006/customXml" ds:itemID="{8F938767-5035-4C48-9431-38CF2CC98A69}">
  <ds:schemaRefs>
    <ds:schemaRef ds:uri="http://schemas.openxmlformats.org/officeDocument/2006/bibliography"/>
  </ds:schemaRefs>
</ds:datastoreItem>
</file>

<file path=customXml/itemProps4.xml><?xml version="1.0" encoding="utf-8"?>
<ds:datastoreItem xmlns:ds="http://schemas.openxmlformats.org/officeDocument/2006/customXml" ds:itemID="{53AB3CE6-A0D8-4F07-99C0-95CB888359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5</Pages>
  <Words>1796</Words>
  <Characters>11321</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cp:lastModifiedBy>Hamm-Dueppe, Yvonne (LC CO RFC LF)</cp:lastModifiedBy>
  <cp:revision>62</cp:revision>
  <cp:lastPrinted>2019-01-23T15:05:00Z</cp:lastPrinted>
  <dcterms:created xsi:type="dcterms:W3CDTF">2018-08-06T12:54:00Z</dcterms:created>
  <dcterms:modified xsi:type="dcterms:W3CDTF">2021-03-30T10:49:00Z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90;#D. Data Privacy|60b0f14c-0799-432a-97fc-b0006c678daf</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2021-03-30T10:49:54Z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2a4b142e-c091-4c1e-b42e-55c1b9c23c28</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