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97D61" w14:textId="77777777" w:rsidR="00AC193D" w:rsidRDefault="00C27C7A" w:rsidP="00FE2693">
      <w:pPr>
        <w:pStyle w:val="berschrift1"/>
      </w:pPr>
      <w:r>
        <w:t>Foreword by Martina Maier</w:t>
      </w:r>
      <w:r w:rsidR="00FD11D6">
        <w:tab/>
      </w:r>
    </w:p>
    <w:p w14:paraId="71556D74" w14:textId="77777777" w:rsidR="00AC193D" w:rsidRDefault="0063484F" w:rsidP="00A20ED1">
      <w:pPr>
        <w:pStyle w:val="Anrede"/>
      </w:pPr>
      <w:r>
        <w:t>Dear Colleagues,</w:t>
      </w:r>
    </w:p>
    <w:p w14:paraId="54E29741" w14:textId="77777777" w:rsidR="00AC193D" w:rsidRDefault="00680B58" w:rsidP="00A20ED1">
      <w:pPr>
        <w:pStyle w:val="Textkrper"/>
      </w:pPr>
      <w:r w:rsidRPr="00680B58">
        <w:t>This Compliance Handbook is a “one-stop-shop” for binding Compliance rules and regulations as well as additional information under the roof of our</w:t>
      </w:r>
      <w:r>
        <w:t xml:space="preserve"> </w:t>
      </w:r>
      <w:hyperlink r:id="rId11" w:history="1">
        <w:r>
          <w:rPr>
            <w:rStyle w:val="Hyperlink"/>
          </w:rPr>
          <w:t>Business Conduct Guidelines</w:t>
        </w:r>
      </w:hyperlink>
      <w:r>
        <w:rPr>
          <w:rFonts w:cs="Arial"/>
          <w:lang w:eastAsia="de-DE"/>
        </w:rPr>
        <w:t xml:space="preserve">, </w:t>
      </w:r>
      <w:hyperlink r:id="rId12" w:history="1">
        <w:r>
          <w:rPr>
            <w:rStyle w:val="Hyperlink"/>
          </w:rPr>
          <w:t>Circular No. 226</w:t>
        </w:r>
      </w:hyperlink>
      <w:r>
        <w:rPr>
          <w:rStyle w:val="Hyperlink"/>
        </w:rPr>
        <w:t xml:space="preserve"> “Global Compliance”</w:t>
      </w:r>
      <w:r>
        <w:rPr>
          <w:lang w:eastAsia="de-DE"/>
        </w:rPr>
        <w:t xml:space="preserve"> and the </w:t>
      </w:r>
      <w:hyperlink r:id="rId13" w:history="1">
        <w:r>
          <w:rPr>
            <w:rStyle w:val="Hyperlink"/>
          </w:rPr>
          <w:t>Compliance Operating Model</w:t>
        </w:r>
      </w:hyperlink>
      <w:r>
        <w:rPr>
          <w:rStyle w:val="Hyperlink"/>
        </w:rPr>
        <w:t xml:space="preserve"> </w:t>
      </w:r>
      <w:r w:rsidRPr="00680B58">
        <w:t>. It is applicable for all Siemens employees and accessible online, offline as well as mobile. The Compliance Handbook offers a search function allowing information to be found easily and is furthermore clearly structured in three parts:</w:t>
      </w:r>
    </w:p>
    <w:p w14:paraId="09086826" w14:textId="5889AF1E" w:rsidR="00565BDC" w:rsidRPr="00565BDC" w:rsidRDefault="00BE55A5" w:rsidP="00565BDC">
      <w:pPr>
        <w:pStyle w:val="HighlightboxGreyBulletpoints"/>
        <w:numPr>
          <w:ilvl w:val="0"/>
          <w:numId w:val="3"/>
        </w:numPr>
        <w:rPr>
          <w:b/>
          <w:sz w:val="20"/>
          <w:szCs w:val="20"/>
          <w:lang w:val="la-Latn"/>
        </w:rPr>
      </w:pPr>
      <w:r>
        <w:rPr>
          <w:b/>
          <w:sz w:val="20"/>
          <w:szCs w:val="20"/>
        </w:rPr>
        <w:t xml:space="preserve">Part 1: </w:t>
      </w:r>
      <w:r w:rsidR="00565BDC" w:rsidRPr="00565BDC">
        <w:rPr>
          <w:b/>
          <w:sz w:val="20"/>
          <w:szCs w:val="20"/>
        </w:rPr>
        <w:t>Compliance</w:t>
      </w:r>
      <w:r>
        <w:rPr>
          <w:b/>
          <w:sz w:val="20"/>
          <w:szCs w:val="20"/>
        </w:rPr>
        <w:t xml:space="preserve"> </w:t>
      </w:r>
      <w:r w:rsidR="00565BDC" w:rsidRPr="00565BDC">
        <w:rPr>
          <w:b/>
          <w:sz w:val="20"/>
          <w:szCs w:val="20"/>
        </w:rPr>
        <w:t>activity fields</w:t>
      </w:r>
    </w:p>
    <w:p w14:paraId="662ED1A7" w14:textId="77777777" w:rsidR="00AC193D" w:rsidRDefault="003E7A06" w:rsidP="00A20ED1">
      <w:pPr>
        <w:pStyle w:val="Textkrper-Erstzeileneinzug2"/>
      </w:pPr>
      <w:r>
        <w:t>relat</w:t>
      </w:r>
      <w:r w:rsidR="00BE55A5">
        <w:t>es</w:t>
      </w:r>
      <w:r>
        <w:t xml:space="preserve"> to the different </w:t>
      </w:r>
      <w:r w:rsidR="005728C7">
        <w:t xml:space="preserve">activity </w:t>
      </w:r>
      <w:r>
        <w:t>fields</w:t>
      </w:r>
      <w:r w:rsidR="00C5207F">
        <w:t xml:space="preserve"> that </w:t>
      </w:r>
      <w:r>
        <w:t xml:space="preserve">the Compliance Organization covers: </w:t>
      </w:r>
      <w:hyperlink r:id="rId14" w:history="1">
        <w:r>
          <w:rPr>
            <w:rStyle w:val="Hyperlink"/>
          </w:rPr>
          <w:t>Anti-Corruption</w:t>
        </w:r>
      </w:hyperlink>
      <w:r>
        <w:t>,</w:t>
      </w:r>
      <w:r w:rsidR="00CF7F4F">
        <w:t xml:space="preserve"> </w:t>
      </w:r>
      <w:hyperlink r:id="rId15" w:history="1">
        <w:r w:rsidR="00CF7F4F">
          <w:rPr>
            <w:rStyle w:val="Hyperlink"/>
          </w:rPr>
          <w:t>Antitrust</w:t>
        </w:r>
      </w:hyperlink>
      <w:r w:rsidR="00CF7F4F">
        <w:t>,</w:t>
      </w:r>
      <w:r>
        <w:t xml:space="preserve"> </w:t>
      </w:r>
      <w:hyperlink r:id="rId16" w:history="1">
        <w:r w:rsidR="007A3739">
          <w:rPr>
            <w:rStyle w:val="Hyperlink"/>
          </w:rPr>
          <w:t>Anti-Money-Laundering</w:t>
        </w:r>
      </w:hyperlink>
      <w:r w:rsidR="00A12C92">
        <w:t>,</w:t>
      </w:r>
      <w:r>
        <w:t xml:space="preserve"> </w:t>
      </w:r>
      <w:hyperlink r:id="rId17" w:history="1">
        <w:r w:rsidR="007A3739">
          <w:rPr>
            <w:rStyle w:val="Hyperlink"/>
          </w:rPr>
          <w:t>Data Privacy</w:t>
        </w:r>
      </w:hyperlink>
      <w:r>
        <w:t xml:space="preserve">, </w:t>
      </w:r>
      <w:hyperlink r:id="rId18" w:history="1">
        <w:r w:rsidR="007A3739">
          <w:rPr>
            <w:rStyle w:val="Hyperlink"/>
          </w:rPr>
          <w:t>Human Rights</w:t>
        </w:r>
      </w:hyperlink>
      <w:r w:rsidR="005728C7">
        <w:t xml:space="preserve">, </w:t>
      </w:r>
      <w:hyperlink r:id="rId19" w:history="1">
        <w:r w:rsidR="007A3739">
          <w:rPr>
            <w:rStyle w:val="Hyperlink"/>
          </w:rPr>
          <w:t>Export Control</w:t>
        </w:r>
      </w:hyperlink>
      <w:r w:rsidR="005728C7">
        <w:t xml:space="preserve"> and </w:t>
      </w:r>
      <w:hyperlink r:id="rId20" w:history="1">
        <w:r w:rsidR="005728C7" w:rsidRPr="00004244">
          <w:rPr>
            <w:rStyle w:val="Hyperlink"/>
          </w:rPr>
          <w:t>Collective Action</w:t>
        </w:r>
      </w:hyperlink>
      <w:r w:rsidR="005728C7">
        <w:t>.</w:t>
      </w:r>
    </w:p>
    <w:p w14:paraId="48842B75" w14:textId="67F90D8C" w:rsidR="00552153" w:rsidRPr="00BE55A5" w:rsidRDefault="00BE55A5" w:rsidP="00565BDC">
      <w:pPr>
        <w:pStyle w:val="HighlightboxGreyBulletpoints"/>
        <w:numPr>
          <w:ilvl w:val="0"/>
          <w:numId w:val="3"/>
        </w:numPr>
        <w:rPr>
          <w:b/>
          <w:sz w:val="20"/>
          <w:szCs w:val="20"/>
        </w:rPr>
      </w:pPr>
      <w:r w:rsidRPr="00BE55A5">
        <w:rPr>
          <w:b/>
          <w:sz w:val="20"/>
          <w:szCs w:val="20"/>
        </w:rPr>
        <w:t xml:space="preserve">Part 2: </w:t>
      </w:r>
      <w:r w:rsidR="00552153" w:rsidRPr="00BE55A5">
        <w:rPr>
          <w:b/>
          <w:sz w:val="20"/>
          <w:szCs w:val="20"/>
        </w:rPr>
        <w:t>Compliance from a business perspective</w:t>
      </w:r>
    </w:p>
    <w:p w14:paraId="56508AED" w14:textId="77777777" w:rsidR="00AC193D" w:rsidRDefault="003E7A06" w:rsidP="00A20ED1">
      <w:pPr>
        <w:pStyle w:val="Textkrper-Erstzeileneinzug2"/>
      </w:pPr>
      <w:r>
        <w:t>intends to provide access to the different risks an</w:t>
      </w:r>
      <w:r w:rsidR="00A115D0">
        <w:t>d</w:t>
      </w:r>
      <w:r>
        <w:t xml:space="preserve"> regulatory fields by explaining them in the context of </w:t>
      </w:r>
      <w:hyperlink r:id="rId21" w:history="1">
        <w:r w:rsidR="007A3739" w:rsidRPr="00A766BD">
          <w:rPr>
            <w:rStyle w:val="Hyperlink"/>
          </w:rPr>
          <w:t>Compliance Due Diligences</w:t>
        </w:r>
        <w:r w:rsidR="00995F86" w:rsidRPr="00A766BD">
          <w:rPr>
            <w:rStyle w:val="Hyperlink"/>
          </w:rPr>
          <w:t xml:space="preserve"> and</w:t>
        </w:r>
        <w:r w:rsidR="00545EFE" w:rsidRPr="00A766BD">
          <w:rPr>
            <w:rStyle w:val="Hyperlink"/>
          </w:rPr>
          <w:t xml:space="preserve"> A</w:t>
        </w:r>
        <w:r w:rsidR="00995F86" w:rsidRPr="00A766BD">
          <w:rPr>
            <w:rStyle w:val="Hyperlink"/>
          </w:rPr>
          <w:t>pprovals</w:t>
        </w:r>
      </w:hyperlink>
      <w:r>
        <w:t xml:space="preserve"> a</w:t>
      </w:r>
      <w:r w:rsidR="00BE55A5">
        <w:t>s well as</w:t>
      </w:r>
      <w:r>
        <w:t xml:space="preserve"> </w:t>
      </w:r>
      <w:hyperlink r:id="rId22" w:history="1">
        <w:r w:rsidR="007A3739">
          <w:rPr>
            <w:rStyle w:val="Hyperlink"/>
          </w:rPr>
          <w:t>Compliance in Business Processes and Projects</w:t>
        </w:r>
      </w:hyperlink>
      <w:r>
        <w:t xml:space="preserve">. Also, the integration of compliance aspects into </w:t>
      </w:r>
      <w:hyperlink r:id="rId23" w:history="1">
        <w:r w:rsidR="007A3739">
          <w:rPr>
            <w:rStyle w:val="Hyperlink"/>
          </w:rPr>
          <w:t xml:space="preserve">Mergers &amp; Acquisitions </w:t>
        </w:r>
      </w:hyperlink>
      <w:r>
        <w:t>is covered.</w:t>
      </w:r>
    </w:p>
    <w:p w14:paraId="114A3CFC" w14:textId="63443C2C" w:rsidR="005E0F2B" w:rsidRPr="005E0F2B" w:rsidRDefault="00995F86" w:rsidP="005E0F2B">
      <w:pPr>
        <w:pStyle w:val="HighlightboxGreyBulletpoints"/>
        <w:numPr>
          <w:ilvl w:val="0"/>
          <w:numId w:val="3"/>
        </w:numPr>
        <w:rPr>
          <w:b/>
          <w:sz w:val="20"/>
          <w:szCs w:val="20"/>
        </w:rPr>
      </w:pPr>
      <w:r>
        <w:rPr>
          <w:b/>
          <w:sz w:val="20"/>
          <w:szCs w:val="20"/>
          <w:lang w:val="de-DE"/>
        </w:rPr>
        <w:t xml:space="preserve">Part 3: </w:t>
      </w:r>
      <w:r w:rsidR="005E0F2B" w:rsidRPr="005E0F2B">
        <w:rPr>
          <w:b/>
          <w:sz w:val="20"/>
          <w:szCs w:val="20"/>
        </w:rPr>
        <w:t xml:space="preserve">Compliance </w:t>
      </w:r>
      <w:r w:rsidR="005E0F2B">
        <w:rPr>
          <w:b/>
          <w:sz w:val="20"/>
          <w:szCs w:val="20"/>
        </w:rPr>
        <w:t>internal tasks</w:t>
      </w:r>
    </w:p>
    <w:p w14:paraId="5AB4AB99" w14:textId="77777777" w:rsidR="00AC193D" w:rsidRDefault="00C5207F" w:rsidP="00A20ED1">
      <w:pPr>
        <w:pStyle w:val="Textkrper-Erstzeileneinzug2"/>
      </w:pPr>
      <w:r>
        <w:t xml:space="preserve">addresses the employees of the Compliance </w:t>
      </w:r>
      <w:proofErr w:type="spellStart"/>
      <w:r>
        <w:t>Organisation</w:t>
      </w:r>
      <w:proofErr w:type="spellEnd"/>
      <w:r>
        <w:t xml:space="preserve">. It </w:t>
      </w:r>
      <w:r w:rsidR="00031003">
        <w:t>covers</w:t>
      </w:r>
      <w:r w:rsidR="003E7A06">
        <w:t xml:space="preserve"> the </w:t>
      </w:r>
      <w:r w:rsidR="005E0F2B">
        <w:t>mainly Compliance internal tasks</w:t>
      </w:r>
      <w:r w:rsidR="003E7A06">
        <w:t xml:space="preserve"> of </w:t>
      </w:r>
      <w:hyperlink r:id="rId24" w:history="1">
        <w:r w:rsidR="004C0CC7">
          <w:rPr>
            <w:rStyle w:val="Hyperlink"/>
          </w:rPr>
          <w:t>Communication and Training</w:t>
        </w:r>
      </w:hyperlink>
      <w:r w:rsidR="003E7A06">
        <w:t xml:space="preserve"> as well as </w:t>
      </w:r>
      <w:hyperlink r:id="rId25" w:history="1">
        <w:r w:rsidR="007A3739">
          <w:rPr>
            <w:rStyle w:val="Hyperlink"/>
          </w:rPr>
          <w:t>Risk Management and Reviews</w:t>
        </w:r>
      </w:hyperlink>
      <w:r w:rsidR="00031003">
        <w:t xml:space="preserve"> and </w:t>
      </w:r>
      <w:r w:rsidR="003E7A06">
        <w:t>our detective and responsive processes</w:t>
      </w:r>
      <w:r w:rsidR="00031003">
        <w:t xml:space="preserve"> of </w:t>
      </w:r>
      <w:hyperlink r:id="rId26" w:history="1">
        <w:r w:rsidR="00031003">
          <w:rPr>
            <w:rStyle w:val="Hyperlink"/>
          </w:rPr>
          <w:t>Case Handling, Discipline and Remediation</w:t>
        </w:r>
      </w:hyperlink>
      <w:r w:rsidR="003E7A06">
        <w:t xml:space="preserve">. </w:t>
      </w:r>
    </w:p>
    <w:p w14:paraId="7A31DBB1" w14:textId="77777777" w:rsidR="00AC193D" w:rsidRDefault="003E7A06" w:rsidP="00A20ED1">
      <w:pPr>
        <w:pStyle w:val="Textkrper"/>
      </w:pPr>
      <w:r>
        <w:t xml:space="preserve">Thanks a </w:t>
      </w:r>
      <w:proofErr w:type="gramStart"/>
      <w:r>
        <w:t>lot</w:t>
      </w:r>
      <w:proofErr w:type="gramEnd"/>
      <w:r>
        <w:t xml:space="preserve"> to the </w:t>
      </w:r>
      <w:r w:rsidR="002877DF">
        <w:t>all the stakeholders respo</w:t>
      </w:r>
      <w:r w:rsidR="00EB0C15">
        <w:t xml:space="preserve">nsible for the </w:t>
      </w:r>
      <w:r w:rsidR="002877DF">
        <w:t>content of the different cha</w:t>
      </w:r>
      <w:r w:rsidR="00953B4D">
        <w:t>p</w:t>
      </w:r>
      <w:r w:rsidR="002877DF">
        <w:t xml:space="preserve">ters, to the </w:t>
      </w:r>
      <w:r>
        <w:t>editors a</w:t>
      </w:r>
      <w:r w:rsidR="00247072">
        <w:t>s well as</w:t>
      </w:r>
      <w:r>
        <w:t xml:space="preserve"> Ines Zins and Peter Lohse for putting together this imp</w:t>
      </w:r>
      <w:r w:rsidR="00A115D0">
        <w:t xml:space="preserve">ressive collection of our rules, </w:t>
      </w:r>
      <w:r>
        <w:t>regulations</w:t>
      </w:r>
      <w:r w:rsidR="00953B4D">
        <w:t xml:space="preserve"> and explan</w:t>
      </w:r>
      <w:r w:rsidR="00A115D0">
        <w:t>a</w:t>
      </w:r>
      <w:r w:rsidR="00953B4D">
        <w:t>t</w:t>
      </w:r>
      <w:r w:rsidR="00A115D0">
        <w:t>ions</w:t>
      </w:r>
      <w:r>
        <w:t>.</w:t>
      </w:r>
    </w:p>
    <w:p w14:paraId="12ECE6DE" w14:textId="77777777" w:rsidR="00AC193D" w:rsidRDefault="003E7A06" w:rsidP="00A20ED1">
      <w:pPr>
        <w:pStyle w:val="Textkrper"/>
      </w:pPr>
      <w:r>
        <w:t>Best regards,</w:t>
      </w:r>
    </w:p>
    <w:p w14:paraId="2871D629" w14:textId="77777777" w:rsidR="00AC193D" w:rsidRDefault="00EF308B" w:rsidP="00A20ED1">
      <w:pPr>
        <w:pStyle w:val="Textkrper"/>
      </w:pPr>
      <w:r>
        <w:t>Martina M</w:t>
      </w:r>
      <w:r w:rsidR="00181F74">
        <w:t>a</w:t>
      </w:r>
      <w:r>
        <w:t>ier</w:t>
      </w:r>
      <w:r>
        <w:br/>
      </w:r>
      <w:r w:rsidR="003E7A06">
        <w:t>Chief Compliance Officer</w:t>
      </w:r>
    </w:p>
    <w:p w14:paraId="659C4B9B" w14:textId="37481AA9" w:rsidR="004439DB" w:rsidRDefault="004439DB" w:rsidP="004648F4">
      <w:pPr>
        <w:rPr>
          <w:rFonts w:ascii="MinionPro-Regular" w:hAnsi="MinionPro-Regular" w:cs="MinionPro-Regular"/>
          <w:color w:val="000000"/>
          <w:sz w:val="24"/>
          <w:szCs w:val="24"/>
        </w:rPr>
      </w:pPr>
      <w:r>
        <w:br w:type="page"/>
      </w:r>
    </w:p>
    <w:p w14:paraId="28E12FF5" w14:textId="0D410536" w:rsidR="004439DB" w:rsidRPr="004E5844" w:rsidRDefault="004439DB" w:rsidP="004E5844">
      <w:pPr>
        <w:pStyle w:val="berschrift1"/>
        <w:spacing w:before="360" w:after="120"/>
        <w:rPr>
          <w:sz w:val="52"/>
        </w:rPr>
      </w:pPr>
      <w:r w:rsidRPr="004E5844">
        <w:rPr>
          <w:sz w:val="52"/>
        </w:rPr>
        <w:lastRenderedPageBreak/>
        <w:t xml:space="preserve">1. </w:t>
      </w:r>
      <w:r w:rsidR="00861860">
        <w:rPr>
          <w:sz w:val="52"/>
        </w:rPr>
        <w:t>Legal basis and r</w:t>
      </w:r>
      <w:r w:rsidRPr="004E5844">
        <w:rPr>
          <w:sz w:val="52"/>
        </w:rPr>
        <w:t>egulatory Landscape</w:t>
      </w:r>
    </w:p>
    <w:p w14:paraId="03967D7C" w14:textId="22357224" w:rsidR="006B3AB1" w:rsidRPr="006B3AB1" w:rsidRDefault="006B3AB1" w:rsidP="006B3AB1">
      <w:pPr>
        <w:pStyle w:val="Untertitel"/>
      </w:pPr>
      <w:r w:rsidRPr="006B3AB1">
        <w:t>Legal basis</w:t>
      </w:r>
    </w:p>
    <w:p w14:paraId="2EEC70EE" w14:textId="77777777" w:rsidR="00041668" w:rsidRPr="00041668" w:rsidRDefault="00041668" w:rsidP="00041668">
      <w:pPr>
        <w:pStyle w:val="scfbrieftext"/>
        <w:widowControl w:val="0"/>
        <w:spacing w:before="120" w:after="120"/>
        <w:jc w:val="both"/>
        <w:rPr>
          <w:bCs/>
          <w:color w:val="000000"/>
        </w:rPr>
      </w:pPr>
      <w:r w:rsidRPr="00041668">
        <w:rPr>
          <w:bCs/>
          <w:color w:val="000000"/>
        </w:rPr>
        <w:t xml:space="preserve">As a globally active company, Siemens must comply with </w:t>
      </w:r>
      <w:proofErr w:type="gramStart"/>
      <w:r w:rsidRPr="00041668">
        <w:rPr>
          <w:bCs/>
          <w:color w:val="000000"/>
        </w:rPr>
        <w:t>a large number of</w:t>
      </w:r>
      <w:proofErr w:type="gramEnd"/>
      <w:r w:rsidRPr="00041668">
        <w:rPr>
          <w:bCs/>
          <w:color w:val="000000"/>
        </w:rPr>
        <w:t xml:space="preserve"> laws and other regulations in its markets. This is accompanied by just as many criminal and other liability risks and legal disadvantages for the company, its </w:t>
      </w:r>
      <w:proofErr w:type="gramStart"/>
      <w:r w:rsidRPr="00041668">
        <w:rPr>
          <w:bCs/>
          <w:color w:val="000000"/>
        </w:rPr>
        <w:t>employees</w:t>
      </w:r>
      <w:proofErr w:type="gramEnd"/>
      <w:r w:rsidRPr="00041668">
        <w:rPr>
          <w:bCs/>
          <w:color w:val="000000"/>
        </w:rPr>
        <w:t xml:space="preserve"> and its management at all levels of the company. Accordingly, the requirements for compliance at Siemens are complex. The aim is to provide reliable protection against these risks - and at the same time protect against damage to the reputation and business success of Siemens that could result from compliance violations within the company.</w:t>
      </w:r>
    </w:p>
    <w:p w14:paraId="3FB5307B" w14:textId="77777777" w:rsidR="00041668" w:rsidRPr="00041668" w:rsidRDefault="00041668" w:rsidP="00041668">
      <w:pPr>
        <w:pStyle w:val="scfbrieftext"/>
        <w:widowControl w:val="0"/>
        <w:spacing w:before="120" w:after="120"/>
        <w:jc w:val="both"/>
        <w:rPr>
          <w:bCs/>
          <w:color w:val="000000"/>
        </w:rPr>
      </w:pPr>
      <w:r w:rsidRPr="00041668">
        <w:rPr>
          <w:bCs/>
          <w:color w:val="000000"/>
        </w:rPr>
        <w:t>Initially, the legislation of the European Union, for example, on competition law, data protection or export controls, is decisive for compliance.</w:t>
      </w:r>
    </w:p>
    <w:p w14:paraId="2511A63E" w14:textId="77777777" w:rsidR="00041668" w:rsidRPr="00041668" w:rsidRDefault="00041668" w:rsidP="00041668">
      <w:pPr>
        <w:pStyle w:val="scfbrieftext"/>
        <w:widowControl w:val="0"/>
        <w:spacing w:before="120" w:after="120"/>
        <w:jc w:val="both"/>
        <w:rPr>
          <w:bCs/>
          <w:color w:val="000000"/>
        </w:rPr>
      </w:pPr>
      <w:r w:rsidRPr="00041668">
        <w:rPr>
          <w:bCs/>
          <w:color w:val="000000"/>
        </w:rPr>
        <w:t>Important national laws such as the U.S. Foreign Corrupt Practices Act and the Bribery Act of the United Kingdom, for example, prohibit corruption and bribery. Both also affect business activities outside of both countries to a considerable extent. In addition, there are numerous other national laws around the world prohibiting corruption and bribery and on other topics such as the prohibition of money laundering and the financing of terrorism, violations of competition law, data protection and export controls, as well as official regulations, particularly on export controls.</w:t>
      </w:r>
    </w:p>
    <w:p w14:paraId="31235DE9" w14:textId="77777777" w:rsidR="00041668" w:rsidRPr="00041668" w:rsidRDefault="00041668" w:rsidP="00041668">
      <w:pPr>
        <w:pStyle w:val="scfbrieftext"/>
        <w:widowControl w:val="0"/>
        <w:spacing w:before="120" w:after="120"/>
        <w:jc w:val="both"/>
        <w:rPr>
          <w:bCs/>
          <w:color w:val="000000"/>
        </w:rPr>
      </w:pPr>
      <w:r w:rsidRPr="00041668">
        <w:rPr>
          <w:bCs/>
          <w:color w:val="000000"/>
        </w:rPr>
        <w:t xml:space="preserve">These laws and regulations are subject to constant change, especially </w:t>
      </w:r>
      <w:proofErr w:type="gramStart"/>
      <w:r w:rsidRPr="00041668">
        <w:rPr>
          <w:bCs/>
          <w:color w:val="000000"/>
        </w:rPr>
        <w:t>with regard to</w:t>
      </w:r>
      <w:proofErr w:type="gramEnd"/>
      <w:r w:rsidRPr="00041668">
        <w:rPr>
          <w:bCs/>
          <w:color w:val="000000"/>
        </w:rPr>
        <w:t xml:space="preserve"> export controls. Overall, a tendency towards increased regulation can be observed. For example, in important markets of our company, the legal regulations, for example on the prohibition of corruption, have been tightened and there are also clear signs that state and international institutions are paying more attention to the enforcement of the relevant legal provisions. The guidelines and recommendations of national authorities - such as the U.S. Department of Justice, the French </w:t>
      </w:r>
      <w:proofErr w:type="spellStart"/>
      <w:r w:rsidRPr="00041668">
        <w:rPr>
          <w:bCs/>
          <w:color w:val="000000"/>
        </w:rPr>
        <w:t>Agence</w:t>
      </w:r>
      <w:proofErr w:type="spellEnd"/>
      <w:r w:rsidRPr="00041668">
        <w:rPr>
          <w:bCs/>
          <w:color w:val="000000"/>
        </w:rPr>
        <w:t xml:space="preserve"> </w:t>
      </w:r>
      <w:proofErr w:type="spellStart"/>
      <w:r w:rsidRPr="00041668">
        <w:rPr>
          <w:bCs/>
          <w:color w:val="000000"/>
        </w:rPr>
        <w:t>Francaise</w:t>
      </w:r>
      <w:proofErr w:type="spellEnd"/>
      <w:r w:rsidRPr="00041668">
        <w:rPr>
          <w:bCs/>
          <w:color w:val="000000"/>
        </w:rPr>
        <w:t xml:space="preserve"> Anticorruption (AFA) or the Serious Fraud Office (SFO) of the United Kingdom - play an important role in this regard, but at the same time they provide companies with essential guidance on how to adequately structure their compliance with regard to the fulfillment of legal due diligence requirements.</w:t>
      </w:r>
    </w:p>
    <w:p w14:paraId="34D66EC4" w14:textId="77777777" w:rsidR="00041668" w:rsidRPr="00041668" w:rsidRDefault="00041668" w:rsidP="00041668">
      <w:pPr>
        <w:pStyle w:val="scfbrieftext"/>
        <w:widowControl w:val="0"/>
        <w:spacing w:before="120" w:after="120"/>
        <w:jc w:val="both"/>
        <w:rPr>
          <w:bCs/>
          <w:color w:val="000000"/>
        </w:rPr>
      </w:pPr>
      <w:r w:rsidRPr="00041668">
        <w:rPr>
          <w:bCs/>
          <w:color w:val="000000"/>
        </w:rPr>
        <w:t xml:space="preserve">Finally, there are the agreements and recommendations of international organizations such as the UN Convention against Corruption and the OECD Convention on the Prohibition of Bribery of Foreign Public Officials, as well as international standards such as DIN ISO 37001 or DIN ISO 19600. </w:t>
      </w:r>
    </w:p>
    <w:p w14:paraId="3E12C98B" w14:textId="546428F3" w:rsidR="004439DB" w:rsidRDefault="006B3AB1" w:rsidP="004439DB">
      <w:pPr>
        <w:pStyle w:val="Untertitel"/>
      </w:pPr>
      <w:r>
        <w:t>Regulatory Landscape</w:t>
      </w:r>
    </w:p>
    <w:p w14:paraId="58912DA8" w14:textId="77777777" w:rsidR="006B3AB1" w:rsidRPr="004D59EB" w:rsidRDefault="006B3AB1" w:rsidP="006B3AB1">
      <w:pPr>
        <w:pStyle w:val="scfbrieftext"/>
        <w:widowControl w:val="0"/>
        <w:spacing w:before="120" w:after="120"/>
        <w:jc w:val="both"/>
        <w:rPr>
          <w:rStyle w:val="Fett"/>
          <w:b w:val="0"/>
          <w:color w:val="000000"/>
        </w:rPr>
      </w:pPr>
      <w:r w:rsidRPr="004D59EB">
        <w:rPr>
          <w:bCs/>
          <w:color w:val="000000"/>
        </w:rPr>
        <w:t xml:space="preserve">The </w:t>
      </w:r>
      <w:hyperlink r:id="rId27" w:history="1">
        <w:r w:rsidRPr="004D59EB">
          <w:rPr>
            <w:rStyle w:val="Hyperlink"/>
            <w:rFonts w:eastAsiaTheme="majorEastAsia"/>
          </w:rPr>
          <w:t>Compliance Organization</w:t>
        </w:r>
      </w:hyperlink>
      <w:r w:rsidRPr="004D59EB">
        <w:rPr>
          <w:rStyle w:val="Hyperlink"/>
          <w:rFonts w:eastAsiaTheme="majorEastAsia"/>
        </w:rPr>
        <w:t xml:space="preserve"> (LC CO) </w:t>
      </w:r>
      <w:r w:rsidRPr="004D59EB">
        <w:rPr>
          <w:bCs/>
          <w:color w:val="000000"/>
        </w:rPr>
        <w:t>has governance responsibility for the implementation of the Siemens Compliance System in the Company Units. It is responsible for the legal risk areas of anti-corruption, antitrust</w:t>
      </w:r>
      <w:r w:rsidRPr="004D59EB">
        <w:rPr>
          <w:rStyle w:val="Funotenzeichen"/>
          <w:bCs/>
          <w:color w:val="000000"/>
        </w:rPr>
        <w:footnoteReference w:id="2"/>
      </w:r>
      <w:r w:rsidRPr="004D59EB">
        <w:rPr>
          <w:bCs/>
          <w:color w:val="000000"/>
        </w:rPr>
        <w:t>, data privacy, anti-money laundering, export control and human rights</w:t>
      </w:r>
      <w:r>
        <w:rPr>
          <w:rStyle w:val="Funotenzeichen"/>
          <w:bCs/>
          <w:color w:val="000000"/>
        </w:rPr>
        <w:footnoteReference w:id="3"/>
      </w:r>
      <w:r w:rsidRPr="004D59EB">
        <w:rPr>
          <w:bCs/>
          <w:color w:val="000000"/>
        </w:rPr>
        <w:t xml:space="preserve">. These risks are covered by our Activity Fields including Collective Action and the approach of </w:t>
      </w:r>
      <w:r>
        <w:rPr>
          <w:bCs/>
          <w:color w:val="000000"/>
        </w:rPr>
        <w:t>“P</w:t>
      </w:r>
      <w:r w:rsidRPr="004D59EB">
        <w:rPr>
          <w:bCs/>
          <w:color w:val="000000"/>
        </w:rPr>
        <w:t xml:space="preserve">revent, </w:t>
      </w:r>
      <w:r>
        <w:rPr>
          <w:bCs/>
          <w:color w:val="000000"/>
        </w:rPr>
        <w:t>D</w:t>
      </w:r>
      <w:r w:rsidRPr="004D59EB">
        <w:rPr>
          <w:bCs/>
          <w:color w:val="000000"/>
        </w:rPr>
        <w:t xml:space="preserve">etect and </w:t>
      </w:r>
      <w:r>
        <w:rPr>
          <w:bCs/>
          <w:color w:val="000000"/>
        </w:rPr>
        <w:t>R</w:t>
      </w:r>
      <w:r w:rsidRPr="004D59EB">
        <w:rPr>
          <w:bCs/>
          <w:color w:val="000000"/>
        </w:rPr>
        <w:t>espond</w:t>
      </w:r>
      <w:r>
        <w:rPr>
          <w:bCs/>
          <w:color w:val="000000"/>
        </w:rPr>
        <w:t>”</w:t>
      </w:r>
      <w:r w:rsidRPr="004D59EB">
        <w:rPr>
          <w:bCs/>
          <w:color w:val="000000"/>
        </w:rPr>
        <w:t>.</w:t>
      </w:r>
    </w:p>
    <w:p w14:paraId="54915B73" w14:textId="77777777" w:rsidR="006B3AB1" w:rsidRPr="004D59EB" w:rsidRDefault="006B3AB1" w:rsidP="006B3AB1">
      <w:pPr>
        <w:pStyle w:val="scfbrieftext"/>
        <w:widowControl w:val="0"/>
        <w:spacing w:before="120" w:after="120"/>
        <w:jc w:val="both"/>
        <w:rPr>
          <w:rFonts w:cs="Arial"/>
          <w:color w:val="000000"/>
        </w:rPr>
      </w:pPr>
      <w:r w:rsidRPr="004D59EB">
        <w:rPr>
          <w:rFonts w:cs="Arial"/>
          <w:color w:val="000000"/>
        </w:rPr>
        <w:lastRenderedPageBreak/>
        <w:t xml:space="preserve">The Compliance System of the Company Units is based on a comprehensive set of rules and regulations. </w:t>
      </w:r>
    </w:p>
    <w:p w14:paraId="676E2750" w14:textId="6897DCD9" w:rsidR="006B3AB1" w:rsidRPr="004D59EB" w:rsidRDefault="006B3AB1" w:rsidP="006B3AB1">
      <w:pPr>
        <w:pStyle w:val="scfbrieftext"/>
        <w:widowControl w:val="0"/>
        <w:spacing w:before="120" w:after="120"/>
        <w:jc w:val="both"/>
        <w:rPr>
          <w:color w:val="000000"/>
        </w:rPr>
      </w:pPr>
      <w:r w:rsidRPr="000F7180">
        <w:rPr>
          <w:color w:val="000000"/>
        </w:rPr>
        <w:t xml:space="preserve">The following regulations </w:t>
      </w:r>
      <w:r>
        <w:rPr>
          <w:color w:val="000000"/>
        </w:rPr>
        <w:t>contain</w:t>
      </w:r>
      <w:r w:rsidRPr="000F7180">
        <w:rPr>
          <w:color w:val="000000"/>
        </w:rPr>
        <w:t xml:space="preserve"> </w:t>
      </w:r>
      <w:r w:rsidR="00AC193D">
        <w:rPr>
          <w:color w:val="000000"/>
        </w:rPr>
        <w:t>“</w:t>
      </w:r>
      <w:r w:rsidRPr="000F7180">
        <w:rPr>
          <w:color w:val="000000"/>
        </w:rPr>
        <w:t>What</w:t>
      </w:r>
      <w:r w:rsidR="00AC193D">
        <w:rPr>
          <w:color w:val="000000"/>
        </w:rPr>
        <w:t>”</w:t>
      </w:r>
      <w:r w:rsidRPr="000F7180">
        <w:rPr>
          <w:color w:val="000000"/>
        </w:rPr>
        <w:t xml:space="preserve"> is expected of employees in the context of compliance obligations</w:t>
      </w:r>
      <w:r w:rsidRPr="004D59EB">
        <w:rPr>
          <w:color w:val="000000"/>
        </w:rPr>
        <w:t>:</w:t>
      </w:r>
    </w:p>
    <w:p w14:paraId="07E70E6B" w14:textId="77777777" w:rsidR="006B3AB1" w:rsidRPr="006B3AB1" w:rsidRDefault="006B3AB1" w:rsidP="006B3AB1">
      <w:pPr>
        <w:pStyle w:val="scfbrieftext"/>
        <w:widowControl w:val="0"/>
        <w:numPr>
          <w:ilvl w:val="0"/>
          <w:numId w:val="27"/>
        </w:numPr>
        <w:spacing w:before="120" w:after="120"/>
        <w:jc w:val="both"/>
        <w:rPr>
          <w:color w:val="000000"/>
        </w:rPr>
      </w:pPr>
      <w:r w:rsidRPr="004D59EB">
        <w:rPr>
          <w:color w:val="000000"/>
        </w:rPr>
        <w:t xml:space="preserve">The </w:t>
      </w:r>
      <w:hyperlink r:id="rId28" w:history="1">
        <w:r w:rsidRPr="004D59EB">
          <w:rPr>
            <w:rStyle w:val="Hyperlink"/>
            <w:rFonts w:eastAsiaTheme="majorEastAsia"/>
          </w:rPr>
          <w:t>Siemens Business Conduct Guidelines (BCG)</w:t>
        </w:r>
      </w:hyperlink>
      <w:r w:rsidRPr="004D59EB">
        <w:rPr>
          <w:color w:val="000000"/>
        </w:rPr>
        <w:t xml:space="preserve"> set forth the fundamental principles and rules governing how we act within </w:t>
      </w:r>
      <w:r w:rsidRPr="004D59EB">
        <w:rPr>
          <w:rFonts w:cs="Arial"/>
          <w:color w:val="000000"/>
        </w:rPr>
        <w:t xml:space="preserve">the Company Units </w:t>
      </w:r>
      <w:r w:rsidRPr="004D59EB">
        <w:rPr>
          <w:color w:val="000000"/>
        </w:rPr>
        <w:t xml:space="preserve">and in relation to our customers, external partners and the </w:t>
      </w:r>
      <w:r w:rsidRPr="006B3AB1">
        <w:rPr>
          <w:color w:val="000000"/>
        </w:rPr>
        <w:t xml:space="preserve">general public. </w:t>
      </w:r>
    </w:p>
    <w:p w14:paraId="75FE9B65" w14:textId="7046A1C7" w:rsidR="00715299" w:rsidRDefault="006B3AB1" w:rsidP="003F0C7F">
      <w:pPr>
        <w:pStyle w:val="scfbrieftext"/>
        <w:widowControl w:val="0"/>
        <w:numPr>
          <w:ilvl w:val="0"/>
          <w:numId w:val="27"/>
        </w:numPr>
        <w:spacing w:before="120" w:after="120"/>
        <w:jc w:val="both"/>
        <w:rPr>
          <w:color w:val="000000"/>
          <w:lang w:val="de-DE"/>
        </w:rPr>
      </w:pPr>
      <w:r w:rsidRPr="006B3AB1">
        <w:rPr>
          <w:color w:val="000000"/>
        </w:rPr>
        <w:t xml:space="preserve">The </w:t>
      </w:r>
      <w:hyperlink r:id="rId29" w:history="1">
        <w:r w:rsidRPr="006B3AB1">
          <w:rPr>
            <w:rStyle w:val="Hyperlink"/>
          </w:rPr>
          <w:t>Siemens Circular (SC 226)</w:t>
        </w:r>
      </w:hyperlink>
      <w:r w:rsidRPr="004D59EB">
        <w:rPr>
          <w:color w:val="000000"/>
        </w:rPr>
        <w:t xml:space="preserve"> sets forth the obligations for all employees of Siemens and respective controls to ensure the implementation of the Siemens Compliance System.</w:t>
      </w:r>
      <w:r w:rsidR="00715299" w:rsidRPr="003F0C7F">
        <w:rPr>
          <w:color w:val="000000"/>
        </w:rPr>
        <w:t xml:space="preserve"> </w:t>
      </w:r>
      <w:r w:rsidR="00715299">
        <w:rPr>
          <w:color w:val="000000"/>
        </w:rPr>
        <w:br/>
      </w:r>
      <w:r w:rsidR="00715299">
        <w:rPr>
          <w:color w:val="000000"/>
        </w:rPr>
        <w:br/>
      </w:r>
      <w:r w:rsidR="00715299">
        <w:rPr>
          <w:color w:val="000000"/>
          <w:lang w:val="de-DE"/>
        </w:rPr>
        <w:t xml:space="preserve">SC 226 </w:t>
      </w:r>
      <w:proofErr w:type="spellStart"/>
      <w:r w:rsidR="00715299">
        <w:rPr>
          <w:color w:val="000000"/>
          <w:lang w:val="de-DE"/>
        </w:rPr>
        <w:t>is</w:t>
      </w:r>
      <w:proofErr w:type="spellEnd"/>
      <w:r w:rsidR="00715299">
        <w:rPr>
          <w:color w:val="000000"/>
          <w:lang w:val="de-DE"/>
        </w:rPr>
        <w:t xml:space="preserve"> </w:t>
      </w:r>
      <w:proofErr w:type="spellStart"/>
      <w:r w:rsidR="00715299">
        <w:rPr>
          <w:color w:val="000000"/>
          <w:lang w:val="de-DE"/>
        </w:rPr>
        <w:t>available</w:t>
      </w:r>
      <w:proofErr w:type="spellEnd"/>
      <w:r w:rsidR="00715299">
        <w:rPr>
          <w:color w:val="000000"/>
          <w:lang w:val="de-DE"/>
        </w:rPr>
        <w:t xml:space="preserve"> in different </w:t>
      </w:r>
      <w:proofErr w:type="spellStart"/>
      <w:r w:rsidR="00715299">
        <w:rPr>
          <w:color w:val="000000"/>
          <w:lang w:val="de-DE"/>
        </w:rPr>
        <w:t>languages</w:t>
      </w:r>
      <w:proofErr w:type="spellEnd"/>
      <w:r w:rsidR="00715299">
        <w:rPr>
          <w:color w:val="000000"/>
          <w:lang w:val="de-DE"/>
        </w:rPr>
        <w:t>:</w:t>
      </w:r>
    </w:p>
    <w:tbl>
      <w:tblPr>
        <w:tblStyle w:val="Invisible"/>
        <w:tblW w:w="6440" w:type="dxa"/>
        <w:tblInd w:w="709" w:type="dxa"/>
        <w:tblLook w:val="04A0" w:firstRow="1" w:lastRow="0" w:firstColumn="1" w:lastColumn="0" w:noHBand="0" w:noVBand="1"/>
      </w:tblPr>
      <w:tblGrid>
        <w:gridCol w:w="2552"/>
        <w:gridCol w:w="3888"/>
      </w:tblGrid>
      <w:tr w:rsidR="00715299" w14:paraId="7EBFC30F" w14:textId="77777777" w:rsidTr="00715299">
        <w:tc>
          <w:tcPr>
            <w:tcW w:w="2552" w:type="dxa"/>
            <w:hideMark/>
          </w:tcPr>
          <w:p w14:paraId="439C58DE" w14:textId="1AE071A6" w:rsidR="00715299" w:rsidRDefault="00911327">
            <w:pPr>
              <w:pStyle w:val="scfbrieftext"/>
              <w:widowControl w:val="0"/>
              <w:spacing w:before="120" w:after="120" w:line="240" w:lineRule="auto"/>
              <w:ind w:left="4"/>
              <w:jc w:val="both"/>
              <w:rPr>
                <w:color w:val="000000"/>
                <w:lang w:val="de-DE" w:eastAsia="en-US"/>
              </w:rPr>
            </w:pPr>
            <w:hyperlink r:id="rId30" w:history="1">
              <w:r w:rsidR="00715299" w:rsidRPr="00D0291A">
                <w:rPr>
                  <w:rStyle w:val="Hyperlink"/>
                  <w:lang w:val="de-DE" w:eastAsia="en-US"/>
                </w:rPr>
                <w:t>German</w:t>
              </w:r>
            </w:hyperlink>
          </w:p>
        </w:tc>
        <w:tc>
          <w:tcPr>
            <w:tcW w:w="3888" w:type="dxa"/>
            <w:hideMark/>
          </w:tcPr>
          <w:p w14:paraId="600A1B22" w14:textId="151DA40C" w:rsidR="00715299" w:rsidRDefault="00911327">
            <w:pPr>
              <w:pStyle w:val="scfbrieftext"/>
              <w:widowControl w:val="0"/>
              <w:spacing w:before="120" w:after="120" w:line="240" w:lineRule="auto"/>
              <w:jc w:val="both"/>
              <w:rPr>
                <w:color w:val="000000"/>
                <w:lang w:val="de-DE" w:eastAsia="en-US"/>
              </w:rPr>
            </w:pPr>
            <w:hyperlink r:id="rId31" w:history="1">
              <w:r w:rsidR="00715299" w:rsidRPr="002E25FD">
                <w:rPr>
                  <w:rStyle w:val="Hyperlink"/>
                  <w:lang w:val="de-DE" w:eastAsia="en-US"/>
                </w:rPr>
                <w:t>Chinese</w:t>
              </w:r>
            </w:hyperlink>
          </w:p>
        </w:tc>
      </w:tr>
      <w:tr w:rsidR="00715299" w14:paraId="78B3FE7E" w14:textId="77777777" w:rsidTr="00715299">
        <w:tc>
          <w:tcPr>
            <w:tcW w:w="2552" w:type="dxa"/>
            <w:hideMark/>
          </w:tcPr>
          <w:p w14:paraId="1DAB233E" w14:textId="11DB08DA" w:rsidR="00715299" w:rsidRDefault="00911327">
            <w:pPr>
              <w:pStyle w:val="scfbrieftext"/>
              <w:widowControl w:val="0"/>
              <w:spacing w:before="120" w:after="120" w:line="240" w:lineRule="auto"/>
              <w:ind w:left="4"/>
              <w:jc w:val="both"/>
              <w:rPr>
                <w:color w:val="000000"/>
                <w:lang w:val="de-DE" w:eastAsia="en-US"/>
              </w:rPr>
            </w:pPr>
            <w:hyperlink r:id="rId32" w:history="1">
              <w:r w:rsidR="00715299" w:rsidRPr="00D0291A">
                <w:rPr>
                  <w:rStyle w:val="Hyperlink"/>
                  <w:lang w:val="de-DE" w:eastAsia="en-US"/>
                </w:rPr>
                <w:t>French</w:t>
              </w:r>
            </w:hyperlink>
          </w:p>
        </w:tc>
        <w:tc>
          <w:tcPr>
            <w:tcW w:w="3888" w:type="dxa"/>
            <w:hideMark/>
          </w:tcPr>
          <w:p w14:paraId="4973C0B0" w14:textId="2BD74992" w:rsidR="00715299" w:rsidRDefault="00911327">
            <w:pPr>
              <w:pStyle w:val="scfbrieftext"/>
              <w:widowControl w:val="0"/>
              <w:spacing w:before="120" w:after="120" w:line="240" w:lineRule="auto"/>
              <w:jc w:val="both"/>
              <w:rPr>
                <w:color w:val="000000"/>
                <w:lang w:val="de-DE" w:eastAsia="en-US"/>
              </w:rPr>
            </w:pPr>
            <w:hyperlink r:id="rId33" w:history="1">
              <w:proofErr w:type="spellStart"/>
              <w:r w:rsidR="00715299" w:rsidRPr="00D0291A">
                <w:rPr>
                  <w:rStyle w:val="Hyperlink"/>
                  <w:lang w:val="de-DE" w:eastAsia="en-US"/>
                </w:rPr>
                <w:t>Belgian</w:t>
              </w:r>
              <w:proofErr w:type="spellEnd"/>
              <w:r w:rsidR="00D0291A" w:rsidRPr="00D0291A">
                <w:rPr>
                  <w:rStyle w:val="Hyperlink"/>
                  <w:lang w:val="de-DE" w:eastAsia="en-US"/>
                </w:rPr>
                <w:t xml:space="preserve"> / </w:t>
              </w:r>
              <w:proofErr w:type="spellStart"/>
              <w:r w:rsidR="00D0291A" w:rsidRPr="00D0291A">
                <w:rPr>
                  <w:rStyle w:val="Hyperlink"/>
                  <w:lang w:val="de-DE" w:eastAsia="en-US"/>
                </w:rPr>
                <w:t>Dutch</w:t>
              </w:r>
              <w:proofErr w:type="spellEnd"/>
            </w:hyperlink>
          </w:p>
        </w:tc>
      </w:tr>
      <w:tr w:rsidR="00715299" w14:paraId="4FA43122" w14:textId="77777777" w:rsidTr="00715299">
        <w:tc>
          <w:tcPr>
            <w:tcW w:w="2552" w:type="dxa"/>
            <w:hideMark/>
          </w:tcPr>
          <w:p w14:paraId="2C3730D2" w14:textId="5C6683FA" w:rsidR="00715299" w:rsidRDefault="00715299">
            <w:pPr>
              <w:pStyle w:val="scfbrieftext"/>
              <w:widowControl w:val="0"/>
              <w:spacing w:before="120" w:after="120" w:line="240" w:lineRule="auto"/>
              <w:ind w:left="4"/>
              <w:jc w:val="both"/>
              <w:rPr>
                <w:color w:val="000000"/>
                <w:lang w:val="de-DE" w:eastAsia="en-US"/>
              </w:rPr>
            </w:pPr>
            <w:proofErr w:type="spellStart"/>
            <w:r>
              <w:rPr>
                <w:color w:val="000000"/>
                <w:lang w:val="de-DE" w:eastAsia="en-US"/>
              </w:rPr>
              <w:t>Spanish</w:t>
            </w:r>
            <w:proofErr w:type="spellEnd"/>
          </w:p>
        </w:tc>
        <w:tc>
          <w:tcPr>
            <w:tcW w:w="3888" w:type="dxa"/>
          </w:tcPr>
          <w:p w14:paraId="5C58A44E" w14:textId="77777777" w:rsidR="00715299" w:rsidRDefault="00715299">
            <w:pPr>
              <w:pStyle w:val="scfbrieftext"/>
              <w:widowControl w:val="0"/>
              <w:spacing w:before="120" w:after="120" w:line="240" w:lineRule="auto"/>
              <w:jc w:val="both"/>
              <w:rPr>
                <w:color w:val="000000"/>
                <w:lang w:val="de-DE" w:eastAsia="en-US"/>
              </w:rPr>
            </w:pPr>
          </w:p>
        </w:tc>
      </w:tr>
    </w:tbl>
    <w:p w14:paraId="68FDB54C" w14:textId="77777777" w:rsidR="00715299" w:rsidRDefault="00715299" w:rsidP="00715299">
      <w:pPr>
        <w:pStyle w:val="scfbrieftext"/>
        <w:widowControl w:val="0"/>
        <w:spacing w:before="120" w:after="120"/>
        <w:ind w:left="720"/>
        <w:jc w:val="both"/>
        <w:rPr>
          <w:color w:val="000000"/>
          <w:lang w:val="de-DE"/>
        </w:rPr>
      </w:pPr>
    </w:p>
    <w:p w14:paraId="74E4A9FC" w14:textId="77777777" w:rsidR="006B3AB1" w:rsidRDefault="006B3AB1" w:rsidP="006B3AB1">
      <w:pPr>
        <w:pStyle w:val="scfbrieftext"/>
        <w:spacing w:before="120" w:after="120"/>
        <w:jc w:val="both"/>
        <w:rPr>
          <w:bCs/>
          <w:color w:val="000000"/>
        </w:rPr>
      </w:pPr>
      <w:r w:rsidRPr="004D59EB">
        <w:rPr>
          <w:bCs/>
          <w:color w:val="000000"/>
        </w:rPr>
        <w:t>The following regulations contain detailed guidance on “How” to perform the individual obligation</w:t>
      </w:r>
      <w:r>
        <w:rPr>
          <w:bCs/>
          <w:color w:val="000000"/>
        </w:rPr>
        <w:t>s</w:t>
      </w:r>
      <w:r w:rsidRPr="004D59EB">
        <w:rPr>
          <w:bCs/>
          <w:color w:val="000000"/>
        </w:rPr>
        <w:t xml:space="preserve"> anchored in the BCG and SC 226:</w:t>
      </w:r>
    </w:p>
    <w:p w14:paraId="035A0EFA" w14:textId="77777777" w:rsidR="006B3AB1" w:rsidRPr="006B3AB1" w:rsidRDefault="006B3AB1" w:rsidP="006B3AB1">
      <w:pPr>
        <w:pStyle w:val="scfbrieftext"/>
        <w:numPr>
          <w:ilvl w:val="0"/>
          <w:numId w:val="28"/>
        </w:numPr>
        <w:spacing w:before="120" w:after="120"/>
        <w:jc w:val="both"/>
        <w:rPr>
          <w:rStyle w:val="Fett"/>
          <w:b w:val="0"/>
          <w:bCs w:val="0"/>
          <w:color w:val="000000"/>
        </w:rPr>
      </w:pPr>
      <w:r w:rsidRPr="006B3AB1">
        <w:rPr>
          <w:rStyle w:val="Fett"/>
          <w:b w:val="0"/>
          <w:bCs w:val="0"/>
          <w:color w:val="000000"/>
        </w:rPr>
        <w:t>The</w:t>
      </w:r>
      <w:r w:rsidRPr="006B3AB1">
        <w:rPr>
          <w:rStyle w:val="Hyperlink"/>
          <w:rFonts w:eastAsiaTheme="majorEastAsia"/>
        </w:rPr>
        <w:t xml:space="preserve"> </w:t>
      </w:r>
      <w:hyperlink r:id="rId34" w:history="1">
        <w:r w:rsidRPr="006B3AB1">
          <w:rPr>
            <w:rStyle w:val="Hyperlink"/>
            <w:rFonts w:eastAsiaTheme="majorEastAsia" w:cs="Arial"/>
          </w:rPr>
          <w:t>Compliance Handbook</w:t>
        </w:r>
      </w:hyperlink>
      <w:r w:rsidRPr="006B3AB1">
        <w:rPr>
          <w:rFonts w:cs="Arial"/>
          <w:color w:val="000000"/>
        </w:rPr>
        <w:t xml:space="preserve"> </w:t>
      </w:r>
      <w:r w:rsidRPr="006B3AB1">
        <w:rPr>
          <w:rFonts w:cs="Arial"/>
        </w:rPr>
        <w:t xml:space="preserve">and the </w:t>
      </w:r>
      <w:r w:rsidRPr="006B3AB1">
        <w:fldChar w:fldCharType="begin"/>
      </w:r>
      <w:r w:rsidRPr="006B3AB1">
        <w:instrText>HYPERLINK "http://intranet.siemens.com/ex/icp/en"</w:instrText>
      </w:r>
      <w:r w:rsidRPr="006B3AB1">
        <w:fldChar w:fldCharType="separate"/>
      </w:r>
      <w:r w:rsidRPr="006B3AB1">
        <w:rPr>
          <w:rStyle w:val="Hyperlink"/>
          <w:rFonts w:eastAsiaTheme="majorEastAsia"/>
        </w:rPr>
        <w:t>Internal Control Program Export Control (ICP EX)</w:t>
      </w:r>
      <w:r w:rsidRPr="006B3AB1">
        <w:rPr>
          <w:rStyle w:val="Fett"/>
          <w:b w:val="0"/>
          <w:bCs w:val="0"/>
          <w:color w:val="000000"/>
        </w:rPr>
        <w:t xml:space="preserve"> set forth topic-specific working instructions with respect to compliance processes and tools as well as additional guidance and supporting information.</w:t>
      </w:r>
    </w:p>
    <w:p w14:paraId="30FD4BFC" w14:textId="77777777" w:rsidR="006B3AB1" w:rsidRPr="004D59EB" w:rsidRDefault="006B3AB1" w:rsidP="006B3AB1">
      <w:pPr>
        <w:pStyle w:val="scfbrieftext"/>
        <w:spacing w:before="120" w:after="120"/>
        <w:jc w:val="both"/>
        <w:rPr>
          <w:rStyle w:val="Fett"/>
          <w:b w:val="0"/>
          <w:color w:val="000000"/>
        </w:rPr>
      </w:pPr>
      <w:r w:rsidRPr="006B3AB1">
        <w:fldChar w:fldCharType="end"/>
      </w:r>
      <w:r w:rsidRPr="004D59EB">
        <w:rPr>
          <w:rFonts w:cs="Arial"/>
        </w:rPr>
        <w:t xml:space="preserve">The </w:t>
      </w:r>
      <w:hyperlink r:id="rId35" w:anchor="/c/ykgeor" w:history="1">
        <w:r w:rsidRPr="004D59EB">
          <w:rPr>
            <w:rStyle w:val="Hyperlink"/>
            <w:rFonts w:eastAsiaTheme="majorEastAsia" w:cs="Arial"/>
          </w:rPr>
          <w:t>Compliance Operating Model</w:t>
        </w:r>
      </w:hyperlink>
      <w:r w:rsidRPr="004D59EB">
        <w:t xml:space="preserve"> contains binding guidelines for employees of the Compliance Organization </w:t>
      </w:r>
      <w:r w:rsidRPr="004D59EB">
        <w:rPr>
          <w:rFonts w:cs="Arial"/>
          <w:color w:val="000000"/>
        </w:rPr>
        <w:t>of the Company Units</w:t>
      </w:r>
      <w:r w:rsidRPr="004D59EB">
        <w:t xml:space="preserve">. It defines the responsibilities within the Compliance Organization </w:t>
      </w:r>
      <w:r>
        <w:t xml:space="preserve">and </w:t>
      </w:r>
      <w:r w:rsidRPr="004D59EB">
        <w:t>how the Compliance Syst</w:t>
      </w:r>
      <w:r>
        <w:t>em is organized</w:t>
      </w:r>
      <w:r w:rsidRPr="004D59EB">
        <w:t>.</w:t>
      </w:r>
    </w:p>
    <w:p w14:paraId="5E5B1CAC" w14:textId="77777777" w:rsidR="006B3AB1" w:rsidRPr="006B3AB1" w:rsidRDefault="006B3AB1" w:rsidP="006B3AB1">
      <w:pPr>
        <w:pStyle w:val="Untertitel"/>
        <w:rPr>
          <w:rStyle w:val="Fett"/>
          <w:b/>
          <w:color w:val="000000"/>
          <w:sz w:val="20"/>
          <w:szCs w:val="20"/>
        </w:rPr>
      </w:pPr>
      <w:r w:rsidRPr="006B3AB1">
        <w:rPr>
          <w:rStyle w:val="Fett"/>
          <w:rFonts w:cs="Arial"/>
          <w:color w:val="000000"/>
          <w:sz w:val="20"/>
          <w:szCs w:val="20"/>
        </w:rPr>
        <w:t xml:space="preserve">Company Units may only issue specific or deviating compliance-related regulations that are within the scope of this Circular if they are required by law and/or are necessary to address or mitigate specific business risks. </w:t>
      </w:r>
      <w:r w:rsidRPr="006B3AB1">
        <w:rPr>
          <w:rStyle w:val="Fett"/>
          <w:rFonts w:cs="Arial"/>
          <w:b/>
          <w:color w:val="000000"/>
          <w:sz w:val="20"/>
          <w:szCs w:val="20"/>
        </w:rPr>
        <w:t xml:space="preserve">Any such regulation must undergo the </w:t>
      </w:r>
      <w:r w:rsidRPr="006B3AB1">
        <w:rPr>
          <w:rStyle w:val="Fett"/>
          <w:b/>
          <w:color w:val="000000"/>
          <w:sz w:val="20"/>
          <w:szCs w:val="20"/>
        </w:rPr>
        <w:t xml:space="preserve">Compliance Portfolio Management process according to the </w:t>
      </w:r>
      <w:hyperlink r:id="rId36" w:anchor="/c/ykgeor" w:history="1">
        <w:r w:rsidRPr="006B3AB1">
          <w:rPr>
            <w:rStyle w:val="Hyperlink"/>
            <w:rFonts w:cs="Arial"/>
            <w:sz w:val="20"/>
            <w:szCs w:val="20"/>
          </w:rPr>
          <w:t>Compliance Operating Model</w:t>
        </w:r>
      </w:hyperlink>
      <w:r w:rsidRPr="006B3AB1">
        <w:rPr>
          <w:rStyle w:val="Fett"/>
          <w:rFonts w:cs="Arial"/>
          <w:b/>
          <w:color w:val="000000"/>
          <w:sz w:val="20"/>
          <w:szCs w:val="20"/>
        </w:rPr>
        <w:t xml:space="preserve">. </w:t>
      </w:r>
      <w:r w:rsidRPr="006B3AB1">
        <w:rPr>
          <w:rStyle w:val="Fett"/>
          <w:b/>
          <w:color w:val="000000"/>
          <w:sz w:val="20"/>
          <w:szCs w:val="20"/>
        </w:rPr>
        <w:t>As necessary, Legal and Compliance may issue guidance to implement the requirements set forth in this Circular.</w:t>
      </w:r>
      <w:bookmarkStart w:id="0" w:name="_Appendix_2:_Prevent"/>
      <w:bookmarkStart w:id="1" w:name="_Appendix_1:_Prevent"/>
      <w:bookmarkStart w:id="2" w:name="_Appendix_1:_Siemens"/>
      <w:bookmarkStart w:id="3" w:name="_Appendix_4:_High"/>
      <w:bookmarkStart w:id="4" w:name="_Appendix_3:_Prevent"/>
      <w:bookmarkStart w:id="5" w:name="_Definition_High-Risk_Payees"/>
      <w:bookmarkStart w:id="6" w:name="_Appendix_5:_Anti-Money"/>
      <w:bookmarkStart w:id="7" w:name="_Appendix_11:_Disciplinary"/>
      <w:bookmarkStart w:id="8" w:name="_Appendix_4:_Prevent_1"/>
      <w:bookmarkStart w:id="9" w:name="_Appendix_5:_Detect"/>
      <w:bookmarkStart w:id="10" w:name="_Appendix_7:_TreuInfo"/>
      <w:bookmarkStart w:id="11" w:name="_Appendix_6:_Detect"/>
      <w:bookmarkStart w:id="12" w:name="_Appendix_8:_Code"/>
      <w:bookmarkStart w:id="13" w:name="_Appendix_7:_Detect"/>
      <w:bookmarkStart w:id="14" w:name="_Appendix_7:_Detect_1"/>
      <w:bookmarkStart w:id="15" w:name="_Appendix_9:_Dawn"/>
      <w:bookmarkStart w:id="16" w:name="_Appendix_9:_Detect"/>
      <w:bookmarkStart w:id="17" w:name="_Appendix_8:_Detect"/>
      <w:bookmarkStart w:id="18" w:name="_Appendix_8:_Detect_1"/>
      <w:bookmarkStart w:id="19" w:name="_Appendix_9:_Detect_1"/>
      <w:bookmarkStart w:id="20" w:name="_Appendix_9:_Detect_2"/>
      <w:bookmarkStart w:id="21" w:name="_Appendix_10:_Clearing"/>
      <w:bookmarkStart w:id="22" w:name="_Appendix_10:_Detect"/>
      <w:bookmarkStart w:id="23" w:name="_Appendix_10:_Detect_1"/>
      <w:bookmarkStart w:id="24" w:name="_Appendix_11:_Respond"/>
      <w:bookmarkStart w:id="25" w:name="_Appendix_11:_Respond_1"/>
      <w:bookmarkStart w:id="26" w:name="_Appendix_14:_Data"/>
      <w:bookmarkStart w:id="27" w:name="_Appendix_15:_Export"/>
      <w:bookmarkStart w:id="28" w:name="_Appendix_16:_Human"/>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6B3AB1">
        <w:rPr>
          <w:rStyle w:val="Fett"/>
          <w:b/>
          <w:color w:val="000000"/>
          <w:sz w:val="20"/>
          <w:szCs w:val="20"/>
        </w:rPr>
        <w:t xml:space="preserve"> </w:t>
      </w:r>
    </w:p>
    <w:p w14:paraId="4A88B309" w14:textId="686AA57A" w:rsidR="004439DB" w:rsidRPr="005A11DE" w:rsidRDefault="004439DB" w:rsidP="006B3AB1">
      <w:pPr>
        <w:pStyle w:val="Untertitel"/>
        <w:rPr>
          <w:lang w:eastAsia="de-DE"/>
        </w:rPr>
      </w:pPr>
      <w:r w:rsidRPr="005A11DE">
        <w:rPr>
          <w:lang w:eastAsia="de-DE"/>
        </w:rPr>
        <w:t>Other regulations</w:t>
      </w:r>
    </w:p>
    <w:p w14:paraId="1D4BB039" w14:textId="6414E5A4" w:rsidR="005A11DE" w:rsidRDefault="00480A8B" w:rsidP="005A11DE">
      <w:pPr>
        <w:pStyle w:val="KeinAbsatzformat"/>
        <w:rPr>
          <w:lang w:val="en-US" w:eastAsia="de-DE"/>
        </w:rPr>
      </w:pPr>
      <w:r w:rsidRPr="005A11DE">
        <w:rPr>
          <w:rFonts w:ascii="Arial" w:hAnsi="Arial" w:cs="Arial"/>
          <w:color w:val="auto"/>
          <w:sz w:val="20"/>
          <w:szCs w:val="22"/>
          <w:lang w:val="en-US" w:eastAsia="de-DE"/>
        </w:rPr>
        <w:t xml:space="preserve">The Managing Board of Siemens AG and the CEOs / heads of the business units, supported by the General Counsels and Compliance Officers, have overall responsibility for </w:t>
      </w:r>
      <w:r w:rsidR="005A11DE">
        <w:rPr>
          <w:rFonts w:ascii="Arial" w:hAnsi="Arial" w:cs="Arial"/>
          <w:color w:val="auto"/>
          <w:sz w:val="20"/>
          <w:szCs w:val="22"/>
          <w:lang w:val="en-US" w:eastAsia="de-DE"/>
        </w:rPr>
        <w:t>C</w:t>
      </w:r>
      <w:r w:rsidRPr="005A11DE">
        <w:rPr>
          <w:rFonts w:ascii="Arial" w:hAnsi="Arial" w:cs="Arial"/>
          <w:color w:val="auto"/>
          <w:sz w:val="20"/>
          <w:szCs w:val="22"/>
          <w:lang w:val="en-US" w:eastAsia="de-DE"/>
        </w:rPr>
        <w:t xml:space="preserve">ompliance and thus the corresponding organizational and supervisory duties. A summary of the basic principles of the organizational and supervisory duties for Germany can be found in the internal guidelines on </w:t>
      </w:r>
      <w:hyperlink r:id="rId37" w:history="1">
        <w:r w:rsidR="005A11DE" w:rsidRPr="005A11DE">
          <w:rPr>
            <w:rStyle w:val="Hyperlink"/>
            <w:rFonts w:ascii="Arial" w:hAnsi="Arial" w:cs="Arial"/>
            <w:sz w:val="20"/>
            <w:szCs w:val="22"/>
            <w:lang w:val="en-US" w:eastAsia="de-DE"/>
          </w:rPr>
          <w:t xml:space="preserve">organizational and supervisory duties (White </w:t>
        </w:r>
        <w:r w:rsidR="005A11DE" w:rsidRPr="005A11DE">
          <w:rPr>
            <w:rStyle w:val="Hyperlink"/>
            <w:rFonts w:ascii="Arial" w:hAnsi="Arial"/>
            <w:sz w:val="20"/>
            <w:szCs w:val="22"/>
            <w:lang w:val="en-US"/>
          </w:rPr>
          <w:t>Book</w:t>
        </w:r>
        <w:r w:rsidR="005A11DE" w:rsidRPr="005A11DE">
          <w:rPr>
            <w:rStyle w:val="Hyperlink"/>
            <w:rFonts w:ascii="Arial" w:hAnsi="Arial" w:cs="Arial"/>
            <w:sz w:val="20"/>
            <w:szCs w:val="22"/>
            <w:lang w:val="en-US" w:eastAsia="de-DE"/>
          </w:rPr>
          <w:t>).</w:t>
        </w:r>
      </w:hyperlink>
    </w:p>
    <w:p w14:paraId="63E4065D" w14:textId="77777777" w:rsidR="00AC193D" w:rsidRDefault="004439DB" w:rsidP="00FE2693">
      <w:pPr>
        <w:pStyle w:val="Textkrper"/>
        <w:rPr>
          <w:lang w:eastAsia="de-DE"/>
        </w:rPr>
      </w:pPr>
      <w:r>
        <w:rPr>
          <w:lang w:eastAsia="de-DE"/>
        </w:rPr>
        <w:t xml:space="preserve">In general, Siemens-internal regulations shall be published only on corporate level. It is also necessary to ensure that Siemens-internal regulations are binding for our Affiliated Companies according to </w:t>
      </w:r>
      <w:hyperlink r:id="rId38" w:history="1">
        <w:r>
          <w:rPr>
            <w:rStyle w:val="Hyperlink"/>
            <w:lang w:eastAsia="de-DE"/>
          </w:rPr>
          <w:t>Siemens Circular 105 “Implementation of Siemens-internal regulations in Affiliated Companies”</w:t>
        </w:r>
      </w:hyperlink>
      <w:r>
        <w:rPr>
          <w:lang w:eastAsia="de-DE"/>
        </w:rPr>
        <w:t xml:space="preserve">. </w:t>
      </w:r>
      <w:r w:rsidR="005845E4">
        <w:rPr>
          <w:lang w:eastAsia="de-DE"/>
        </w:rPr>
        <w:t xml:space="preserve">Insofar, the </w:t>
      </w:r>
      <w:hyperlink r:id="rId39" w:history="1">
        <w:r w:rsidR="005845E4" w:rsidRPr="00C358B2">
          <w:rPr>
            <w:rStyle w:val="Hyperlink"/>
            <w:rFonts w:cs="Arial"/>
            <w:lang w:eastAsia="de-DE"/>
          </w:rPr>
          <w:t>Siemens Conformance Proce</w:t>
        </w:r>
        <w:r w:rsidR="005845E4">
          <w:rPr>
            <w:rStyle w:val="Hyperlink"/>
            <w:rFonts w:cs="Arial"/>
            <w:lang w:eastAsia="de-DE"/>
          </w:rPr>
          <w:t>s</w:t>
        </w:r>
        <w:r w:rsidR="005845E4" w:rsidRPr="00C358B2">
          <w:rPr>
            <w:rStyle w:val="Hyperlink"/>
            <w:rFonts w:cs="Arial"/>
            <w:lang w:eastAsia="de-DE"/>
          </w:rPr>
          <w:t>s</w:t>
        </w:r>
      </w:hyperlink>
      <w:r w:rsidR="005845E4">
        <w:rPr>
          <w:lang w:eastAsia="de-DE"/>
        </w:rPr>
        <w:t xml:space="preserve"> applies. </w:t>
      </w:r>
    </w:p>
    <w:p w14:paraId="32A77332" w14:textId="77777777" w:rsidR="00AC193D" w:rsidRDefault="004439DB" w:rsidP="00FE2693">
      <w:pPr>
        <w:pStyle w:val="Textkrper"/>
        <w:rPr>
          <w:lang w:eastAsia="de-DE"/>
        </w:rPr>
      </w:pPr>
      <w:r>
        <w:rPr>
          <w:lang w:eastAsia="de-DE"/>
        </w:rPr>
        <w:lastRenderedPageBreak/>
        <w:t xml:space="preserve">Deviating local or business specific regulations are only permitted if required by laws or to address specific compliance risks and require corporate approval via the Compliance Portfolio Management Process according to the </w:t>
      </w:r>
      <w:hyperlink r:id="rId40" w:history="1">
        <w:r>
          <w:rPr>
            <w:rStyle w:val="Hyperlink"/>
            <w:lang w:eastAsia="de-DE"/>
          </w:rPr>
          <w:t>Compliance Operating Model</w:t>
        </w:r>
      </w:hyperlink>
      <w:r>
        <w:rPr>
          <w:rStyle w:val="Hyperlink"/>
        </w:rPr>
        <w:t>.</w:t>
      </w:r>
      <w:r>
        <w:rPr>
          <w:lang w:eastAsia="de-DE"/>
        </w:rPr>
        <w:t xml:space="preserve"> </w:t>
      </w:r>
    </w:p>
    <w:p w14:paraId="5CD365C4" w14:textId="153A8049" w:rsidR="00550C2E" w:rsidRPr="00D80EB6" w:rsidRDefault="004439DB" w:rsidP="00D80EB6">
      <w:pPr>
        <w:spacing w:after="200" w:line="276" w:lineRule="auto"/>
        <w:rPr>
          <w:rFonts w:ascii="MinionPro-Regular" w:hAnsi="MinionPro-Regular" w:cs="MinionPro-Regular"/>
          <w:color w:val="000000"/>
          <w:sz w:val="24"/>
          <w:szCs w:val="24"/>
          <w:lang w:val="en-GB"/>
        </w:rPr>
      </w:pPr>
      <w:r>
        <w:rPr>
          <w:lang w:val="en-GB"/>
        </w:rPr>
        <w:br w:type="page"/>
      </w:r>
      <w:bookmarkStart w:id="29" w:name="_Toc456708447"/>
    </w:p>
    <w:p w14:paraId="34F3E792" w14:textId="77777777" w:rsidR="00550C2E" w:rsidRDefault="00550C2E" w:rsidP="00550C2E">
      <w:pPr>
        <w:pStyle w:val="berschrift1"/>
        <w:spacing w:before="360" w:after="120"/>
        <w:rPr>
          <w:sz w:val="52"/>
        </w:rPr>
      </w:pPr>
      <w:bookmarkStart w:id="30" w:name="_Ref462314903"/>
      <w:r w:rsidRPr="004E5844">
        <w:rPr>
          <w:sz w:val="52"/>
        </w:rPr>
        <w:lastRenderedPageBreak/>
        <w:t>2. Definitions and Abbreviations</w:t>
      </w:r>
    </w:p>
    <w:tbl>
      <w:tblPr>
        <w:tblW w:w="101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1"/>
        <w:gridCol w:w="8125"/>
      </w:tblGrid>
      <w:tr w:rsidR="00550C2E" w:rsidRPr="004C52B8" w14:paraId="6C040F1F" w14:textId="77777777" w:rsidTr="00316D72">
        <w:trPr>
          <w:trHeight w:val="310"/>
        </w:trPr>
        <w:tc>
          <w:tcPr>
            <w:tcW w:w="2021" w:type="dxa"/>
            <w:shd w:val="clear" w:color="auto" w:fill="auto"/>
            <w:noWrap/>
            <w:vAlign w:val="center"/>
          </w:tcPr>
          <w:bookmarkEnd w:id="30"/>
          <w:p w14:paraId="0C079DF0" w14:textId="77777777" w:rsidR="00550C2E" w:rsidRPr="00C459B2" w:rsidRDefault="00550C2E" w:rsidP="00316D72">
            <w:pPr>
              <w:rPr>
                <w:b/>
                <w:lang w:eastAsia="de-DE"/>
              </w:rPr>
            </w:pPr>
            <w:proofErr w:type="gramStart"/>
            <w:r w:rsidRPr="00C459B2">
              <w:rPr>
                <w:b/>
                <w:lang w:eastAsia="de-DE"/>
              </w:rPr>
              <w:t>Additionally</w:t>
            </w:r>
            <w:proofErr w:type="gramEnd"/>
            <w:r w:rsidRPr="00C459B2">
              <w:rPr>
                <w:b/>
                <w:lang w:eastAsia="de-DE"/>
              </w:rPr>
              <w:t xml:space="preserve"> informed entity</w:t>
            </w:r>
          </w:p>
        </w:tc>
        <w:tc>
          <w:tcPr>
            <w:tcW w:w="8125" w:type="dxa"/>
            <w:shd w:val="clear" w:color="auto" w:fill="auto"/>
            <w:noWrap/>
            <w:vAlign w:val="center"/>
          </w:tcPr>
          <w:p w14:paraId="1B42C81F" w14:textId="77777777" w:rsidR="00550C2E" w:rsidRPr="004B7D1D" w:rsidRDefault="00550C2E" w:rsidP="00316D72">
            <w:pPr>
              <w:rPr>
                <w:lang w:eastAsia="de-DE"/>
              </w:rPr>
            </w:pPr>
            <w:r w:rsidRPr="004C52B8">
              <w:rPr>
                <w:lang w:eastAsia="de-DE"/>
              </w:rPr>
              <w:t xml:space="preserve">Siemens entity which is not directly affected by </w:t>
            </w:r>
            <w:r>
              <w:rPr>
                <w:lang w:eastAsia="de-DE"/>
              </w:rPr>
              <w:t>a</w:t>
            </w:r>
            <w:r w:rsidRPr="004C52B8">
              <w:rPr>
                <w:lang w:eastAsia="de-DE"/>
              </w:rPr>
              <w:t xml:space="preserve"> compliance case but holds a stake (e.g. Division if a case is related to a Division business activity in a Regional Company).</w:t>
            </w:r>
          </w:p>
        </w:tc>
      </w:tr>
      <w:tr w:rsidR="00550C2E" w:rsidRPr="004C52B8" w14:paraId="03DDCE0B" w14:textId="77777777" w:rsidTr="00316D72">
        <w:trPr>
          <w:trHeight w:val="310"/>
        </w:trPr>
        <w:tc>
          <w:tcPr>
            <w:tcW w:w="2021" w:type="dxa"/>
            <w:shd w:val="clear" w:color="auto" w:fill="auto"/>
            <w:noWrap/>
            <w:vAlign w:val="center"/>
            <w:hideMark/>
          </w:tcPr>
          <w:p w14:paraId="72C50B80" w14:textId="77777777" w:rsidR="00550C2E" w:rsidRPr="00C459B2" w:rsidRDefault="00550C2E" w:rsidP="00316D72">
            <w:pPr>
              <w:rPr>
                <w:b/>
                <w:lang w:eastAsia="de-DE"/>
              </w:rPr>
            </w:pPr>
            <w:r w:rsidRPr="00C459B2">
              <w:rPr>
                <w:b/>
                <w:lang w:eastAsia="de-DE"/>
              </w:rPr>
              <w:t>Affiliated Company</w:t>
            </w:r>
          </w:p>
        </w:tc>
        <w:tc>
          <w:tcPr>
            <w:tcW w:w="8125" w:type="dxa"/>
            <w:shd w:val="clear" w:color="auto" w:fill="auto"/>
            <w:noWrap/>
            <w:vAlign w:val="center"/>
            <w:hideMark/>
          </w:tcPr>
          <w:p w14:paraId="0C57156E" w14:textId="77777777" w:rsidR="00550C2E" w:rsidRPr="004B7D1D" w:rsidRDefault="00550C2E" w:rsidP="00316D72">
            <w:pPr>
              <w:rPr>
                <w:lang w:eastAsia="de-DE"/>
              </w:rPr>
            </w:pPr>
            <w:r w:rsidRPr="004B7D1D">
              <w:rPr>
                <w:lang w:eastAsia="de-DE"/>
              </w:rPr>
              <w:t xml:space="preserve">Please refer to </w:t>
            </w:r>
            <w:hyperlink r:id="rId41" w:history="1">
              <w:r w:rsidRPr="004B7D1D">
                <w:rPr>
                  <w:rStyle w:val="Hyperlink"/>
                  <w:lang w:eastAsia="de-DE"/>
                </w:rPr>
                <w:t>Siemens Circular No. 105</w:t>
              </w:r>
            </w:hyperlink>
            <w:r>
              <w:rPr>
                <w:lang w:eastAsia="de-DE"/>
              </w:rPr>
              <w:t xml:space="preserve"> </w:t>
            </w:r>
            <w:r w:rsidRPr="004B7D1D">
              <w:rPr>
                <w:lang w:eastAsia="de-DE"/>
              </w:rPr>
              <w:t xml:space="preserve"> </w:t>
            </w:r>
          </w:p>
        </w:tc>
      </w:tr>
      <w:tr w:rsidR="00550C2E" w:rsidRPr="004C52B8" w14:paraId="571FC75F" w14:textId="77777777" w:rsidTr="00316D72">
        <w:trPr>
          <w:trHeight w:val="310"/>
        </w:trPr>
        <w:tc>
          <w:tcPr>
            <w:tcW w:w="2021" w:type="dxa"/>
            <w:shd w:val="clear" w:color="auto" w:fill="auto"/>
            <w:noWrap/>
            <w:vAlign w:val="center"/>
          </w:tcPr>
          <w:p w14:paraId="6F362E7F" w14:textId="77777777" w:rsidR="00550C2E" w:rsidRPr="00C459B2" w:rsidRDefault="00550C2E" w:rsidP="00316D72">
            <w:pPr>
              <w:rPr>
                <w:b/>
                <w:lang w:eastAsia="de-DE"/>
              </w:rPr>
            </w:pPr>
            <w:r>
              <w:rPr>
                <w:b/>
                <w:lang w:eastAsia="de-DE"/>
              </w:rPr>
              <w:t>AML</w:t>
            </w:r>
          </w:p>
        </w:tc>
        <w:tc>
          <w:tcPr>
            <w:tcW w:w="8125" w:type="dxa"/>
            <w:shd w:val="clear" w:color="auto" w:fill="auto"/>
            <w:noWrap/>
            <w:vAlign w:val="center"/>
          </w:tcPr>
          <w:p w14:paraId="0CA2A850" w14:textId="77777777" w:rsidR="00550C2E" w:rsidRPr="004C52B8" w:rsidRDefault="00550C2E" w:rsidP="00316D72">
            <w:pPr>
              <w:rPr>
                <w:lang w:eastAsia="de-DE"/>
              </w:rPr>
            </w:pPr>
            <w:r>
              <w:rPr>
                <w:lang w:eastAsia="de-DE"/>
              </w:rPr>
              <w:t xml:space="preserve">Anti-Money Laundering </w:t>
            </w:r>
            <w:r w:rsidRPr="0020617D">
              <w:rPr>
                <w:i/>
                <w:lang w:eastAsia="de-DE"/>
              </w:rPr>
              <w:t>(</w:t>
            </w:r>
            <w:hyperlink r:id="rId42" w:history="1">
              <w:r w:rsidRPr="0020617D">
                <w:rPr>
                  <w:rStyle w:val="Hyperlink"/>
                  <w:i/>
                  <w:lang w:eastAsia="de-DE"/>
                </w:rPr>
                <w:t>C.</w:t>
              </w:r>
            </w:hyperlink>
            <w:r w:rsidRPr="0020617D">
              <w:rPr>
                <w:i/>
                <w:lang w:eastAsia="de-DE"/>
              </w:rPr>
              <w:t>)</w:t>
            </w:r>
          </w:p>
        </w:tc>
      </w:tr>
      <w:tr w:rsidR="00550C2E" w:rsidRPr="004C52B8" w14:paraId="70BBAE84" w14:textId="77777777" w:rsidTr="00316D72">
        <w:trPr>
          <w:trHeight w:val="310"/>
        </w:trPr>
        <w:tc>
          <w:tcPr>
            <w:tcW w:w="2021" w:type="dxa"/>
            <w:shd w:val="clear" w:color="auto" w:fill="auto"/>
            <w:noWrap/>
            <w:vAlign w:val="center"/>
            <w:hideMark/>
          </w:tcPr>
          <w:p w14:paraId="79307E32" w14:textId="77777777" w:rsidR="00550C2E" w:rsidRPr="00C459B2" w:rsidRDefault="00550C2E" w:rsidP="00316D72">
            <w:pPr>
              <w:rPr>
                <w:b/>
                <w:lang w:val="de-DE" w:eastAsia="de-DE"/>
              </w:rPr>
            </w:pPr>
            <w:r w:rsidRPr="00C459B2">
              <w:rPr>
                <w:b/>
                <w:lang w:eastAsia="de-DE"/>
              </w:rPr>
              <w:t>ARE</w:t>
            </w:r>
          </w:p>
        </w:tc>
        <w:tc>
          <w:tcPr>
            <w:tcW w:w="8125" w:type="dxa"/>
            <w:shd w:val="clear" w:color="auto" w:fill="auto"/>
            <w:noWrap/>
            <w:vAlign w:val="center"/>
            <w:hideMark/>
          </w:tcPr>
          <w:p w14:paraId="54663993" w14:textId="77777777" w:rsidR="00550C2E" w:rsidRPr="004C52B8" w:rsidRDefault="00550C2E" w:rsidP="00316D72">
            <w:pPr>
              <w:rPr>
                <w:lang w:eastAsia="de-DE"/>
              </w:rPr>
            </w:pPr>
            <w:r w:rsidRPr="004C52B8">
              <w:rPr>
                <w:lang w:eastAsia="de-DE"/>
              </w:rPr>
              <w:t>Accounting Unit within the Siemens group of companies (</w:t>
            </w:r>
            <w:proofErr w:type="spellStart"/>
            <w:r w:rsidRPr="004C52B8">
              <w:rPr>
                <w:lang w:eastAsia="de-DE"/>
              </w:rPr>
              <w:t>Abrechnungseinheit</w:t>
            </w:r>
            <w:proofErr w:type="spellEnd"/>
            <w:r w:rsidRPr="004C52B8">
              <w:rPr>
                <w:lang w:eastAsia="de-DE"/>
              </w:rPr>
              <w:t>)</w:t>
            </w:r>
          </w:p>
        </w:tc>
      </w:tr>
      <w:tr w:rsidR="00550C2E" w:rsidRPr="004C52B8" w14:paraId="00ECDC54" w14:textId="77777777" w:rsidTr="00316D72">
        <w:trPr>
          <w:trHeight w:val="310"/>
        </w:trPr>
        <w:tc>
          <w:tcPr>
            <w:tcW w:w="2021" w:type="dxa"/>
            <w:shd w:val="clear" w:color="auto" w:fill="auto"/>
            <w:noWrap/>
            <w:vAlign w:val="center"/>
            <w:hideMark/>
          </w:tcPr>
          <w:p w14:paraId="6B22F04B" w14:textId="77777777" w:rsidR="00550C2E" w:rsidRPr="00C459B2" w:rsidRDefault="00550C2E" w:rsidP="00316D72">
            <w:pPr>
              <w:rPr>
                <w:b/>
                <w:lang w:val="de-DE" w:eastAsia="de-DE"/>
              </w:rPr>
            </w:pPr>
            <w:r w:rsidRPr="00C459B2">
              <w:rPr>
                <w:b/>
                <w:lang w:eastAsia="de-DE"/>
              </w:rPr>
              <w:t>AREA</w:t>
            </w:r>
          </w:p>
        </w:tc>
        <w:tc>
          <w:tcPr>
            <w:tcW w:w="8125" w:type="dxa"/>
            <w:shd w:val="clear" w:color="auto" w:fill="auto"/>
            <w:noWrap/>
            <w:vAlign w:val="center"/>
            <w:hideMark/>
          </w:tcPr>
          <w:p w14:paraId="36694E47" w14:textId="77777777" w:rsidR="00550C2E" w:rsidRPr="000069EC" w:rsidRDefault="00550C2E" w:rsidP="00316D72">
            <w:pPr>
              <w:rPr>
                <w:lang w:eastAsia="de-DE"/>
              </w:rPr>
            </w:pPr>
            <w:r w:rsidRPr="000069EC">
              <w:rPr>
                <w:lang w:eastAsia="de-DE"/>
              </w:rPr>
              <w:t xml:space="preserve">Antitrust Risk Exposure Assessment </w:t>
            </w:r>
            <w:r w:rsidRPr="000069EC">
              <w:rPr>
                <w:i/>
                <w:lang w:eastAsia="de-DE"/>
              </w:rPr>
              <w:t>(</w:t>
            </w:r>
            <w:hyperlink r:id="rId43" w:history="1">
              <w:r w:rsidRPr="000069EC">
                <w:rPr>
                  <w:rStyle w:val="Hyperlink"/>
                  <w:i/>
                  <w:lang w:eastAsia="de-DE"/>
                </w:rPr>
                <w:t>B. Antitrust</w:t>
              </w:r>
            </w:hyperlink>
            <w:r w:rsidRPr="000069EC">
              <w:rPr>
                <w:i/>
                <w:lang w:eastAsia="de-DE"/>
              </w:rPr>
              <w:t>)</w:t>
            </w:r>
          </w:p>
        </w:tc>
      </w:tr>
      <w:tr w:rsidR="00550C2E" w:rsidRPr="004C52B8" w14:paraId="653E50C9" w14:textId="77777777" w:rsidTr="00316D72">
        <w:trPr>
          <w:trHeight w:val="310"/>
        </w:trPr>
        <w:tc>
          <w:tcPr>
            <w:tcW w:w="2021" w:type="dxa"/>
            <w:shd w:val="clear" w:color="auto" w:fill="auto"/>
            <w:noWrap/>
            <w:vAlign w:val="center"/>
            <w:hideMark/>
          </w:tcPr>
          <w:p w14:paraId="19CD3086" w14:textId="77777777" w:rsidR="00550C2E" w:rsidRPr="000069EC" w:rsidRDefault="00550C2E" w:rsidP="00316D72">
            <w:pPr>
              <w:rPr>
                <w:b/>
                <w:lang w:eastAsia="de-DE"/>
              </w:rPr>
            </w:pPr>
            <w:r w:rsidRPr="00C459B2">
              <w:rPr>
                <w:b/>
                <w:lang w:eastAsia="de-DE"/>
              </w:rPr>
              <w:t>BCG</w:t>
            </w:r>
          </w:p>
        </w:tc>
        <w:tc>
          <w:tcPr>
            <w:tcW w:w="8125" w:type="dxa"/>
            <w:shd w:val="clear" w:color="auto" w:fill="auto"/>
            <w:noWrap/>
            <w:vAlign w:val="center"/>
            <w:hideMark/>
          </w:tcPr>
          <w:p w14:paraId="6FCB4C62" w14:textId="77777777" w:rsidR="00550C2E" w:rsidRPr="000069EC" w:rsidRDefault="00911327" w:rsidP="00316D72">
            <w:pPr>
              <w:rPr>
                <w:lang w:eastAsia="de-DE"/>
              </w:rPr>
            </w:pPr>
            <w:hyperlink r:id="rId44" w:history="1">
              <w:r w:rsidR="00550C2E" w:rsidRPr="006B41C3">
                <w:rPr>
                  <w:rStyle w:val="Hyperlink"/>
                  <w:lang w:eastAsia="de-DE"/>
                </w:rPr>
                <w:t>Siemens Business Conduct Guidelines</w:t>
              </w:r>
            </w:hyperlink>
          </w:p>
        </w:tc>
      </w:tr>
      <w:tr w:rsidR="00550C2E" w:rsidRPr="004C52B8" w14:paraId="70DDB10D" w14:textId="77777777" w:rsidTr="00316D72">
        <w:trPr>
          <w:trHeight w:val="310"/>
        </w:trPr>
        <w:tc>
          <w:tcPr>
            <w:tcW w:w="2021" w:type="dxa"/>
            <w:shd w:val="clear" w:color="auto" w:fill="auto"/>
            <w:noWrap/>
            <w:vAlign w:val="center"/>
            <w:hideMark/>
          </w:tcPr>
          <w:p w14:paraId="22AE16F2" w14:textId="77777777" w:rsidR="00550C2E" w:rsidRPr="000069EC" w:rsidRDefault="00550C2E" w:rsidP="00316D72">
            <w:pPr>
              <w:rPr>
                <w:b/>
                <w:lang w:eastAsia="de-DE"/>
              </w:rPr>
            </w:pPr>
            <w:r w:rsidRPr="00C459B2">
              <w:rPr>
                <w:b/>
                <w:lang w:eastAsia="de-DE"/>
              </w:rPr>
              <w:t>BPC</w:t>
            </w:r>
          </w:p>
        </w:tc>
        <w:tc>
          <w:tcPr>
            <w:tcW w:w="8125" w:type="dxa"/>
            <w:shd w:val="clear" w:color="auto" w:fill="auto"/>
            <w:noWrap/>
            <w:vAlign w:val="center"/>
            <w:hideMark/>
          </w:tcPr>
          <w:p w14:paraId="0BB31949" w14:textId="554268F4" w:rsidR="00550C2E" w:rsidRPr="000069EC" w:rsidRDefault="00550C2E" w:rsidP="00316D72">
            <w:pPr>
              <w:rPr>
                <w:lang w:eastAsia="de-DE"/>
              </w:rPr>
            </w:pPr>
            <w:r w:rsidRPr="000069EC">
              <w:rPr>
                <w:lang w:eastAsia="de-DE"/>
              </w:rPr>
              <w:t>Business Partner Compliance</w:t>
            </w:r>
            <w:r>
              <w:rPr>
                <w:lang w:eastAsia="de-DE"/>
              </w:rPr>
              <w:t xml:space="preserve"> </w:t>
            </w:r>
            <w:r w:rsidRPr="000069EC">
              <w:rPr>
                <w:i/>
                <w:lang w:eastAsia="de-DE"/>
              </w:rPr>
              <w:t>(</w:t>
            </w:r>
            <w:hyperlink r:id="rId45" w:history="1">
              <w:r w:rsidRPr="000069EC">
                <w:rPr>
                  <w:rStyle w:val="Hyperlink"/>
                  <w:i/>
                  <w:lang w:eastAsia="de-DE"/>
                </w:rPr>
                <w:t xml:space="preserve">A </w:t>
              </w:r>
              <w:r w:rsidR="005A11DE">
                <w:rPr>
                  <w:rStyle w:val="Hyperlink"/>
                  <w:i/>
                  <w:lang w:eastAsia="de-DE"/>
                </w:rPr>
                <w:t>4</w:t>
              </w:r>
              <w:r w:rsidRPr="000069EC">
                <w:rPr>
                  <w:rStyle w:val="Hyperlink"/>
                  <w:i/>
                  <w:lang w:eastAsia="de-DE"/>
                </w:rPr>
                <w:t>. Business Partner</w:t>
              </w:r>
            </w:hyperlink>
            <w:r w:rsidRPr="000069EC">
              <w:rPr>
                <w:i/>
                <w:lang w:eastAsia="de-DE"/>
              </w:rPr>
              <w:t>)</w:t>
            </w:r>
          </w:p>
        </w:tc>
      </w:tr>
      <w:tr w:rsidR="00550C2E" w:rsidRPr="004C52B8" w14:paraId="539CDB16" w14:textId="77777777" w:rsidTr="00316D72">
        <w:trPr>
          <w:trHeight w:val="310"/>
        </w:trPr>
        <w:tc>
          <w:tcPr>
            <w:tcW w:w="2021" w:type="dxa"/>
            <w:shd w:val="clear" w:color="auto" w:fill="auto"/>
            <w:noWrap/>
            <w:vAlign w:val="center"/>
          </w:tcPr>
          <w:p w14:paraId="03DE2E05" w14:textId="77777777" w:rsidR="00550C2E" w:rsidRPr="00C459B2" w:rsidRDefault="00550C2E" w:rsidP="00316D72">
            <w:pPr>
              <w:rPr>
                <w:b/>
                <w:lang w:eastAsia="de-DE"/>
              </w:rPr>
            </w:pPr>
            <w:r>
              <w:rPr>
                <w:b/>
                <w:lang w:eastAsia="de-DE"/>
              </w:rPr>
              <w:t>Business Partner</w:t>
            </w:r>
          </w:p>
        </w:tc>
        <w:tc>
          <w:tcPr>
            <w:tcW w:w="8125" w:type="dxa"/>
            <w:shd w:val="clear" w:color="auto" w:fill="auto"/>
            <w:noWrap/>
            <w:vAlign w:val="center"/>
          </w:tcPr>
          <w:p w14:paraId="7D9837AD" w14:textId="06926F2F" w:rsidR="00550C2E" w:rsidRPr="000069EC" w:rsidRDefault="00550C2E" w:rsidP="00316D72">
            <w:pPr>
              <w:rPr>
                <w:lang w:eastAsia="de-DE"/>
              </w:rPr>
            </w:pPr>
            <w:r w:rsidRPr="0041696F">
              <w:rPr>
                <w:rFonts w:cs="Arial"/>
                <w:szCs w:val="20"/>
              </w:rPr>
              <w:t xml:space="preserve">The English term </w:t>
            </w:r>
            <w:r w:rsidR="00AC193D">
              <w:rPr>
                <w:rFonts w:cs="Arial"/>
                <w:szCs w:val="20"/>
              </w:rPr>
              <w:t>“</w:t>
            </w:r>
            <w:r w:rsidRPr="00302F90">
              <w:rPr>
                <w:rFonts w:cs="Arial"/>
                <w:szCs w:val="20"/>
              </w:rPr>
              <w:t>business partner</w:t>
            </w:r>
            <w:r w:rsidR="00AC193D">
              <w:rPr>
                <w:rFonts w:cs="Arial"/>
                <w:szCs w:val="20"/>
              </w:rPr>
              <w:t>”</w:t>
            </w:r>
            <w:r w:rsidRPr="00302F90">
              <w:rPr>
                <w:rFonts w:cs="Arial"/>
                <w:szCs w:val="20"/>
              </w:rPr>
              <w:t xml:space="preserve"> merely</w:t>
            </w:r>
            <w:r w:rsidRPr="0041696F">
              <w:rPr>
                <w:rFonts w:cs="Arial"/>
                <w:szCs w:val="20"/>
              </w:rPr>
              <w:t xml:space="preserve"> describes a commercial entity with which another commercial entity has business relations. However, the </w:t>
            </w:r>
            <w:r w:rsidRPr="00302F90">
              <w:rPr>
                <w:rFonts w:cs="Arial"/>
                <w:szCs w:val="20"/>
              </w:rPr>
              <w:t xml:space="preserve">term </w:t>
            </w:r>
            <w:r w:rsidR="00AC193D">
              <w:rPr>
                <w:rFonts w:cs="Arial"/>
                <w:szCs w:val="20"/>
              </w:rPr>
              <w:t>“</w:t>
            </w:r>
            <w:r w:rsidRPr="00302F90">
              <w:rPr>
                <w:rFonts w:cs="Arial"/>
                <w:szCs w:val="20"/>
              </w:rPr>
              <w:t>Business Partner</w:t>
            </w:r>
            <w:r w:rsidR="00AC193D">
              <w:rPr>
                <w:rFonts w:cs="Arial"/>
                <w:szCs w:val="20"/>
              </w:rPr>
              <w:t>”</w:t>
            </w:r>
            <w:r w:rsidRPr="00302F90">
              <w:rPr>
                <w:rFonts w:cs="Arial"/>
                <w:szCs w:val="20"/>
              </w:rPr>
              <w:t xml:space="preserve"> with capital letters in the Siemens compliance context only includes such business</w:t>
            </w:r>
            <w:r w:rsidRPr="0041696F">
              <w:rPr>
                <w:rFonts w:cs="Arial"/>
                <w:szCs w:val="20"/>
              </w:rPr>
              <w:t xml:space="preserve"> partners which are covered by </w:t>
            </w:r>
            <w:r>
              <w:rPr>
                <w:rFonts w:cs="Arial"/>
                <w:szCs w:val="20"/>
              </w:rPr>
              <w:t>SC</w:t>
            </w:r>
            <w:r w:rsidRPr="0041696F">
              <w:rPr>
                <w:rFonts w:cs="Arial"/>
                <w:szCs w:val="20"/>
              </w:rPr>
              <w:t xml:space="preserve"> 226 and therefore need to undergo a Compliance Due Diligence</w:t>
            </w:r>
            <w:r>
              <w:rPr>
                <w:rFonts w:cs="Arial"/>
                <w:szCs w:val="20"/>
              </w:rPr>
              <w:t xml:space="preserve"> </w:t>
            </w:r>
            <w:r w:rsidRPr="000069EC">
              <w:rPr>
                <w:i/>
                <w:lang w:eastAsia="de-DE"/>
              </w:rPr>
              <w:t>(</w:t>
            </w:r>
            <w:hyperlink r:id="rId46" w:history="1">
              <w:r w:rsidRPr="000069EC">
                <w:rPr>
                  <w:rStyle w:val="Hyperlink"/>
                  <w:i/>
                  <w:lang w:eastAsia="de-DE"/>
                </w:rPr>
                <w:t xml:space="preserve">A </w:t>
              </w:r>
              <w:r w:rsidR="005A11DE">
                <w:rPr>
                  <w:rStyle w:val="Hyperlink"/>
                  <w:i/>
                  <w:lang w:eastAsia="de-DE"/>
                </w:rPr>
                <w:t>4</w:t>
              </w:r>
              <w:r w:rsidRPr="000069EC">
                <w:rPr>
                  <w:rStyle w:val="Hyperlink"/>
                  <w:i/>
                  <w:lang w:eastAsia="de-DE"/>
                </w:rPr>
                <w:t>. Business Partner</w:t>
              </w:r>
            </w:hyperlink>
            <w:r w:rsidRPr="000069EC">
              <w:rPr>
                <w:i/>
                <w:lang w:eastAsia="de-DE"/>
              </w:rPr>
              <w:t>)</w:t>
            </w:r>
            <w:r w:rsidRPr="0041696F">
              <w:rPr>
                <w:rFonts w:cs="Arial"/>
                <w:szCs w:val="20"/>
              </w:rPr>
              <w:t xml:space="preserve">.    </w:t>
            </w:r>
          </w:p>
        </w:tc>
      </w:tr>
      <w:tr w:rsidR="00550C2E" w:rsidRPr="004C52B8" w14:paraId="0E398C8F" w14:textId="77777777" w:rsidTr="00316D72">
        <w:trPr>
          <w:trHeight w:val="310"/>
        </w:trPr>
        <w:tc>
          <w:tcPr>
            <w:tcW w:w="2021" w:type="dxa"/>
            <w:shd w:val="clear" w:color="auto" w:fill="auto"/>
            <w:noWrap/>
            <w:vAlign w:val="center"/>
            <w:hideMark/>
          </w:tcPr>
          <w:p w14:paraId="438DC2EB" w14:textId="77777777" w:rsidR="00550C2E" w:rsidRPr="000069EC" w:rsidRDefault="00550C2E" w:rsidP="00316D72">
            <w:pPr>
              <w:rPr>
                <w:b/>
                <w:lang w:eastAsia="de-DE"/>
              </w:rPr>
            </w:pPr>
            <w:r w:rsidRPr="00C459B2">
              <w:rPr>
                <w:b/>
                <w:lang w:eastAsia="de-DE"/>
              </w:rPr>
              <w:t>CC</w:t>
            </w:r>
            <w:r>
              <w:rPr>
                <w:b/>
                <w:lang w:eastAsia="de-DE"/>
              </w:rPr>
              <w:t>P</w:t>
            </w:r>
          </w:p>
        </w:tc>
        <w:tc>
          <w:tcPr>
            <w:tcW w:w="8125" w:type="dxa"/>
            <w:shd w:val="clear" w:color="auto" w:fill="auto"/>
            <w:noWrap/>
            <w:vAlign w:val="center"/>
            <w:hideMark/>
          </w:tcPr>
          <w:p w14:paraId="307B88BD" w14:textId="77777777" w:rsidR="00550C2E" w:rsidRPr="000069EC" w:rsidRDefault="00550C2E" w:rsidP="00316D72">
            <w:pPr>
              <w:rPr>
                <w:lang w:eastAsia="de-DE"/>
              </w:rPr>
            </w:pPr>
            <w:r w:rsidRPr="000069EC">
              <w:rPr>
                <w:lang w:eastAsia="de-DE"/>
              </w:rPr>
              <w:t xml:space="preserve">Compliance Control </w:t>
            </w:r>
            <w:r>
              <w:rPr>
                <w:lang w:eastAsia="de-DE"/>
              </w:rPr>
              <w:t>Program</w:t>
            </w:r>
          </w:p>
        </w:tc>
      </w:tr>
      <w:tr w:rsidR="00550C2E" w:rsidRPr="004C52B8" w14:paraId="2137EC9C" w14:textId="77777777" w:rsidTr="00316D72">
        <w:trPr>
          <w:trHeight w:val="310"/>
        </w:trPr>
        <w:tc>
          <w:tcPr>
            <w:tcW w:w="2021" w:type="dxa"/>
            <w:shd w:val="clear" w:color="auto" w:fill="auto"/>
            <w:noWrap/>
            <w:vAlign w:val="center"/>
            <w:hideMark/>
          </w:tcPr>
          <w:p w14:paraId="50D211E1" w14:textId="77777777" w:rsidR="00550C2E" w:rsidRPr="000069EC" w:rsidRDefault="00550C2E" w:rsidP="00316D72">
            <w:pPr>
              <w:rPr>
                <w:b/>
                <w:lang w:eastAsia="de-DE"/>
              </w:rPr>
            </w:pPr>
            <w:r w:rsidRPr="00C459B2">
              <w:rPr>
                <w:b/>
                <w:lang w:eastAsia="de-DE"/>
              </w:rPr>
              <w:t>CCO</w:t>
            </w:r>
          </w:p>
        </w:tc>
        <w:tc>
          <w:tcPr>
            <w:tcW w:w="8125" w:type="dxa"/>
            <w:shd w:val="clear" w:color="auto" w:fill="auto"/>
            <w:noWrap/>
            <w:vAlign w:val="center"/>
            <w:hideMark/>
          </w:tcPr>
          <w:p w14:paraId="2604CCF7" w14:textId="77777777" w:rsidR="00550C2E" w:rsidRPr="000069EC" w:rsidRDefault="00550C2E" w:rsidP="00316D72">
            <w:pPr>
              <w:rPr>
                <w:lang w:eastAsia="de-DE"/>
              </w:rPr>
            </w:pPr>
            <w:r w:rsidRPr="000069EC">
              <w:rPr>
                <w:lang w:eastAsia="de-DE"/>
              </w:rPr>
              <w:t>Chief Compliance Officer</w:t>
            </w:r>
          </w:p>
        </w:tc>
      </w:tr>
      <w:tr w:rsidR="00550C2E" w:rsidRPr="004C52B8" w14:paraId="0802F860" w14:textId="77777777" w:rsidTr="00316D72">
        <w:trPr>
          <w:trHeight w:val="310"/>
        </w:trPr>
        <w:tc>
          <w:tcPr>
            <w:tcW w:w="2021" w:type="dxa"/>
            <w:shd w:val="clear" w:color="auto" w:fill="auto"/>
            <w:noWrap/>
            <w:vAlign w:val="center"/>
            <w:hideMark/>
          </w:tcPr>
          <w:p w14:paraId="797CDE15" w14:textId="77777777" w:rsidR="00550C2E" w:rsidRPr="000069EC" w:rsidRDefault="00550C2E" w:rsidP="00316D72">
            <w:pPr>
              <w:rPr>
                <w:b/>
                <w:lang w:eastAsia="de-DE"/>
              </w:rPr>
            </w:pPr>
            <w:r w:rsidRPr="00C459B2">
              <w:rPr>
                <w:b/>
                <w:lang w:eastAsia="de-DE"/>
              </w:rPr>
              <w:t>CDC</w:t>
            </w:r>
          </w:p>
        </w:tc>
        <w:tc>
          <w:tcPr>
            <w:tcW w:w="8125" w:type="dxa"/>
            <w:shd w:val="clear" w:color="auto" w:fill="auto"/>
            <w:noWrap/>
            <w:vAlign w:val="center"/>
            <w:hideMark/>
          </w:tcPr>
          <w:p w14:paraId="4660BB6C" w14:textId="10C45241" w:rsidR="00550C2E" w:rsidRPr="000069EC" w:rsidRDefault="00550C2E" w:rsidP="00316D72">
            <w:pPr>
              <w:rPr>
                <w:lang w:eastAsia="de-DE"/>
              </w:rPr>
            </w:pPr>
            <w:r w:rsidRPr="000069EC">
              <w:rPr>
                <w:lang w:eastAsia="de-DE"/>
              </w:rPr>
              <w:t xml:space="preserve">Corporate Disciplinary Committee </w:t>
            </w:r>
            <w:r w:rsidRPr="000069EC">
              <w:rPr>
                <w:i/>
                <w:lang w:eastAsia="de-DE"/>
              </w:rPr>
              <w:t>(</w:t>
            </w:r>
            <w:hyperlink r:id="rId47" w:history="1">
              <w:r w:rsidRPr="000069EC">
                <w:rPr>
                  <w:rStyle w:val="Hyperlink"/>
                  <w:i/>
                  <w:lang w:eastAsia="de-DE"/>
                </w:rPr>
                <w:t>L 4. Di</w:t>
              </w:r>
              <w:r>
                <w:rPr>
                  <w:rStyle w:val="Hyperlink"/>
                  <w:i/>
                  <w:lang w:eastAsia="de-DE"/>
                </w:rPr>
                <w:t>s</w:t>
              </w:r>
              <w:r w:rsidRPr="000069EC">
                <w:rPr>
                  <w:rStyle w:val="Hyperlink"/>
                  <w:i/>
                  <w:lang w:eastAsia="de-DE"/>
                </w:rPr>
                <w:t>ciplinary Measures</w:t>
              </w:r>
            </w:hyperlink>
            <w:r w:rsidRPr="000069EC">
              <w:rPr>
                <w:i/>
                <w:lang w:eastAsia="de-DE"/>
              </w:rPr>
              <w:t>)</w:t>
            </w:r>
          </w:p>
        </w:tc>
      </w:tr>
      <w:tr w:rsidR="00550C2E" w:rsidRPr="004C52B8" w14:paraId="38E52CDC" w14:textId="77777777" w:rsidTr="00316D72">
        <w:trPr>
          <w:trHeight w:val="310"/>
        </w:trPr>
        <w:tc>
          <w:tcPr>
            <w:tcW w:w="2021" w:type="dxa"/>
            <w:shd w:val="clear" w:color="auto" w:fill="auto"/>
            <w:noWrap/>
            <w:vAlign w:val="center"/>
            <w:hideMark/>
          </w:tcPr>
          <w:p w14:paraId="74FF420E" w14:textId="77777777" w:rsidR="00550C2E" w:rsidRPr="000069EC" w:rsidRDefault="00550C2E" w:rsidP="00316D72">
            <w:pPr>
              <w:rPr>
                <w:b/>
                <w:lang w:eastAsia="de-DE"/>
              </w:rPr>
            </w:pPr>
            <w:r w:rsidRPr="00C459B2">
              <w:rPr>
                <w:b/>
                <w:lang w:eastAsia="de-DE"/>
              </w:rPr>
              <w:t>CEA</w:t>
            </w:r>
          </w:p>
        </w:tc>
        <w:tc>
          <w:tcPr>
            <w:tcW w:w="8125" w:type="dxa"/>
            <w:shd w:val="clear" w:color="auto" w:fill="auto"/>
            <w:noWrap/>
            <w:vAlign w:val="center"/>
            <w:hideMark/>
          </w:tcPr>
          <w:p w14:paraId="7F96025A" w14:textId="77777777" w:rsidR="00550C2E" w:rsidRPr="000069EC" w:rsidRDefault="00550C2E" w:rsidP="00316D72">
            <w:pPr>
              <w:rPr>
                <w:lang w:eastAsia="de-DE"/>
              </w:rPr>
            </w:pPr>
            <w:r w:rsidRPr="000069EC">
              <w:rPr>
                <w:lang w:eastAsia="de-DE"/>
              </w:rPr>
              <w:t>Corruption Exposure Assessment</w:t>
            </w:r>
          </w:p>
        </w:tc>
      </w:tr>
      <w:tr w:rsidR="00550C2E" w:rsidRPr="000069EC" w14:paraId="41716CD0" w14:textId="77777777" w:rsidTr="00316D72">
        <w:trPr>
          <w:trHeight w:val="310"/>
        </w:trPr>
        <w:tc>
          <w:tcPr>
            <w:tcW w:w="2021" w:type="dxa"/>
            <w:shd w:val="clear" w:color="auto" w:fill="auto"/>
            <w:noWrap/>
            <w:vAlign w:val="center"/>
          </w:tcPr>
          <w:p w14:paraId="4AF6B8A1" w14:textId="77777777" w:rsidR="00550C2E" w:rsidRPr="00C459B2" w:rsidRDefault="00550C2E" w:rsidP="00316D72">
            <w:pPr>
              <w:rPr>
                <w:b/>
                <w:lang w:eastAsia="de-DE"/>
              </w:rPr>
            </w:pPr>
            <w:r w:rsidRPr="00C459B2">
              <w:rPr>
                <w:b/>
                <w:lang w:eastAsia="de-DE"/>
              </w:rPr>
              <w:t>CDD</w:t>
            </w:r>
          </w:p>
        </w:tc>
        <w:tc>
          <w:tcPr>
            <w:tcW w:w="8125" w:type="dxa"/>
            <w:shd w:val="clear" w:color="auto" w:fill="auto"/>
            <w:noWrap/>
            <w:vAlign w:val="center"/>
          </w:tcPr>
          <w:p w14:paraId="7615E7FB" w14:textId="3183EDAD" w:rsidR="00550C2E" w:rsidRPr="000069EC" w:rsidRDefault="00550C2E" w:rsidP="00316D72">
            <w:pPr>
              <w:rPr>
                <w:lang w:eastAsia="de-DE"/>
              </w:rPr>
            </w:pPr>
            <w:r w:rsidRPr="000069EC">
              <w:rPr>
                <w:lang w:eastAsia="de-DE"/>
              </w:rPr>
              <w:t>Compliance Due Diligence</w:t>
            </w:r>
            <w:r>
              <w:rPr>
                <w:lang w:eastAsia="de-DE"/>
              </w:rPr>
              <w:t xml:space="preserve">(s) – Overview of CDD </w:t>
            </w:r>
            <w:hyperlink r:id="rId48" w:history="1">
              <w:r w:rsidRPr="00550C2E">
                <w:rPr>
                  <w:rStyle w:val="Hyperlink"/>
                  <w:lang w:eastAsia="de-DE"/>
                </w:rPr>
                <w:t>H.2.8</w:t>
              </w:r>
            </w:hyperlink>
          </w:p>
        </w:tc>
      </w:tr>
      <w:tr w:rsidR="00550C2E" w:rsidRPr="004C52B8" w14:paraId="0E1E5CCF" w14:textId="77777777" w:rsidTr="00316D72">
        <w:trPr>
          <w:trHeight w:val="310"/>
        </w:trPr>
        <w:tc>
          <w:tcPr>
            <w:tcW w:w="2021" w:type="dxa"/>
            <w:shd w:val="clear" w:color="auto" w:fill="auto"/>
            <w:noWrap/>
            <w:vAlign w:val="center"/>
            <w:hideMark/>
          </w:tcPr>
          <w:p w14:paraId="37683F4E" w14:textId="77777777" w:rsidR="00550C2E" w:rsidRPr="000069EC" w:rsidRDefault="00550C2E" w:rsidP="00316D72">
            <w:pPr>
              <w:rPr>
                <w:b/>
                <w:lang w:eastAsia="de-DE"/>
              </w:rPr>
            </w:pPr>
            <w:r w:rsidRPr="00C459B2">
              <w:rPr>
                <w:b/>
                <w:lang w:eastAsia="de-DE"/>
              </w:rPr>
              <w:t>CF</w:t>
            </w:r>
          </w:p>
        </w:tc>
        <w:tc>
          <w:tcPr>
            <w:tcW w:w="8125" w:type="dxa"/>
            <w:shd w:val="clear" w:color="auto" w:fill="auto"/>
            <w:noWrap/>
            <w:vAlign w:val="center"/>
            <w:hideMark/>
          </w:tcPr>
          <w:p w14:paraId="355161B6" w14:textId="77777777" w:rsidR="00550C2E" w:rsidRPr="000069EC" w:rsidRDefault="00550C2E" w:rsidP="00316D72">
            <w:pPr>
              <w:rPr>
                <w:lang w:eastAsia="de-DE"/>
              </w:rPr>
            </w:pPr>
            <w:r w:rsidRPr="000069EC">
              <w:rPr>
                <w:lang w:eastAsia="de-DE"/>
              </w:rPr>
              <w:t>Controlling and Finance</w:t>
            </w:r>
          </w:p>
        </w:tc>
      </w:tr>
      <w:tr w:rsidR="00550C2E" w:rsidRPr="004C52B8" w14:paraId="68BAD3FA" w14:textId="77777777" w:rsidTr="00316D72">
        <w:trPr>
          <w:trHeight w:val="310"/>
        </w:trPr>
        <w:tc>
          <w:tcPr>
            <w:tcW w:w="2021" w:type="dxa"/>
            <w:shd w:val="clear" w:color="auto" w:fill="auto"/>
            <w:noWrap/>
            <w:vAlign w:val="center"/>
            <w:hideMark/>
          </w:tcPr>
          <w:p w14:paraId="3DDB34EF" w14:textId="77777777" w:rsidR="00550C2E" w:rsidRPr="000069EC" w:rsidRDefault="00550C2E" w:rsidP="00316D72">
            <w:pPr>
              <w:rPr>
                <w:b/>
                <w:lang w:eastAsia="de-DE"/>
              </w:rPr>
            </w:pPr>
            <w:r w:rsidRPr="00C459B2">
              <w:rPr>
                <w:b/>
                <w:lang w:eastAsia="de-DE"/>
              </w:rPr>
              <w:t>CF A</w:t>
            </w:r>
          </w:p>
        </w:tc>
        <w:tc>
          <w:tcPr>
            <w:tcW w:w="8125" w:type="dxa"/>
            <w:shd w:val="clear" w:color="auto" w:fill="auto"/>
            <w:noWrap/>
            <w:vAlign w:val="center"/>
            <w:hideMark/>
          </w:tcPr>
          <w:p w14:paraId="1D8A9675" w14:textId="77777777" w:rsidR="00550C2E" w:rsidRPr="004C52B8" w:rsidRDefault="00550C2E" w:rsidP="00316D72">
            <w:pPr>
              <w:rPr>
                <w:lang w:val="de-DE" w:eastAsia="de-DE"/>
              </w:rPr>
            </w:pPr>
            <w:r w:rsidRPr="000069EC">
              <w:rPr>
                <w:lang w:eastAsia="de-DE"/>
              </w:rPr>
              <w:t>Controlling and Finance Au</w:t>
            </w:r>
            <w:proofErr w:type="spellStart"/>
            <w:r w:rsidRPr="004C52B8">
              <w:rPr>
                <w:lang w:val="de-DE" w:eastAsia="de-DE"/>
              </w:rPr>
              <w:t>dit</w:t>
            </w:r>
            <w:proofErr w:type="spellEnd"/>
          </w:p>
        </w:tc>
      </w:tr>
      <w:tr w:rsidR="00550C2E" w:rsidRPr="004C52B8" w14:paraId="4970ABDD" w14:textId="77777777" w:rsidTr="00316D72">
        <w:trPr>
          <w:trHeight w:val="310"/>
        </w:trPr>
        <w:tc>
          <w:tcPr>
            <w:tcW w:w="2021" w:type="dxa"/>
            <w:shd w:val="clear" w:color="auto" w:fill="auto"/>
            <w:noWrap/>
            <w:vAlign w:val="center"/>
            <w:hideMark/>
          </w:tcPr>
          <w:p w14:paraId="626316FA" w14:textId="77777777" w:rsidR="00550C2E" w:rsidRPr="00C459B2" w:rsidRDefault="00550C2E" w:rsidP="00316D72">
            <w:pPr>
              <w:rPr>
                <w:b/>
                <w:lang w:val="de-DE" w:eastAsia="de-DE"/>
              </w:rPr>
            </w:pPr>
            <w:r w:rsidRPr="00C459B2">
              <w:rPr>
                <w:b/>
                <w:lang w:eastAsia="de-DE"/>
              </w:rPr>
              <w:t>CF R 6</w:t>
            </w:r>
          </w:p>
        </w:tc>
        <w:tc>
          <w:tcPr>
            <w:tcW w:w="8125" w:type="dxa"/>
            <w:shd w:val="clear" w:color="auto" w:fill="auto"/>
            <w:noWrap/>
            <w:vAlign w:val="center"/>
            <w:hideMark/>
          </w:tcPr>
          <w:p w14:paraId="0E756A03" w14:textId="77777777" w:rsidR="00550C2E" w:rsidRPr="004C52B8" w:rsidRDefault="00550C2E" w:rsidP="00316D72">
            <w:pPr>
              <w:rPr>
                <w:lang w:eastAsia="de-DE"/>
              </w:rPr>
            </w:pPr>
            <w:r w:rsidRPr="004C52B8">
              <w:rPr>
                <w:lang w:eastAsia="de-DE"/>
              </w:rPr>
              <w:t>Controlling and Finance - Accounting Reporting and Controlling - Shareholder Controlling</w:t>
            </w:r>
          </w:p>
        </w:tc>
      </w:tr>
      <w:tr w:rsidR="00550C2E" w:rsidRPr="004C52B8" w14:paraId="15B2975C" w14:textId="77777777" w:rsidTr="00316D72">
        <w:trPr>
          <w:trHeight w:val="310"/>
        </w:trPr>
        <w:tc>
          <w:tcPr>
            <w:tcW w:w="2021" w:type="dxa"/>
            <w:shd w:val="clear" w:color="auto" w:fill="auto"/>
            <w:noWrap/>
            <w:vAlign w:val="center"/>
            <w:hideMark/>
          </w:tcPr>
          <w:p w14:paraId="027E0EA9" w14:textId="77777777" w:rsidR="00550C2E" w:rsidRPr="00C459B2" w:rsidRDefault="00550C2E" w:rsidP="00316D72">
            <w:pPr>
              <w:rPr>
                <w:b/>
                <w:lang w:val="de-DE" w:eastAsia="de-DE"/>
              </w:rPr>
            </w:pPr>
            <w:r w:rsidRPr="00C459B2">
              <w:rPr>
                <w:b/>
                <w:lang w:eastAsia="de-DE"/>
              </w:rPr>
              <w:t>CISS</w:t>
            </w:r>
          </w:p>
        </w:tc>
        <w:tc>
          <w:tcPr>
            <w:tcW w:w="8125" w:type="dxa"/>
            <w:shd w:val="clear" w:color="auto" w:fill="auto"/>
            <w:noWrap/>
            <w:vAlign w:val="center"/>
            <w:hideMark/>
          </w:tcPr>
          <w:p w14:paraId="390526E9" w14:textId="77777777" w:rsidR="00550C2E" w:rsidRPr="004C52B8" w:rsidRDefault="00550C2E" w:rsidP="00316D72">
            <w:pPr>
              <w:rPr>
                <w:lang w:eastAsia="de-DE"/>
              </w:rPr>
            </w:pPr>
            <w:r w:rsidRPr="004C52B8">
              <w:rPr>
                <w:lang w:eastAsia="de-DE"/>
              </w:rPr>
              <w:t>Corporate Information on Siemens Subsidiaries</w:t>
            </w:r>
          </w:p>
        </w:tc>
      </w:tr>
      <w:tr w:rsidR="00550C2E" w:rsidRPr="004C52B8" w14:paraId="662051B5" w14:textId="77777777" w:rsidTr="00316D72">
        <w:trPr>
          <w:trHeight w:val="310"/>
        </w:trPr>
        <w:tc>
          <w:tcPr>
            <w:tcW w:w="2021" w:type="dxa"/>
            <w:shd w:val="clear" w:color="auto" w:fill="auto"/>
            <w:noWrap/>
            <w:vAlign w:val="center"/>
            <w:hideMark/>
          </w:tcPr>
          <w:p w14:paraId="7F655F50" w14:textId="77777777" w:rsidR="00550C2E" w:rsidRPr="00C459B2" w:rsidRDefault="00550C2E" w:rsidP="00316D72">
            <w:pPr>
              <w:rPr>
                <w:b/>
                <w:lang w:val="de-DE" w:eastAsia="de-DE"/>
              </w:rPr>
            </w:pPr>
            <w:r w:rsidRPr="00C459B2">
              <w:rPr>
                <w:b/>
                <w:lang w:eastAsia="de-DE"/>
              </w:rPr>
              <w:t>Clearance Case</w:t>
            </w:r>
          </w:p>
        </w:tc>
        <w:tc>
          <w:tcPr>
            <w:tcW w:w="8125" w:type="dxa"/>
            <w:shd w:val="clear" w:color="auto" w:fill="auto"/>
            <w:noWrap/>
            <w:vAlign w:val="center"/>
            <w:hideMark/>
          </w:tcPr>
          <w:p w14:paraId="6F06776C" w14:textId="77777777" w:rsidR="00550C2E" w:rsidRPr="004C52B8" w:rsidRDefault="00550C2E" w:rsidP="00316D72">
            <w:pPr>
              <w:rPr>
                <w:lang w:eastAsia="de-DE"/>
              </w:rPr>
            </w:pPr>
            <w:r w:rsidRPr="004C52B8">
              <w:rPr>
                <w:lang w:eastAsia="de-DE"/>
              </w:rPr>
              <w:t>Investigation resulting in allegations against individuals not being able to be substantiated</w:t>
            </w:r>
            <w:r>
              <w:rPr>
                <w:lang w:eastAsia="de-DE"/>
              </w:rPr>
              <w:t xml:space="preserve"> </w:t>
            </w:r>
            <w:r w:rsidRPr="001C7AAD">
              <w:rPr>
                <w:i/>
                <w:lang w:eastAsia="de-DE"/>
              </w:rPr>
              <w:t>(</w:t>
            </w:r>
            <w:hyperlink r:id="rId49" w:history="1">
              <w:r>
                <w:rPr>
                  <w:rStyle w:val="Hyperlink"/>
                  <w:i/>
                  <w:lang w:eastAsia="de-DE"/>
                </w:rPr>
                <w:t>L 2.</w:t>
              </w:r>
            </w:hyperlink>
            <w:r w:rsidRPr="001C7AAD">
              <w:rPr>
                <w:i/>
                <w:lang w:eastAsia="de-DE"/>
              </w:rPr>
              <w:t xml:space="preserve"> Case Handling, </w:t>
            </w:r>
            <w:hyperlink r:id="rId50" w:history="1">
              <w:r>
                <w:rPr>
                  <w:rStyle w:val="Hyperlink"/>
                  <w:i/>
                  <w:lang w:eastAsia="de-DE"/>
                </w:rPr>
                <w:t>L 5.</w:t>
              </w:r>
            </w:hyperlink>
            <w:r w:rsidRPr="001C7AAD">
              <w:rPr>
                <w:i/>
                <w:lang w:eastAsia="de-DE"/>
              </w:rPr>
              <w:t xml:space="preserve"> Remediation)</w:t>
            </w:r>
            <w:r w:rsidRPr="004C52B8">
              <w:rPr>
                <w:lang w:eastAsia="de-DE"/>
              </w:rPr>
              <w:t>.</w:t>
            </w:r>
          </w:p>
        </w:tc>
      </w:tr>
      <w:tr w:rsidR="00550C2E" w:rsidRPr="004C52B8" w14:paraId="502DD6C4" w14:textId="77777777" w:rsidTr="00316D72">
        <w:trPr>
          <w:trHeight w:val="310"/>
        </w:trPr>
        <w:tc>
          <w:tcPr>
            <w:tcW w:w="2021" w:type="dxa"/>
            <w:shd w:val="clear" w:color="auto" w:fill="auto"/>
            <w:noWrap/>
            <w:vAlign w:val="center"/>
            <w:hideMark/>
          </w:tcPr>
          <w:p w14:paraId="00EB871E" w14:textId="77777777" w:rsidR="00550C2E" w:rsidRPr="00C459B2" w:rsidRDefault="00550C2E" w:rsidP="00316D72">
            <w:pPr>
              <w:rPr>
                <w:b/>
                <w:lang w:val="de-DE" w:eastAsia="de-DE"/>
              </w:rPr>
            </w:pPr>
            <w:r w:rsidRPr="00C459B2">
              <w:rPr>
                <w:b/>
                <w:lang w:eastAsia="de-DE"/>
              </w:rPr>
              <w:t>Clearance Case +</w:t>
            </w:r>
          </w:p>
        </w:tc>
        <w:tc>
          <w:tcPr>
            <w:tcW w:w="8125" w:type="dxa"/>
            <w:shd w:val="clear" w:color="auto" w:fill="auto"/>
            <w:noWrap/>
            <w:vAlign w:val="center"/>
            <w:hideMark/>
          </w:tcPr>
          <w:p w14:paraId="66AB2EC3" w14:textId="77777777" w:rsidR="00550C2E" w:rsidRPr="00980740" w:rsidRDefault="00550C2E" w:rsidP="00316D72">
            <w:pPr>
              <w:rPr>
                <w:lang w:eastAsia="de-DE"/>
              </w:rPr>
            </w:pPr>
            <w:proofErr w:type="gramStart"/>
            <w:r w:rsidRPr="004C52B8">
              <w:rPr>
                <w:lang w:eastAsia="de-DE"/>
              </w:rPr>
              <w:t>Similar to</w:t>
            </w:r>
            <w:proofErr w:type="gramEnd"/>
            <w:r w:rsidRPr="004C52B8">
              <w:rPr>
                <w:lang w:eastAsia="de-DE"/>
              </w:rPr>
              <w:t xml:space="preserve"> Clearance Case. Nevertheless (process) deficiencies were observed. </w:t>
            </w:r>
            <w:r w:rsidRPr="001C7AAD">
              <w:rPr>
                <w:lang w:eastAsia="de-DE"/>
              </w:rPr>
              <w:t xml:space="preserve">Remediation measures (e.g. training measures) are usually defined </w:t>
            </w:r>
            <w:r w:rsidRPr="001C7AAD">
              <w:rPr>
                <w:i/>
                <w:lang w:eastAsia="de-DE"/>
              </w:rPr>
              <w:t>(</w:t>
            </w:r>
            <w:hyperlink r:id="rId51" w:history="1">
              <w:r>
                <w:rPr>
                  <w:rStyle w:val="Hyperlink"/>
                  <w:i/>
                  <w:lang w:eastAsia="de-DE"/>
                </w:rPr>
                <w:t>L 2.</w:t>
              </w:r>
            </w:hyperlink>
            <w:r w:rsidRPr="001C7AAD">
              <w:rPr>
                <w:i/>
                <w:lang w:eastAsia="de-DE"/>
              </w:rPr>
              <w:t xml:space="preserve"> Case Handling, </w:t>
            </w:r>
            <w:hyperlink r:id="rId52" w:history="1">
              <w:r>
                <w:rPr>
                  <w:rStyle w:val="Hyperlink"/>
                  <w:i/>
                  <w:lang w:eastAsia="de-DE"/>
                </w:rPr>
                <w:t>L 5.</w:t>
              </w:r>
            </w:hyperlink>
            <w:r w:rsidRPr="001C7AAD">
              <w:rPr>
                <w:i/>
                <w:lang w:eastAsia="de-DE"/>
              </w:rPr>
              <w:t xml:space="preserve"> Remediation)</w:t>
            </w:r>
            <w:r w:rsidRPr="004C52B8">
              <w:rPr>
                <w:lang w:eastAsia="de-DE"/>
              </w:rPr>
              <w:t>.</w:t>
            </w:r>
          </w:p>
        </w:tc>
      </w:tr>
      <w:tr w:rsidR="00550C2E" w:rsidRPr="004C52B8" w14:paraId="0F644665" w14:textId="77777777" w:rsidTr="00316D72">
        <w:trPr>
          <w:trHeight w:val="310"/>
        </w:trPr>
        <w:tc>
          <w:tcPr>
            <w:tcW w:w="2021" w:type="dxa"/>
            <w:shd w:val="clear" w:color="auto" w:fill="auto"/>
            <w:noWrap/>
            <w:vAlign w:val="center"/>
            <w:hideMark/>
          </w:tcPr>
          <w:p w14:paraId="0995000A" w14:textId="77777777" w:rsidR="00550C2E" w:rsidRPr="00C459B2" w:rsidRDefault="00550C2E" w:rsidP="00316D72">
            <w:pPr>
              <w:rPr>
                <w:b/>
                <w:lang w:val="de-DE" w:eastAsia="de-DE"/>
              </w:rPr>
            </w:pPr>
            <w:r w:rsidRPr="00C459B2">
              <w:rPr>
                <w:b/>
                <w:lang w:eastAsia="de-DE"/>
              </w:rPr>
              <w:t>Closure Case</w:t>
            </w:r>
          </w:p>
        </w:tc>
        <w:tc>
          <w:tcPr>
            <w:tcW w:w="8125" w:type="dxa"/>
            <w:shd w:val="clear" w:color="auto" w:fill="auto"/>
            <w:noWrap/>
            <w:vAlign w:val="center"/>
            <w:hideMark/>
          </w:tcPr>
          <w:p w14:paraId="342F2326" w14:textId="77777777" w:rsidR="00550C2E" w:rsidRPr="004C52B8" w:rsidRDefault="00550C2E" w:rsidP="00316D72">
            <w:pPr>
              <w:rPr>
                <w:lang w:eastAsia="de-DE"/>
              </w:rPr>
            </w:pPr>
            <w:r w:rsidRPr="004C52B8">
              <w:rPr>
                <w:lang w:eastAsia="de-DE"/>
              </w:rPr>
              <w:t>Investigation resulting in the investigated allegations not being able to be substantiated. In contrast to a clearance case, there is no invo</w:t>
            </w:r>
            <w:r>
              <w:rPr>
                <w:lang w:eastAsia="de-DE"/>
              </w:rPr>
              <w:t xml:space="preserve">lvement of individual employees </w:t>
            </w:r>
            <w:r w:rsidRPr="001C7AAD">
              <w:rPr>
                <w:i/>
                <w:lang w:eastAsia="de-DE"/>
              </w:rPr>
              <w:t>(</w:t>
            </w:r>
            <w:hyperlink r:id="rId53" w:history="1">
              <w:r>
                <w:rPr>
                  <w:rStyle w:val="Hyperlink"/>
                  <w:i/>
                  <w:lang w:eastAsia="de-DE"/>
                </w:rPr>
                <w:t>L 2.</w:t>
              </w:r>
            </w:hyperlink>
            <w:r w:rsidRPr="001C7AAD">
              <w:rPr>
                <w:i/>
                <w:lang w:eastAsia="de-DE"/>
              </w:rPr>
              <w:t xml:space="preserve"> Case </w:t>
            </w:r>
            <w:r w:rsidRPr="001C7AAD">
              <w:rPr>
                <w:i/>
                <w:lang w:eastAsia="de-DE"/>
              </w:rPr>
              <w:lastRenderedPageBreak/>
              <w:t xml:space="preserve">Handling, </w:t>
            </w:r>
            <w:hyperlink r:id="rId54" w:history="1">
              <w:r>
                <w:rPr>
                  <w:rStyle w:val="Hyperlink"/>
                  <w:i/>
                  <w:lang w:eastAsia="de-DE"/>
                </w:rPr>
                <w:t>L 5.</w:t>
              </w:r>
            </w:hyperlink>
            <w:r w:rsidRPr="001C7AAD">
              <w:rPr>
                <w:i/>
                <w:lang w:eastAsia="de-DE"/>
              </w:rPr>
              <w:t xml:space="preserve"> Remediation)</w:t>
            </w:r>
            <w:r w:rsidRPr="004C52B8">
              <w:rPr>
                <w:lang w:eastAsia="de-DE"/>
              </w:rPr>
              <w:t>.</w:t>
            </w:r>
          </w:p>
        </w:tc>
      </w:tr>
      <w:tr w:rsidR="00550C2E" w:rsidRPr="004C52B8" w14:paraId="461A1AF6" w14:textId="77777777" w:rsidTr="00316D72">
        <w:trPr>
          <w:trHeight w:val="310"/>
        </w:trPr>
        <w:tc>
          <w:tcPr>
            <w:tcW w:w="2021" w:type="dxa"/>
            <w:shd w:val="clear" w:color="auto" w:fill="auto"/>
            <w:noWrap/>
            <w:vAlign w:val="center"/>
            <w:hideMark/>
          </w:tcPr>
          <w:p w14:paraId="14ED3F26" w14:textId="77777777" w:rsidR="00550C2E" w:rsidRPr="00C459B2" w:rsidRDefault="00550C2E" w:rsidP="00316D72">
            <w:pPr>
              <w:rPr>
                <w:b/>
                <w:lang w:val="de-DE" w:eastAsia="de-DE"/>
              </w:rPr>
            </w:pPr>
            <w:r w:rsidRPr="00C459B2">
              <w:rPr>
                <w:b/>
                <w:lang w:eastAsia="de-DE"/>
              </w:rPr>
              <w:lastRenderedPageBreak/>
              <w:t>Closure Case +</w:t>
            </w:r>
          </w:p>
        </w:tc>
        <w:tc>
          <w:tcPr>
            <w:tcW w:w="8125" w:type="dxa"/>
            <w:shd w:val="clear" w:color="auto" w:fill="auto"/>
            <w:noWrap/>
            <w:vAlign w:val="center"/>
            <w:hideMark/>
          </w:tcPr>
          <w:p w14:paraId="6C9C5FF5" w14:textId="77777777" w:rsidR="00550C2E" w:rsidRPr="004C52B8" w:rsidRDefault="00550C2E" w:rsidP="00316D72">
            <w:pPr>
              <w:rPr>
                <w:lang w:val="de-DE" w:eastAsia="de-DE"/>
              </w:rPr>
            </w:pPr>
            <w:proofErr w:type="gramStart"/>
            <w:r w:rsidRPr="004C52B8">
              <w:rPr>
                <w:lang w:eastAsia="de-DE"/>
              </w:rPr>
              <w:t>Similar to</w:t>
            </w:r>
            <w:proofErr w:type="gramEnd"/>
            <w:r w:rsidRPr="004C52B8">
              <w:rPr>
                <w:lang w:eastAsia="de-DE"/>
              </w:rPr>
              <w:t xml:space="preserve"> Closure Case. Nevertheless (process) deficiencies were observed. </w:t>
            </w:r>
            <w:r w:rsidRPr="001C7AAD">
              <w:rPr>
                <w:lang w:eastAsia="de-DE"/>
              </w:rPr>
              <w:t xml:space="preserve">Remediation measures such as training are usually defined </w:t>
            </w:r>
            <w:r w:rsidRPr="001C7AAD">
              <w:rPr>
                <w:i/>
                <w:lang w:eastAsia="de-DE"/>
              </w:rPr>
              <w:t>(</w:t>
            </w:r>
            <w:hyperlink r:id="rId55" w:history="1">
              <w:r>
                <w:rPr>
                  <w:rStyle w:val="Hyperlink"/>
                  <w:i/>
                  <w:lang w:eastAsia="de-DE"/>
                </w:rPr>
                <w:t>L 2.</w:t>
              </w:r>
            </w:hyperlink>
            <w:r w:rsidRPr="001C7AAD">
              <w:rPr>
                <w:i/>
                <w:lang w:eastAsia="de-DE"/>
              </w:rPr>
              <w:t xml:space="preserve"> Case Handling, </w:t>
            </w:r>
            <w:hyperlink r:id="rId56" w:history="1">
              <w:r>
                <w:rPr>
                  <w:rStyle w:val="Hyperlink"/>
                  <w:i/>
                  <w:lang w:eastAsia="de-DE"/>
                </w:rPr>
                <w:t>L 5.</w:t>
              </w:r>
            </w:hyperlink>
            <w:r w:rsidRPr="001C7AAD">
              <w:rPr>
                <w:i/>
                <w:lang w:eastAsia="de-DE"/>
              </w:rPr>
              <w:t xml:space="preserve"> Remediation)</w:t>
            </w:r>
            <w:r w:rsidRPr="004C52B8">
              <w:rPr>
                <w:lang w:eastAsia="de-DE"/>
              </w:rPr>
              <w:t>.</w:t>
            </w:r>
          </w:p>
        </w:tc>
      </w:tr>
      <w:tr w:rsidR="00550C2E" w:rsidRPr="004C52B8" w14:paraId="2516F604" w14:textId="77777777" w:rsidTr="00316D72">
        <w:trPr>
          <w:trHeight w:val="310"/>
        </w:trPr>
        <w:tc>
          <w:tcPr>
            <w:tcW w:w="2021" w:type="dxa"/>
            <w:shd w:val="clear" w:color="auto" w:fill="auto"/>
            <w:noWrap/>
            <w:vAlign w:val="center"/>
          </w:tcPr>
          <w:p w14:paraId="72892B00" w14:textId="77777777" w:rsidR="00550C2E" w:rsidRPr="00444A6E" w:rsidRDefault="00550C2E" w:rsidP="00316D72">
            <w:pPr>
              <w:rPr>
                <w:b/>
                <w:highlight w:val="yellow"/>
                <w:lang w:eastAsia="de-DE"/>
              </w:rPr>
            </w:pPr>
            <w:r w:rsidRPr="00D36B94">
              <w:rPr>
                <w:b/>
                <w:lang w:eastAsia="de-DE"/>
              </w:rPr>
              <w:t>CMC</w:t>
            </w:r>
          </w:p>
        </w:tc>
        <w:tc>
          <w:tcPr>
            <w:tcW w:w="8125" w:type="dxa"/>
            <w:shd w:val="clear" w:color="auto" w:fill="auto"/>
            <w:noWrap/>
            <w:vAlign w:val="center"/>
          </w:tcPr>
          <w:p w14:paraId="1343A4D3" w14:textId="77777777" w:rsidR="00550C2E" w:rsidRPr="00D36B94" w:rsidRDefault="00550C2E" w:rsidP="00316D72">
            <w:pPr>
              <w:rPr>
                <w:lang w:eastAsia="de-DE"/>
              </w:rPr>
            </w:pPr>
            <w:r>
              <w:t xml:space="preserve">Compliance Management Council, see </w:t>
            </w:r>
            <w:hyperlink r:id="rId57" w:history="1">
              <w:r>
                <w:rPr>
                  <w:rStyle w:val="Hyperlink"/>
                </w:rPr>
                <w:t>Compliance Operating Model</w:t>
              </w:r>
            </w:hyperlink>
          </w:p>
        </w:tc>
      </w:tr>
      <w:tr w:rsidR="00550C2E" w:rsidRPr="004C52B8" w14:paraId="67CEED4E" w14:textId="77777777" w:rsidTr="00316D72">
        <w:trPr>
          <w:trHeight w:val="310"/>
        </w:trPr>
        <w:tc>
          <w:tcPr>
            <w:tcW w:w="2021" w:type="dxa"/>
            <w:shd w:val="clear" w:color="auto" w:fill="auto"/>
            <w:noWrap/>
            <w:vAlign w:val="center"/>
            <w:hideMark/>
          </w:tcPr>
          <w:p w14:paraId="7CE8B63D" w14:textId="77777777" w:rsidR="00550C2E" w:rsidRPr="00C459B2" w:rsidRDefault="00550C2E" w:rsidP="00316D72">
            <w:pPr>
              <w:rPr>
                <w:b/>
                <w:lang w:val="de-DE" w:eastAsia="de-DE"/>
              </w:rPr>
            </w:pPr>
            <w:r w:rsidRPr="00C459B2">
              <w:rPr>
                <w:b/>
                <w:lang w:eastAsia="de-DE"/>
              </w:rPr>
              <w:t>CO</w:t>
            </w:r>
          </w:p>
        </w:tc>
        <w:tc>
          <w:tcPr>
            <w:tcW w:w="8125" w:type="dxa"/>
            <w:shd w:val="clear" w:color="auto" w:fill="auto"/>
            <w:noWrap/>
            <w:vAlign w:val="center"/>
            <w:hideMark/>
          </w:tcPr>
          <w:p w14:paraId="06A44A9C" w14:textId="77777777" w:rsidR="00550C2E" w:rsidRPr="004C52B8" w:rsidRDefault="00550C2E" w:rsidP="00316D72">
            <w:pPr>
              <w:rPr>
                <w:lang w:val="de-DE" w:eastAsia="de-DE"/>
              </w:rPr>
            </w:pPr>
            <w:r w:rsidRPr="004C52B8">
              <w:rPr>
                <w:lang w:val="de-DE" w:eastAsia="de-DE"/>
              </w:rPr>
              <w:t>Compliance Officer</w:t>
            </w:r>
          </w:p>
        </w:tc>
      </w:tr>
      <w:tr w:rsidR="00550C2E" w:rsidRPr="004C52B8" w14:paraId="31AAC26B" w14:textId="77777777" w:rsidTr="00316D72">
        <w:trPr>
          <w:trHeight w:val="310"/>
        </w:trPr>
        <w:tc>
          <w:tcPr>
            <w:tcW w:w="2021" w:type="dxa"/>
            <w:shd w:val="clear" w:color="auto" w:fill="auto"/>
            <w:noWrap/>
            <w:vAlign w:val="center"/>
            <w:hideMark/>
          </w:tcPr>
          <w:p w14:paraId="0872B0BE" w14:textId="77777777" w:rsidR="00550C2E" w:rsidRPr="00C459B2" w:rsidRDefault="00550C2E" w:rsidP="00316D72">
            <w:pPr>
              <w:rPr>
                <w:b/>
                <w:lang w:val="de-DE" w:eastAsia="de-DE"/>
              </w:rPr>
            </w:pPr>
            <w:r w:rsidRPr="00C459B2">
              <w:rPr>
                <w:b/>
                <w:lang w:eastAsia="de-DE"/>
              </w:rPr>
              <w:t>Compliance Case</w:t>
            </w:r>
          </w:p>
        </w:tc>
        <w:tc>
          <w:tcPr>
            <w:tcW w:w="8125" w:type="dxa"/>
            <w:shd w:val="clear" w:color="auto" w:fill="auto"/>
            <w:noWrap/>
            <w:vAlign w:val="center"/>
            <w:hideMark/>
          </w:tcPr>
          <w:p w14:paraId="32F30F9D" w14:textId="77777777" w:rsidR="00550C2E" w:rsidRPr="004C52B8" w:rsidRDefault="00550C2E" w:rsidP="00316D72">
            <w:pPr>
              <w:rPr>
                <w:lang w:eastAsia="de-DE"/>
              </w:rPr>
            </w:pPr>
            <w:r w:rsidRPr="004C52B8">
              <w:rPr>
                <w:lang w:eastAsia="de-DE"/>
              </w:rPr>
              <w:t>Plausible allegation re</w:t>
            </w:r>
            <w:r>
              <w:rPr>
                <w:lang w:eastAsia="de-DE"/>
              </w:rPr>
              <w:t xml:space="preserve">garding a possible violation of </w:t>
            </w:r>
            <w:r w:rsidRPr="004C52B8">
              <w:rPr>
                <w:lang w:eastAsia="de-DE"/>
              </w:rPr>
              <w:t>the Siemens Business Conduct Guidelines and/or</w:t>
            </w:r>
            <w:r>
              <w:rPr>
                <w:lang w:eastAsia="de-DE"/>
              </w:rPr>
              <w:t xml:space="preserve"> </w:t>
            </w:r>
            <w:r w:rsidRPr="004C52B8">
              <w:rPr>
                <w:lang w:eastAsia="de-DE"/>
              </w:rPr>
              <w:t>the applicable law which could lead to criminal or administrative sanctions</w:t>
            </w:r>
            <w:r>
              <w:rPr>
                <w:lang w:eastAsia="de-DE"/>
              </w:rPr>
              <w:t xml:space="preserve"> (</w:t>
            </w:r>
            <w:hyperlink r:id="rId58" w:history="1">
              <w:r>
                <w:rPr>
                  <w:rStyle w:val="Hyperlink"/>
                  <w:lang w:eastAsia="de-DE"/>
                </w:rPr>
                <w:t>L.</w:t>
              </w:r>
            </w:hyperlink>
            <w:r>
              <w:rPr>
                <w:lang w:eastAsia="de-DE"/>
              </w:rPr>
              <w:t xml:space="preserve"> Case Handling, Discipline and Remediation)</w:t>
            </w:r>
            <w:r w:rsidRPr="004C52B8">
              <w:rPr>
                <w:lang w:eastAsia="de-DE"/>
              </w:rPr>
              <w:t>.</w:t>
            </w:r>
          </w:p>
        </w:tc>
      </w:tr>
      <w:tr w:rsidR="00550C2E" w:rsidRPr="004C52B8" w14:paraId="4BA66399" w14:textId="77777777" w:rsidTr="00316D72">
        <w:trPr>
          <w:trHeight w:val="310"/>
        </w:trPr>
        <w:tc>
          <w:tcPr>
            <w:tcW w:w="2021" w:type="dxa"/>
            <w:shd w:val="clear" w:color="auto" w:fill="auto"/>
            <w:noWrap/>
            <w:vAlign w:val="center"/>
          </w:tcPr>
          <w:p w14:paraId="7EF1482D" w14:textId="77777777" w:rsidR="00550C2E" w:rsidRDefault="00550C2E" w:rsidP="00316D72">
            <w:pPr>
              <w:rPr>
                <w:b/>
                <w:lang w:eastAsia="de-DE"/>
              </w:rPr>
            </w:pPr>
            <w:r w:rsidRPr="00AD201C">
              <w:rPr>
                <w:b/>
                <w:lang w:eastAsia="de-DE"/>
              </w:rPr>
              <w:t>Cooperation</w:t>
            </w:r>
            <w:r>
              <w:rPr>
                <w:b/>
                <w:lang w:eastAsia="de-DE"/>
              </w:rPr>
              <w:t xml:space="preserve"> </w:t>
            </w:r>
            <w:r w:rsidRPr="00AD201C">
              <w:rPr>
                <w:b/>
                <w:lang w:eastAsia="de-DE"/>
              </w:rPr>
              <w:t>/</w:t>
            </w:r>
          </w:p>
          <w:p w14:paraId="096AE73A" w14:textId="77777777" w:rsidR="00550C2E" w:rsidRPr="00C459B2" w:rsidRDefault="00550C2E" w:rsidP="00316D72">
            <w:pPr>
              <w:rPr>
                <w:b/>
                <w:lang w:eastAsia="de-DE"/>
              </w:rPr>
            </w:pPr>
            <w:r w:rsidRPr="00AD201C">
              <w:rPr>
                <w:b/>
                <w:lang w:eastAsia="de-DE"/>
              </w:rPr>
              <w:t>Consortium Partner</w:t>
            </w:r>
          </w:p>
        </w:tc>
        <w:tc>
          <w:tcPr>
            <w:tcW w:w="8125" w:type="dxa"/>
            <w:shd w:val="clear" w:color="auto" w:fill="auto"/>
            <w:noWrap/>
            <w:vAlign w:val="center"/>
          </w:tcPr>
          <w:p w14:paraId="65355FBB" w14:textId="73297A04" w:rsidR="00550C2E" w:rsidRDefault="00550C2E" w:rsidP="00316D72">
            <w:r>
              <w:t>Se</w:t>
            </w:r>
            <w:r w:rsidR="005A11DE">
              <w:t xml:space="preserve">e </w:t>
            </w:r>
            <w:hyperlink r:id="rId59" w:history="1">
              <w:r w:rsidR="005A11DE" w:rsidRPr="00425A3B">
                <w:rPr>
                  <w:rStyle w:val="Hyperlink"/>
                </w:rPr>
                <w:t>A</w:t>
              </w:r>
              <w:r w:rsidR="00425A3B">
                <w:rPr>
                  <w:rStyle w:val="Hyperlink"/>
                </w:rPr>
                <w:t xml:space="preserve"> </w:t>
              </w:r>
              <w:r w:rsidR="005A11DE" w:rsidRPr="00425A3B">
                <w:rPr>
                  <w:rStyle w:val="Hyperlink"/>
                </w:rPr>
                <w:t>4.A.1.4</w:t>
              </w:r>
            </w:hyperlink>
            <w:r>
              <w:t>.</w:t>
            </w:r>
          </w:p>
        </w:tc>
      </w:tr>
      <w:tr w:rsidR="00550C2E" w:rsidRPr="004C52B8" w14:paraId="6991DD67" w14:textId="77777777" w:rsidTr="00316D72">
        <w:trPr>
          <w:trHeight w:val="310"/>
        </w:trPr>
        <w:tc>
          <w:tcPr>
            <w:tcW w:w="2021" w:type="dxa"/>
            <w:shd w:val="clear" w:color="auto" w:fill="auto"/>
            <w:noWrap/>
            <w:vAlign w:val="center"/>
          </w:tcPr>
          <w:p w14:paraId="4947B62E" w14:textId="77777777" w:rsidR="00550C2E" w:rsidRPr="00C459B2" w:rsidRDefault="00550C2E" w:rsidP="00316D72">
            <w:pPr>
              <w:rPr>
                <w:b/>
                <w:lang w:eastAsia="de-DE"/>
              </w:rPr>
            </w:pPr>
            <w:r w:rsidRPr="00C459B2">
              <w:rPr>
                <w:b/>
                <w:lang w:eastAsia="de-DE"/>
              </w:rPr>
              <w:t>Counterpart</w:t>
            </w:r>
          </w:p>
        </w:tc>
        <w:tc>
          <w:tcPr>
            <w:tcW w:w="8125" w:type="dxa"/>
            <w:shd w:val="clear" w:color="auto" w:fill="auto"/>
            <w:noWrap/>
            <w:vAlign w:val="center"/>
          </w:tcPr>
          <w:p w14:paraId="5F24D521" w14:textId="77777777" w:rsidR="00550C2E" w:rsidRDefault="00550C2E" w:rsidP="00316D72">
            <w:r>
              <w:t>A</w:t>
            </w:r>
            <w:r w:rsidRPr="00680B58">
              <w:t>ny third party including but not limited to customers, suppliers, as well as third parties such as intermediaries, resellers, distributors, agents, consultants, consortium partners, EPC contract</w:t>
            </w:r>
            <w:r>
              <w:t>ors and joint venture partners.</w:t>
            </w:r>
          </w:p>
          <w:p w14:paraId="23114BB3" w14:textId="536B4D25" w:rsidR="00550C2E" w:rsidRPr="001C7AAD" w:rsidRDefault="00550C2E" w:rsidP="00316D72">
            <w:r w:rsidRPr="001C7AAD">
              <w:rPr>
                <w:i/>
              </w:rPr>
              <w:t>Relevant definition inter alia for chapters</w:t>
            </w:r>
            <w:r w:rsidR="005A11DE">
              <w:rPr>
                <w:i/>
              </w:rPr>
              <w:t xml:space="preserve"> </w:t>
            </w:r>
            <w:hyperlink r:id="rId60" w:history="1">
              <w:r w:rsidR="005A11DE" w:rsidRPr="00425A3B">
                <w:rPr>
                  <w:rStyle w:val="Hyperlink"/>
                  <w:i/>
                </w:rPr>
                <w:t>A</w:t>
              </w:r>
              <w:r w:rsidR="00425A3B">
                <w:rPr>
                  <w:rStyle w:val="Hyperlink"/>
                  <w:i/>
                </w:rPr>
                <w:t xml:space="preserve"> </w:t>
              </w:r>
              <w:r w:rsidR="005A11DE" w:rsidRPr="00425A3B">
                <w:rPr>
                  <w:rStyle w:val="Hyperlink"/>
                  <w:i/>
                </w:rPr>
                <w:t>4.A.1.</w:t>
              </w:r>
            </w:hyperlink>
            <w:r w:rsidR="005A11DE">
              <w:rPr>
                <w:i/>
              </w:rPr>
              <w:t xml:space="preserve"> </w:t>
            </w:r>
            <w:r w:rsidRPr="001C7AAD">
              <w:rPr>
                <w:i/>
              </w:rPr>
              <w:t xml:space="preserve">Compliance Due Diligence for Business Partners and </w:t>
            </w:r>
            <w:hyperlink r:id="rId61" w:history="1">
              <w:r>
                <w:rPr>
                  <w:rStyle w:val="Hyperlink"/>
                  <w:i/>
                </w:rPr>
                <w:t>C. 2.</w:t>
              </w:r>
            </w:hyperlink>
            <w:r>
              <w:rPr>
                <w:i/>
              </w:rPr>
              <w:t xml:space="preserve"> AML Due Diligence</w:t>
            </w:r>
            <w:r w:rsidRPr="009851FE">
              <w:rPr>
                <w:i/>
              </w:rPr>
              <w:t>.</w:t>
            </w:r>
          </w:p>
        </w:tc>
      </w:tr>
      <w:tr w:rsidR="00550C2E" w:rsidRPr="004C52B8" w14:paraId="39BDCFCE" w14:textId="77777777" w:rsidTr="00316D72">
        <w:trPr>
          <w:trHeight w:val="310"/>
        </w:trPr>
        <w:tc>
          <w:tcPr>
            <w:tcW w:w="2021" w:type="dxa"/>
            <w:shd w:val="clear" w:color="auto" w:fill="auto"/>
            <w:noWrap/>
            <w:vAlign w:val="center"/>
            <w:hideMark/>
          </w:tcPr>
          <w:p w14:paraId="1BE7AE48" w14:textId="77777777" w:rsidR="00550C2E" w:rsidRPr="00C459B2" w:rsidRDefault="00550C2E" w:rsidP="00316D72">
            <w:pPr>
              <w:rPr>
                <w:b/>
                <w:lang w:val="de-DE" w:eastAsia="de-DE"/>
              </w:rPr>
            </w:pPr>
            <w:r w:rsidRPr="00C459B2">
              <w:rPr>
                <w:b/>
                <w:lang w:eastAsia="de-DE"/>
              </w:rPr>
              <w:t>CRA</w:t>
            </w:r>
          </w:p>
        </w:tc>
        <w:tc>
          <w:tcPr>
            <w:tcW w:w="8125" w:type="dxa"/>
            <w:shd w:val="clear" w:color="auto" w:fill="auto"/>
            <w:noWrap/>
            <w:vAlign w:val="center"/>
            <w:hideMark/>
          </w:tcPr>
          <w:p w14:paraId="2215CF48" w14:textId="77777777" w:rsidR="00550C2E" w:rsidRPr="004C52B8" w:rsidRDefault="00550C2E" w:rsidP="00316D72">
            <w:pPr>
              <w:rPr>
                <w:lang w:val="de-DE" w:eastAsia="de-DE"/>
              </w:rPr>
            </w:pPr>
            <w:r w:rsidRPr="004C52B8">
              <w:rPr>
                <w:lang w:val="de-DE" w:eastAsia="de-DE"/>
              </w:rPr>
              <w:t>Compliance Risk Assessment</w:t>
            </w:r>
            <w:r>
              <w:rPr>
                <w:lang w:val="de-DE" w:eastAsia="de-DE"/>
              </w:rPr>
              <w:t xml:space="preserve"> </w:t>
            </w:r>
            <w:r w:rsidRPr="001C7AAD">
              <w:rPr>
                <w:i/>
                <w:lang w:val="de-DE" w:eastAsia="de-DE"/>
              </w:rPr>
              <w:t>(</w:t>
            </w:r>
            <w:hyperlink r:id="rId62" w:history="1">
              <w:r w:rsidRPr="001C7AAD">
                <w:rPr>
                  <w:rStyle w:val="Hyperlink"/>
                  <w:i/>
                  <w:lang w:val="de-DE" w:eastAsia="de-DE"/>
                </w:rPr>
                <w:t>K 1.</w:t>
              </w:r>
            </w:hyperlink>
            <w:r w:rsidRPr="001C7AAD">
              <w:rPr>
                <w:i/>
                <w:lang w:val="de-DE" w:eastAsia="de-DE"/>
              </w:rPr>
              <w:t>)</w:t>
            </w:r>
          </w:p>
        </w:tc>
      </w:tr>
      <w:tr w:rsidR="00550C2E" w:rsidRPr="004C52B8" w14:paraId="3268931E" w14:textId="77777777" w:rsidTr="00316D72">
        <w:trPr>
          <w:trHeight w:val="310"/>
        </w:trPr>
        <w:tc>
          <w:tcPr>
            <w:tcW w:w="2021" w:type="dxa"/>
            <w:shd w:val="clear" w:color="auto" w:fill="auto"/>
            <w:noWrap/>
            <w:vAlign w:val="center"/>
            <w:hideMark/>
          </w:tcPr>
          <w:p w14:paraId="41D9D2B9" w14:textId="77777777" w:rsidR="00550C2E" w:rsidRPr="00C459B2" w:rsidRDefault="00550C2E" w:rsidP="00316D72">
            <w:pPr>
              <w:rPr>
                <w:b/>
                <w:lang w:val="de-DE" w:eastAsia="de-DE"/>
              </w:rPr>
            </w:pPr>
            <w:r w:rsidRPr="00C459B2">
              <w:rPr>
                <w:b/>
                <w:lang w:eastAsia="de-DE"/>
              </w:rPr>
              <w:t>CRB</w:t>
            </w:r>
          </w:p>
        </w:tc>
        <w:tc>
          <w:tcPr>
            <w:tcW w:w="8125" w:type="dxa"/>
            <w:shd w:val="clear" w:color="auto" w:fill="auto"/>
            <w:noWrap/>
            <w:vAlign w:val="center"/>
            <w:hideMark/>
          </w:tcPr>
          <w:p w14:paraId="5C75E895" w14:textId="77777777" w:rsidR="00550C2E" w:rsidRPr="004C52B8" w:rsidRDefault="00550C2E" w:rsidP="00316D72">
            <w:pPr>
              <w:rPr>
                <w:lang w:val="de-DE" w:eastAsia="de-DE"/>
              </w:rPr>
            </w:pPr>
            <w:r w:rsidRPr="004C52B8">
              <w:rPr>
                <w:lang w:val="de-DE" w:eastAsia="de-DE"/>
              </w:rPr>
              <w:t>Compliance Review Board</w:t>
            </w:r>
            <w:r>
              <w:rPr>
                <w:lang w:val="de-DE" w:eastAsia="de-DE"/>
              </w:rPr>
              <w:t xml:space="preserve"> </w:t>
            </w:r>
            <w:r w:rsidRPr="001C7AAD">
              <w:rPr>
                <w:i/>
                <w:lang w:val="de-DE" w:eastAsia="de-DE"/>
              </w:rPr>
              <w:t>(</w:t>
            </w:r>
            <w:hyperlink r:id="rId63" w:history="1">
              <w:r w:rsidRPr="001C7AAD">
                <w:rPr>
                  <w:rStyle w:val="Hyperlink"/>
                  <w:i/>
                  <w:lang w:val="de-DE" w:eastAsia="de-DE"/>
                </w:rPr>
                <w:t>K 2.</w:t>
              </w:r>
            </w:hyperlink>
            <w:r w:rsidRPr="001C7AAD">
              <w:rPr>
                <w:i/>
                <w:lang w:val="de-DE" w:eastAsia="de-DE"/>
              </w:rPr>
              <w:t>)</w:t>
            </w:r>
          </w:p>
        </w:tc>
      </w:tr>
      <w:tr w:rsidR="00550C2E" w:rsidRPr="004C52B8" w14:paraId="4CBF2878" w14:textId="77777777" w:rsidTr="00316D72">
        <w:trPr>
          <w:trHeight w:val="310"/>
        </w:trPr>
        <w:tc>
          <w:tcPr>
            <w:tcW w:w="2021" w:type="dxa"/>
            <w:shd w:val="clear" w:color="auto" w:fill="auto"/>
            <w:noWrap/>
            <w:vAlign w:val="center"/>
          </w:tcPr>
          <w:p w14:paraId="70E0AA75" w14:textId="77777777" w:rsidR="00550C2E" w:rsidRPr="00C459B2" w:rsidRDefault="00550C2E" w:rsidP="00316D72">
            <w:pPr>
              <w:rPr>
                <w:b/>
                <w:lang w:eastAsia="de-DE"/>
              </w:rPr>
            </w:pPr>
            <w:r>
              <w:rPr>
                <w:b/>
                <w:lang w:eastAsia="de-DE"/>
              </w:rPr>
              <w:t>Customs Agent</w:t>
            </w:r>
          </w:p>
        </w:tc>
        <w:tc>
          <w:tcPr>
            <w:tcW w:w="8125" w:type="dxa"/>
            <w:shd w:val="clear" w:color="auto" w:fill="auto"/>
            <w:noWrap/>
            <w:vAlign w:val="center"/>
          </w:tcPr>
          <w:p w14:paraId="75F82C0F" w14:textId="1C50FE2C" w:rsidR="00550C2E" w:rsidRPr="000C5551" w:rsidRDefault="00550C2E" w:rsidP="00316D72">
            <w:pPr>
              <w:rPr>
                <w:lang w:eastAsia="de-DE"/>
              </w:rPr>
            </w:pPr>
            <w:r>
              <w:rPr>
                <w:lang w:eastAsia="de-DE"/>
              </w:rPr>
              <w:t>Subtype of a Non-sales related Intermediary,</w:t>
            </w:r>
            <w:r w:rsidRPr="000C5551">
              <w:rPr>
                <w:lang w:eastAsia="de-DE"/>
              </w:rPr>
              <w:t xml:space="preserve"> </w:t>
            </w:r>
            <w:r>
              <w:rPr>
                <w:lang w:eastAsia="de-DE"/>
              </w:rPr>
              <w:t>s</w:t>
            </w:r>
            <w:r w:rsidRPr="000C5551">
              <w:rPr>
                <w:lang w:eastAsia="de-DE"/>
              </w:rPr>
              <w:t xml:space="preserve">ee </w:t>
            </w:r>
            <w:hyperlink r:id="rId64" w:history="1">
              <w:r w:rsidRPr="000C5551">
                <w:rPr>
                  <w:rStyle w:val="Hyperlink"/>
                  <w:lang w:eastAsia="de-DE"/>
                </w:rPr>
                <w:t xml:space="preserve">A </w:t>
              </w:r>
              <w:r w:rsidR="005A11DE">
                <w:rPr>
                  <w:rStyle w:val="Hyperlink"/>
                  <w:lang w:eastAsia="de-DE"/>
                </w:rPr>
                <w:t>4.A.1.2.</w:t>
              </w:r>
            </w:hyperlink>
          </w:p>
        </w:tc>
      </w:tr>
      <w:tr w:rsidR="00550C2E" w:rsidRPr="004C52B8" w14:paraId="5060A6EB" w14:textId="77777777" w:rsidTr="00316D72">
        <w:trPr>
          <w:trHeight w:val="310"/>
        </w:trPr>
        <w:tc>
          <w:tcPr>
            <w:tcW w:w="2021" w:type="dxa"/>
            <w:shd w:val="clear" w:color="auto" w:fill="auto"/>
            <w:noWrap/>
            <w:vAlign w:val="center"/>
            <w:hideMark/>
          </w:tcPr>
          <w:p w14:paraId="0C4924C8" w14:textId="77777777" w:rsidR="00550C2E" w:rsidRPr="000C5551" w:rsidRDefault="00550C2E" w:rsidP="00316D72">
            <w:pPr>
              <w:rPr>
                <w:b/>
                <w:lang w:eastAsia="de-DE"/>
              </w:rPr>
            </w:pPr>
            <w:r w:rsidRPr="00C459B2">
              <w:rPr>
                <w:b/>
                <w:lang w:eastAsia="de-DE"/>
              </w:rPr>
              <w:t>DI</w:t>
            </w:r>
          </w:p>
        </w:tc>
        <w:tc>
          <w:tcPr>
            <w:tcW w:w="8125" w:type="dxa"/>
            <w:shd w:val="clear" w:color="auto" w:fill="auto"/>
            <w:noWrap/>
            <w:vAlign w:val="center"/>
            <w:hideMark/>
          </w:tcPr>
          <w:p w14:paraId="6D14C1EE" w14:textId="77777777" w:rsidR="00550C2E" w:rsidRPr="000C5551" w:rsidRDefault="00550C2E" w:rsidP="00316D72">
            <w:pPr>
              <w:rPr>
                <w:lang w:eastAsia="de-DE"/>
              </w:rPr>
            </w:pPr>
            <w:r w:rsidRPr="000C5551">
              <w:rPr>
                <w:lang w:eastAsia="de-DE"/>
              </w:rPr>
              <w:t>Degree of Implementation</w:t>
            </w:r>
          </w:p>
        </w:tc>
      </w:tr>
      <w:tr w:rsidR="00550C2E" w:rsidRPr="004C52B8" w14:paraId="4873DD18" w14:textId="77777777" w:rsidTr="00316D72">
        <w:trPr>
          <w:trHeight w:val="310"/>
        </w:trPr>
        <w:tc>
          <w:tcPr>
            <w:tcW w:w="2021" w:type="dxa"/>
            <w:shd w:val="clear" w:color="auto" w:fill="auto"/>
            <w:noWrap/>
            <w:vAlign w:val="center"/>
          </w:tcPr>
          <w:p w14:paraId="26F06F19" w14:textId="77777777" w:rsidR="00550C2E" w:rsidRPr="00C459B2" w:rsidRDefault="00550C2E" w:rsidP="00316D72">
            <w:pPr>
              <w:rPr>
                <w:b/>
                <w:lang w:eastAsia="de-DE"/>
              </w:rPr>
            </w:pPr>
            <w:r w:rsidRPr="00AD201C">
              <w:rPr>
                <w:b/>
                <w:lang w:eastAsia="de-DE"/>
              </w:rPr>
              <w:t>Distributor/other Reseller</w:t>
            </w:r>
          </w:p>
        </w:tc>
        <w:tc>
          <w:tcPr>
            <w:tcW w:w="8125" w:type="dxa"/>
            <w:shd w:val="clear" w:color="auto" w:fill="auto"/>
            <w:noWrap/>
            <w:vAlign w:val="center"/>
          </w:tcPr>
          <w:p w14:paraId="70E2D0DF" w14:textId="4C390CA2" w:rsidR="00550C2E" w:rsidRPr="00D83098" w:rsidRDefault="00550C2E" w:rsidP="00316D72">
            <w:pPr>
              <w:rPr>
                <w:rFonts w:cs="Arial"/>
                <w:szCs w:val="20"/>
              </w:rPr>
            </w:pPr>
            <w:r>
              <w:rPr>
                <w:rFonts w:cs="Arial"/>
                <w:szCs w:val="20"/>
              </w:rPr>
              <w:t xml:space="preserve">See </w:t>
            </w:r>
            <w:hyperlink r:id="rId65" w:history="1">
              <w:r>
                <w:rPr>
                  <w:rStyle w:val="Hyperlink"/>
                  <w:rFonts w:cs="Arial"/>
                  <w:szCs w:val="20"/>
                </w:rPr>
                <w:t xml:space="preserve">A </w:t>
              </w:r>
              <w:r w:rsidR="005A11DE">
                <w:rPr>
                  <w:rStyle w:val="Hyperlink"/>
                  <w:rFonts w:cs="Arial"/>
                  <w:szCs w:val="20"/>
                </w:rPr>
                <w:t>4.A.1.3.</w:t>
              </w:r>
            </w:hyperlink>
          </w:p>
        </w:tc>
      </w:tr>
      <w:tr w:rsidR="00550C2E" w:rsidRPr="004C52B8" w14:paraId="3F79940E" w14:textId="77777777" w:rsidTr="00316D72">
        <w:trPr>
          <w:trHeight w:val="310"/>
        </w:trPr>
        <w:tc>
          <w:tcPr>
            <w:tcW w:w="2021" w:type="dxa"/>
            <w:shd w:val="clear" w:color="auto" w:fill="auto"/>
            <w:noWrap/>
            <w:vAlign w:val="center"/>
          </w:tcPr>
          <w:p w14:paraId="1FF5B2B8" w14:textId="77777777" w:rsidR="00550C2E" w:rsidRPr="00C459B2" w:rsidRDefault="00550C2E" w:rsidP="00316D72">
            <w:pPr>
              <w:rPr>
                <w:b/>
                <w:lang w:eastAsia="de-DE"/>
              </w:rPr>
            </w:pPr>
            <w:r w:rsidRPr="00C459B2">
              <w:rPr>
                <w:b/>
                <w:lang w:eastAsia="de-DE"/>
              </w:rPr>
              <w:t>Employee</w:t>
            </w:r>
          </w:p>
        </w:tc>
        <w:tc>
          <w:tcPr>
            <w:tcW w:w="8125" w:type="dxa"/>
            <w:shd w:val="clear" w:color="auto" w:fill="auto"/>
            <w:noWrap/>
            <w:vAlign w:val="center"/>
          </w:tcPr>
          <w:p w14:paraId="2FD5FDE2" w14:textId="77777777" w:rsidR="00550C2E" w:rsidRPr="00D83098" w:rsidRDefault="00550C2E" w:rsidP="00316D72">
            <w:pPr>
              <w:rPr>
                <w:lang w:eastAsia="de-DE"/>
              </w:rPr>
            </w:pPr>
            <w:r w:rsidRPr="00D83098">
              <w:rPr>
                <w:rFonts w:cs="Arial"/>
                <w:szCs w:val="20"/>
              </w:rPr>
              <w:t>Members of the Managing Board, senior executives and any other persons working for Siemens AG and its affiliated companies worldwide</w:t>
            </w:r>
            <w:r>
              <w:rPr>
                <w:rFonts w:cs="Arial"/>
                <w:szCs w:val="20"/>
              </w:rPr>
              <w:t>.</w:t>
            </w:r>
          </w:p>
        </w:tc>
      </w:tr>
      <w:tr w:rsidR="00550C2E" w:rsidRPr="004C52B8" w14:paraId="54A6C56E" w14:textId="77777777" w:rsidTr="00316D72">
        <w:trPr>
          <w:trHeight w:val="310"/>
        </w:trPr>
        <w:tc>
          <w:tcPr>
            <w:tcW w:w="2021" w:type="dxa"/>
            <w:shd w:val="clear" w:color="auto" w:fill="auto"/>
            <w:noWrap/>
            <w:vAlign w:val="center"/>
          </w:tcPr>
          <w:p w14:paraId="3631A578" w14:textId="77777777" w:rsidR="00550C2E" w:rsidRPr="001E1C9F" w:rsidRDefault="00550C2E" w:rsidP="00316D72">
            <w:pPr>
              <w:rPr>
                <w:b/>
                <w:lang w:eastAsia="de-DE"/>
              </w:rPr>
            </w:pPr>
            <w:r w:rsidRPr="001E1C9F">
              <w:rPr>
                <w:rFonts w:cs="Arial"/>
                <w:b/>
                <w:szCs w:val="20"/>
              </w:rPr>
              <w:t>Engineering, Procurement and Construction Contractor</w:t>
            </w:r>
            <w:r w:rsidRPr="001E1C9F">
              <w:rPr>
                <w:rFonts w:cs="Arial"/>
                <w:b/>
                <w:bCs/>
                <w:szCs w:val="20"/>
              </w:rPr>
              <w:t xml:space="preserve"> (EPC)</w:t>
            </w:r>
          </w:p>
        </w:tc>
        <w:tc>
          <w:tcPr>
            <w:tcW w:w="8125" w:type="dxa"/>
            <w:shd w:val="clear" w:color="auto" w:fill="auto"/>
            <w:noWrap/>
            <w:vAlign w:val="center"/>
          </w:tcPr>
          <w:p w14:paraId="29A5B1E7" w14:textId="4116C045" w:rsidR="00550C2E" w:rsidRPr="001E1C9F" w:rsidRDefault="00550C2E" w:rsidP="00316D72">
            <w:pPr>
              <w:pStyle w:val="Funotentext"/>
              <w:spacing w:after="0"/>
              <w:rPr>
                <w:lang w:eastAsia="de-DE"/>
              </w:rPr>
            </w:pPr>
            <w:r>
              <w:rPr>
                <w:rFonts w:cs="Arial"/>
                <w:bCs/>
                <w:sz w:val="20"/>
                <w:szCs w:val="20"/>
              </w:rPr>
              <w:t>Example of</w:t>
            </w:r>
            <w:r w:rsidRPr="0041696F">
              <w:rPr>
                <w:rFonts w:cs="Arial"/>
                <w:bCs/>
                <w:sz w:val="20"/>
                <w:szCs w:val="20"/>
              </w:rPr>
              <w:t xml:space="preserve"> a Value add </w:t>
            </w:r>
            <w:r w:rsidRPr="0020617D">
              <w:rPr>
                <w:rFonts w:cs="Arial"/>
                <w:sz w:val="20"/>
                <w:szCs w:val="20"/>
              </w:rPr>
              <w:t>Reseller, see</w:t>
            </w:r>
            <w:r w:rsidR="005A11DE">
              <w:rPr>
                <w:rFonts w:cs="Arial"/>
                <w:sz w:val="20"/>
                <w:szCs w:val="20"/>
              </w:rPr>
              <w:t xml:space="preserve"> </w:t>
            </w:r>
            <w:hyperlink r:id="rId66" w:history="1">
              <w:r w:rsidR="005A11DE" w:rsidRPr="00425A3B">
                <w:rPr>
                  <w:rStyle w:val="Hyperlink"/>
                </w:rPr>
                <w:t>A</w:t>
              </w:r>
              <w:r w:rsidR="00425A3B">
                <w:rPr>
                  <w:rStyle w:val="Hyperlink"/>
                </w:rPr>
                <w:t xml:space="preserve"> </w:t>
              </w:r>
              <w:r w:rsidR="005A11DE" w:rsidRPr="00425A3B">
                <w:rPr>
                  <w:rStyle w:val="Hyperlink"/>
                </w:rPr>
                <w:t>4.A.1.3.2.</w:t>
              </w:r>
            </w:hyperlink>
          </w:p>
        </w:tc>
      </w:tr>
      <w:tr w:rsidR="00550C2E" w:rsidRPr="004C52B8" w14:paraId="28BB7537" w14:textId="77777777" w:rsidTr="00316D72">
        <w:trPr>
          <w:trHeight w:val="310"/>
        </w:trPr>
        <w:tc>
          <w:tcPr>
            <w:tcW w:w="2021" w:type="dxa"/>
            <w:shd w:val="clear" w:color="auto" w:fill="auto"/>
            <w:noWrap/>
            <w:vAlign w:val="center"/>
            <w:hideMark/>
          </w:tcPr>
          <w:p w14:paraId="1CF0F6FD" w14:textId="77777777" w:rsidR="00550C2E" w:rsidRPr="00C459B2" w:rsidRDefault="00550C2E" w:rsidP="00316D72">
            <w:pPr>
              <w:rPr>
                <w:b/>
                <w:lang w:val="de-DE" w:eastAsia="de-DE"/>
              </w:rPr>
            </w:pPr>
            <w:r w:rsidRPr="00C459B2">
              <w:rPr>
                <w:b/>
                <w:lang w:eastAsia="de-DE"/>
              </w:rPr>
              <w:t>ERM</w:t>
            </w:r>
          </w:p>
        </w:tc>
        <w:tc>
          <w:tcPr>
            <w:tcW w:w="8125" w:type="dxa"/>
            <w:shd w:val="clear" w:color="auto" w:fill="auto"/>
            <w:noWrap/>
            <w:vAlign w:val="center"/>
            <w:hideMark/>
          </w:tcPr>
          <w:p w14:paraId="633FFC35" w14:textId="77777777" w:rsidR="00550C2E" w:rsidRPr="004C52B8" w:rsidRDefault="00550C2E" w:rsidP="00316D72">
            <w:pPr>
              <w:rPr>
                <w:lang w:val="de-DE" w:eastAsia="de-DE"/>
              </w:rPr>
            </w:pPr>
            <w:r w:rsidRPr="004C52B8">
              <w:rPr>
                <w:lang w:val="de-DE" w:eastAsia="de-DE"/>
              </w:rPr>
              <w:t>Enterprise Risk Management</w:t>
            </w:r>
          </w:p>
        </w:tc>
      </w:tr>
      <w:tr w:rsidR="00550C2E" w:rsidRPr="004C52B8" w14:paraId="147EA095" w14:textId="77777777" w:rsidTr="00316D72">
        <w:trPr>
          <w:trHeight w:val="310"/>
        </w:trPr>
        <w:tc>
          <w:tcPr>
            <w:tcW w:w="2021" w:type="dxa"/>
            <w:shd w:val="clear" w:color="auto" w:fill="auto"/>
            <w:noWrap/>
            <w:vAlign w:val="center"/>
            <w:hideMark/>
          </w:tcPr>
          <w:p w14:paraId="3A8C9167" w14:textId="77777777" w:rsidR="00550C2E" w:rsidRPr="00C459B2" w:rsidRDefault="00550C2E" w:rsidP="00316D72">
            <w:pPr>
              <w:rPr>
                <w:b/>
                <w:lang w:val="de-DE" w:eastAsia="de-DE"/>
              </w:rPr>
            </w:pPr>
            <w:r w:rsidRPr="00C459B2">
              <w:rPr>
                <w:b/>
                <w:lang w:eastAsia="de-DE"/>
              </w:rPr>
              <w:t>EY</w:t>
            </w:r>
          </w:p>
        </w:tc>
        <w:tc>
          <w:tcPr>
            <w:tcW w:w="8125" w:type="dxa"/>
            <w:shd w:val="clear" w:color="auto" w:fill="auto"/>
            <w:noWrap/>
            <w:vAlign w:val="center"/>
            <w:hideMark/>
          </w:tcPr>
          <w:p w14:paraId="3DB2EEC4" w14:textId="77777777" w:rsidR="00550C2E" w:rsidRPr="004C52B8" w:rsidRDefault="00550C2E" w:rsidP="00316D72">
            <w:pPr>
              <w:rPr>
                <w:lang w:eastAsia="de-DE"/>
              </w:rPr>
            </w:pPr>
            <w:r w:rsidRPr="004C52B8">
              <w:rPr>
                <w:lang w:eastAsia="de-DE"/>
              </w:rPr>
              <w:t>Ernst &amp; Young – external auditors employed by Siemens.</w:t>
            </w:r>
          </w:p>
        </w:tc>
      </w:tr>
      <w:tr w:rsidR="00550C2E" w:rsidRPr="004C52B8" w14:paraId="02EFC7AF" w14:textId="77777777" w:rsidTr="00316D72">
        <w:trPr>
          <w:trHeight w:val="310"/>
        </w:trPr>
        <w:tc>
          <w:tcPr>
            <w:tcW w:w="2021" w:type="dxa"/>
            <w:shd w:val="clear" w:color="auto" w:fill="auto"/>
            <w:noWrap/>
            <w:vAlign w:val="center"/>
            <w:hideMark/>
          </w:tcPr>
          <w:p w14:paraId="58E343A0" w14:textId="77777777" w:rsidR="00550C2E" w:rsidRPr="00C459B2" w:rsidRDefault="00550C2E" w:rsidP="00316D72">
            <w:pPr>
              <w:rPr>
                <w:b/>
                <w:lang w:val="de-DE" w:eastAsia="de-DE"/>
              </w:rPr>
            </w:pPr>
            <w:r w:rsidRPr="00C459B2">
              <w:rPr>
                <w:b/>
                <w:lang w:eastAsia="de-DE"/>
              </w:rPr>
              <w:t>FRG</w:t>
            </w:r>
          </w:p>
        </w:tc>
        <w:tc>
          <w:tcPr>
            <w:tcW w:w="8125" w:type="dxa"/>
            <w:shd w:val="clear" w:color="auto" w:fill="auto"/>
            <w:noWrap/>
            <w:vAlign w:val="center"/>
            <w:hideMark/>
          </w:tcPr>
          <w:p w14:paraId="21A6469D" w14:textId="77777777" w:rsidR="00550C2E" w:rsidRPr="004C52B8" w:rsidRDefault="00911327" w:rsidP="00316D72">
            <w:pPr>
              <w:rPr>
                <w:lang w:val="de-DE" w:eastAsia="de-DE"/>
              </w:rPr>
            </w:pPr>
            <w:hyperlink r:id="rId67" w:history="1">
              <w:r w:rsidR="00550C2E" w:rsidRPr="00197D10">
                <w:rPr>
                  <w:rStyle w:val="Hyperlink"/>
                  <w:lang w:val="de-DE" w:eastAsia="de-DE"/>
                </w:rPr>
                <w:t>Financial Reporting Guidelines</w:t>
              </w:r>
            </w:hyperlink>
          </w:p>
        </w:tc>
      </w:tr>
      <w:tr w:rsidR="00550C2E" w:rsidRPr="004C52B8" w14:paraId="45A2DFCB" w14:textId="77777777" w:rsidTr="00316D72">
        <w:trPr>
          <w:trHeight w:val="310"/>
        </w:trPr>
        <w:tc>
          <w:tcPr>
            <w:tcW w:w="2021" w:type="dxa"/>
            <w:shd w:val="clear" w:color="auto" w:fill="auto"/>
            <w:noWrap/>
            <w:vAlign w:val="center"/>
          </w:tcPr>
          <w:p w14:paraId="43CC4576" w14:textId="77777777" w:rsidR="00550C2E" w:rsidRPr="00C459B2" w:rsidRDefault="00550C2E" w:rsidP="00316D72">
            <w:pPr>
              <w:rPr>
                <w:b/>
                <w:lang w:eastAsia="de-DE"/>
              </w:rPr>
            </w:pPr>
            <w:r w:rsidRPr="00C459B2">
              <w:rPr>
                <w:b/>
                <w:lang w:eastAsia="de-DE"/>
              </w:rPr>
              <w:t>Government Official</w:t>
            </w:r>
          </w:p>
        </w:tc>
        <w:tc>
          <w:tcPr>
            <w:tcW w:w="8125" w:type="dxa"/>
            <w:shd w:val="clear" w:color="auto" w:fill="auto"/>
            <w:noWrap/>
            <w:vAlign w:val="center"/>
          </w:tcPr>
          <w:p w14:paraId="0E91A540" w14:textId="07E06269" w:rsidR="00550C2E" w:rsidRDefault="00550C2E" w:rsidP="00316D72">
            <w:r w:rsidRPr="004C52B8">
              <w:t xml:space="preserve">The term </w:t>
            </w:r>
            <w:r w:rsidR="00AC193D">
              <w:t>“</w:t>
            </w:r>
            <w:r w:rsidRPr="004C52B8">
              <w:t>Government Official</w:t>
            </w:r>
            <w:r w:rsidR="00AC193D">
              <w:t>”</w:t>
            </w:r>
            <w:r w:rsidRPr="004C52B8">
              <w:t xml:space="preserve"> includes anyone working at or on behalf of a government entity (including a government-controlled company) or public international organization, as well as any candidate for political office, political party official or employee, or a political </w:t>
            </w:r>
            <w:r w:rsidRPr="004C52B8">
              <w:lastRenderedPageBreak/>
              <w:t xml:space="preserve">party. A Government Official also includes an officer, director, or employee of a non-governmental institution whose employees are treated, because of their status or other reasons, as Government Officials under applicable local law, German </w:t>
            </w:r>
            <w:proofErr w:type="gramStart"/>
            <w:r w:rsidRPr="004C52B8">
              <w:t>law</w:t>
            </w:r>
            <w:proofErr w:type="gramEnd"/>
            <w:r w:rsidRPr="004C52B8">
              <w:t xml:space="preserve"> or U.S. law.</w:t>
            </w:r>
          </w:p>
          <w:p w14:paraId="047D4984" w14:textId="77777777" w:rsidR="00550C2E" w:rsidRPr="00685278" w:rsidRDefault="00550C2E" w:rsidP="00316D72">
            <w:r w:rsidRPr="00D83098">
              <w:t>Examples of Government Officials are: police officers; members of the military; customs officials; officials of the World Health Organization, the European Council, the World Bank or the United Nations; candidates for the office of mayor; members of parliament; judges, public prosecutors or judicial staff; employees of public hospitals, public utilities or other public-sector companies.</w:t>
            </w:r>
          </w:p>
          <w:p w14:paraId="557A0872" w14:textId="36C4ED6E" w:rsidR="00550C2E" w:rsidRPr="00761CAC" w:rsidRDefault="00550C2E" w:rsidP="00316D72">
            <w:r w:rsidRPr="008B390B">
              <w:rPr>
                <w:i/>
              </w:rPr>
              <w:t>Relevant</w:t>
            </w:r>
            <w:r>
              <w:rPr>
                <w:i/>
              </w:rPr>
              <w:t xml:space="preserve"> definition</w:t>
            </w:r>
            <w:r w:rsidRPr="008B390B">
              <w:rPr>
                <w:i/>
              </w:rPr>
              <w:t xml:space="preserve"> inter alia </w:t>
            </w:r>
            <w:r>
              <w:rPr>
                <w:i/>
              </w:rPr>
              <w:t>for</w:t>
            </w:r>
            <w:r w:rsidRPr="008B390B">
              <w:rPr>
                <w:i/>
              </w:rPr>
              <w:t xml:space="preserve"> chapters </w:t>
            </w:r>
            <w:hyperlink r:id="rId68" w:history="1">
              <w:r>
                <w:rPr>
                  <w:rStyle w:val="Hyperlink"/>
                  <w:i/>
                </w:rPr>
                <w:t>A 1.3.</w:t>
              </w:r>
            </w:hyperlink>
            <w:r w:rsidRPr="008B390B">
              <w:rPr>
                <w:i/>
              </w:rPr>
              <w:t xml:space="preserve"> Gifts and Hospitality, </w:t>
            </w:r>
            <w:hyperlink r:id="rId69" w:history="1">
              <w:r w:rsidRPr="00425A3B">
                <w:rPr>
                  <w:rStyle w:val="Hyperlink"/>
                  <w:i/>
                </w:rPr>
                <w:t xml:space="preserve">A </w:t>
              </w:r>
              <w:r w:rsidR="005A11DE" w:rsidRPr="00425A3B">
                <w:rPr>
                  <w:rStyle w:val="Hyperlink"/>
                  <w:i/>
                </w:rPr>
                <w:t>4.A.</w:t>
              </w:r>
              <w:r w:rsidR="00C87C49" w:rsidRPr="00425A3B">
                <w:rPr>
                  <w:rStyle w:val="Hyperlink"/>
                  <w:i/>
                </w:rPr>
                <w:t>4.</w:t>
              </w:r>
            </w:hyperlink>
            <w:r w:rsidRPr="008B390B">
              <w:rPr>
                <w:i/>
              </w:rPr>
              <w:t xml:space="preserve"> Compliance Due Diligence for Business Partners, </w:t>
            </w:r>
            <w:hyperlink r:id="rId70" w:history="1">
              <w:r>
                <w:rPr>
                  <w:rStyle w:val="Hyperlink"/>
                  <w:i/>
                </w:rPr>
                <w:t xml:space="preserve">A </w:t>
              </w:r>
              <w:r w:rsidR="00C87C49">
                <w:rPr>
                  <w:rStyle w:val="Hyperlink"/>
                  <w:i/>
                </w:rPr>
                <w:t>5</w:t>
              </w:r>
              <w:r>
                <w:rPr>
                  <w:rStyle w:val="Hyperlink"/>
                  <w:i/>
                </w:rPr>
                <w:t>.1.5</w:t>
              </w:r>
            </w:hyperlink>
            <w:r w:rsidRPr="008B390B">
              <w:rPr>
                <w:i/>
              </w:rPr>
              <w:t xml:space="preserve"> Conflict of Interest, </w:t>
            </w:r>
            <w:hyperlink r:id="rId71" w:history="1">
              <w:r>
                <w:rPr>
                  <w:rStyle w:val="Hyperlink"/>
                  <w:i/>
                </w:rPr>
                <w:t xml:space="preserve">A </w:t>
              </w:r>
              <w:r w:rsidR="005A11DE">
                <w:rPr>
                  <w:rStyle w:val="Hyperlink"/>
                  <w:i/>
                </w:rPr>
                <w:t>3</w:t>
              </w:r>
              <w:r>
                <w:rPr>
                  <w:rStyle w:val="Hyperlink"/>
                  <w:i/>
                </w:rPr>
                <w:t>.</w:t>
              </w:r>
            </w:hyperlink>
            <w:r w:rsidRPr="008B390B">
              <w:rPr>
                <w:i/>
              </w:rPr>
              <w:t xml:space="preserve"> Facilitation Payments.</w:t>
            </w:r>
            <w:r>
              <w:t xml:space="preserve"> </w:t>
            </w:r>
            <w:r w:rsidRPr="008B390B">
              <w:rPr>
                <w:i/>
              </w:rPr>
              <w:t>Please also see “</w:t>
            </w:r>
            <w:r w:rsidRPr="008B390B">
              <w:rPr>
                <w:b/>
                <w:i/>
              </w:rPr>
              <w:t>Politically Exposed Person</w:t>
            </w:r>
            <w:r w:rsidRPr="008B390B">
              <w:rPr>
                <w:i/>
              </w:rPr>
              <w:t xml:space="preserve"> (PEP)” as a </w:t>
            </w:r>
            <w:proofErr w:type="gramStart"/>
            <w:r w:rsidRPr="008B390B">
              <w:rPr>
                <w:i/>
              </w:rPr>
              <w:t>high ranking</w:t>
            </w:r>
            <w:proofErr w:type="gramEnd"/>
            <w:r w:rsidRPr="008B390B">
              <w:rPr>
                <w:i/>
              </w:rPr>
              <w:t xml:space="preserve"> Government Official might also be a PEP.</w:t>
            </w:r>
            <w:r>
              <w:rPr>
                <w:i/>
              </w:rPr>
              <w:t xml:space="preserve"> </w:t>
            </w:r>
          </w:p>
        </w:tc>
      </w:tr>
      <w:tr w:rsidR="00550C2E" w:rsidRPr="004C52B8" w14:paraId="132119D5" w14:textId="77777777" w:rsidTr="00316D72">
        <w:trPr>
          <w:trHeight w:val="310"/>
        </w:trPr>
        <w:tc>
          <w:tcPr>
            <w:tcW w:w="2021" w:type="dxa"/>
            <w:shd w:val="clear" w:color="auto" w:fill="auto"/>
            <w:noWrap/>
            <w:vAlign w:val="center"/>
          </w:tcPr>
          <w:p w14:paraId="14705B8C" w14:textId="77777777" w:rsidR="00550C2E" w:rsidRPr="00C459B2" w:rsidRDefault="00550C2E" w:rsidP="00316D72">
            <w:pPr>
              <w:rPr>
                <w:b/>
                <w:lang w:eastAsia="de-DE"/>
              </w:rPr>
            </w:pPr>
            <w:r w:rsidRPr="00C459B2">
              <w:rPr>
                <w:b/>
                <w:lang w:eastAsia="de-DE"/>
              </w:rPr>
              <w:lastRenderedPageBreak/>
              <w:t>Government Entity</w:t>
            </w:r>
          </w:p>
        </w:tc>
        <w:tc>
          <w:tcPr>
            <w:tcW w:w="8125" w:type="dxa"/>
            <w:shd w:val="clear" w:color="auto" w:fill="auto"/>
            <w:noWrap/>
            <w:vAlign w:val="center"/>
          </w:tcPr>
          <w:p w14:paraId="3574B372" w14:textId="6C7538A0" w:rsidR="00550C2E" w:rsidRDefault="00550C2E" w:rsidP="00316D72">
            <w:r w:rsidRPr="004C52B8">
              <w:t xml:space="preserve">The term </w:t>
            </w:r>
            <w:r w:rsidR="00AC193D">
              <w:t>“</w:t>
            </w:r>
            <w:r w:rsidRPr="004C52B8">
              <w:t>Government Entity</w:t>
            </w:r>
            <w:r w:rsidR="00AC193D">
              <w:t>”</w:t>
            </w:r>
            <w:r w:rsidRPr="004C52B8">
              <w:t xml:space="preserve"> is defined broadly to include national, </w:t>
            </w:r>
            <w:proofErr w:type="gramStart"/>
            <w:r w:rsidRPr="004C52B8">
              <w:t>state</w:t>
            </w:r>
            <w:proofErr w:type="gramEnd"/>
            <w:r w:rsidRPr="004C52B8">
              <w:t xml:space="preserve"> or local governments or government departments, bodies, agencies and other government entities, as well as </w:t>
            </w:r>
            <w:r w:rsidR="00AC193D">
              <w:t>“</w:t>
            </w:r>
            <w:r w:rsidRPr="004C52B8">
              <w:t>public international organizations</w:t>
            </w:r>
            <w:r w:rsidR="00AC193D">
              <w:t>”</w:t>
            </w:r>
            <w:r w:rsidRPr="004C52B8">
              <w:t xml:space="preserve"> and political parties. </w:t>
            </w:r>
            <w:r w:rsidR="00AC193D">
              <w:t>“</w:t>
            </w:r>
            <w:r w:rsidRPr="004C52B8">
              <w:t>Public international organizations</w:t>
            </w:r>
            <w:r w:rsidR="00AC193D">
              <w:t>”</w:t>
            </w:r>
            <w:r w:rsidRPr="004C52B8">
              <w:t xml:space="preserve"> include any organization with two or more governments as members. </w:t>
            </w:r>
            <w:r w:rsidR="00AC193D">
              <w:t>“</w:t>
            </w:r>
            <w:r w:rsidRPr="004C52B8">
              <w:t>Government entity</w:t>
            </w:r>
            <w:r w:rsidR="00AC193D">
              <w:t>”</w:t>
            </w:r>
            <w:r w:rsidRPr="004C52B8">
              <w:t xml:space="preserve"> also includes </w:t>
            </w:r>
            <w:r w:rsidR="00AC193D">
              <w:t>“</w:t>
            </w:r>
            <w:r w:rsidRPr="004C52B8">
              <w:t>government- controlled enterprises,</w:t>
            </w:r>
            <w:r w:rsidR="00AC193D">
              <w:t>”</w:t>
            </w:r>
            <w:r w:rsidRPr="004C52B8">
              <w:t xml:space="preserve"> meaning any entity, whether organized under public or private law, in which one or more government entities has a sufficient interest to give it control. Any entity that is at least 50% owned by any government entity would qualify as would any entity that is controlled in fact</w:t>
            </w:r>
            <w:r>
              <w:t xml:space="preserve"> (e.g. via veto rights)</w:t>
            </w:r>
            <w:r w:rsidRPr="004C52B8">
              <w:t xml:space="preserve"> by any government entity. </w:t>
            </w:r>
          </w:p>
          <w:p w14:paraId="5914EEFC" w14:textId="680A3494" w:rsidR="00550C2E" w:rsidRPr="000C1E3A" w:rsidRDefault="00550C2E" w:rsidP="00316D72">
            <w:pPr>
              <w:rPr>
                <w:i/>
              </w:rPr>
            </w:pPr>
            <w:r w:rsidRPr="009851FE">
              <w:rPr>
                <w:i/>
              </w:rPr>
              <w:t xml:space="preserve">Relevant definition inter alia for chapters </w:t>
            </w:r>
            <w:hyperlink r:id="rId72" w:history="1">
              <w:r w:rsidRPr="009851FE">
                <w:rPr>
                  <w:rStyle w:val="Hyperlink"/>
                  <w:i/>
                </w:rPr>
                <w:t>A 1.3.</w:t>
              </w:r>
            </w:hyperlink>
            <w:r w:rsidRPr="009851FE">
              <w:rPr>
                <w:i/>
              </w:rPr>
              <w:t xml:space="preserve"> Gifts and Hospitality and </w:t>
            </w:r>
            <w:hyperlink r:id="rId73" w:history="1">
              <w:r w:rsidRPr="009851FE">
                <w:rPr>
                  <w:rStyle w:val="Hyperlink"/>
                  <w:i/>
                </w:rPr>
                <w:t xml:space="preserve">A </w:t>
              </w:r>
              <w:r w:rsidR="00C87C49">
                <w:rPr>
                  <w:rStyle w:val="Hyperlink"/>
                  <w:i/>
                </w:rPr>
                <w:t>4.A.4.</w:t>
              </w:r>
            </w:hyperlink>
            <w:r w:rsidRPr="009851FE">
              <w:rPr>
                <w:i/>
              </w:rPr>
              <w:t xml:space="preserve"> Compliance Due Diligence for Business Partners.</w:t>
            </w:r>
          </w:p>
        </w:tc>
      </w:tr>
      <w:tr w:rsidR="00550C2E" w:rsidRPr="004C52B8" w14:paraId="4733E60C" w14:textId="77777777" w:rsidTr="00316D72">
        <w:trPr>
          <w:trHeight w:val="310"/>
        </w:trPr>
        <w:tc>
          <w:tcPr>
            <w:tcW w:w="2021" w:type="dxa"/>
            <w:shd w:val="clear" w:color="auto" w:fill="auto"/>
            <w:noWrap/>
            <w:vAlign w:val="center"/>
            <w:hideMark/>
          </w:tcPr>
          <w:p w14:paraId="77E8C383" w14:textId="77777777" w:rsidR="00550C2E" w:rsidRPr="00C459B2" w:rsidRDefault="00550C2E" w:rsidP="00316D72">
            <w:pPr>
              <w:rPr>
                <w:b/>
                <w:lang w:val="de-DE" w:eastAsia="de-DE"/>
              </w:rPr>
            </w:pPr>
            <w:r w:rsidRPr="00C459B2">
              <w:rPr>
                <w:b/>
                <w:lang w:eastAsia="de-DE"/>
              </w:rPr>
              <w:t>HR</w:t>
            </w:r>
          </w:p>
        </w:tc>
        <w:tc>
          <w:tcPr>
            <w:tcW w:w="8125" w:type="dxa"/>
            <w:shd w:val="clear" w:color="auto" w:fill="auto"/>
            <w:noWrap/>
            <w:vAlign w:val="center"/>
            <w:hideMark/>
          </w:tcPr>
          <w:p w14:paraId="37A16F34" w14:textId="77777777" w:rsidR="00550C2E" w:rsidRPr="004C52B8" w:rsidRDefault="00550C2E" w:rsidP="00316D72">
            <w:pPr>
              <w:rPr>
                <w:lang w:val="de-DE" w:eastAsia="de-DE"/>
              </w:rPr>
            </w:pPr>
            <w:r w:rsidRPr="004C52B8">
              <w:rPr>
                <w:lang w:val="de-DE" w:eastAsia="de-DE"/>
              </w:rPr>
              <w:t>Human Resources</w:t>
            </w:r>
          </w:p>
        </w:tc>
      </w:tr>
      <w:tr w:rsidR="00550C2E" w:rsidRPr="004C52B8" w14:paraId="3C823A66" w14:textId="77777777" w:rsidTr="00316D72">
        <w:trPr>
          <w:trHeight w:val="310"/>
        </w:trPr>
        <w:tc>
          <w:tcPr>
            <w:tcW w:w="2021" w:type="dxa"/>
            <w:shd w:val="clear" w:color="auto" w:fill="auto"/>
            <w:noWrap/>
            <w:vAlign w:val="center"/>
          </w:tcPr>
          <w:p w14:paraId="2D0D3121" w14:textId="77777777" w:rsidR="00550C2E" w:rsidRPr="00973210" w:rsidRDefault="00550C2E" w:rsidP="00316D72">
            <w:pPr>
              <w:rPr>
                <w:b/>
                <w:lang w:eastAsia="de-DE"/>
              </w:rPr>
            </w:pPr>
            <w:r w:rsidRPr="00973210">
              <w:rPr>
                <w:b/>
                <w:lang w:eastAsia="de-DE"/>
              </w:rPr>
              <w:t>Intermediary</w:t>
            </w:r>
          </w:p>
        </w:tc>
        <w:tc>
          <w:tcPr>
            <w:tcW w:w="8125" w:type="dxa"/>
            <w:shd w:val="clear" w:color="auto" w:fill="auto"/>
            <w:noWrap/>
            <w:vAlign w:val="center"/>
          </w:tcPr>
          <w:p w14:paraId="6E227F80" w14:textId="7922EA85" w:rsidR="00550C2E" w:rsidRPr="004C52B8" w:rsidRDefault="00550C2E" w:rsidP="00316D72">
            <w:pPr>
              <w:rPr>
                <w:lang w:eastAsia="de-DE"/>
              </w:rPr>
            </w:pPr>
            <w:r w:rsidRPr="00973210">
              <w:rPr>
                <w:lang w:eastAsia="de-DE"/>
              </w:rPr>
              <w:t xml:space="preserve">See </w:t>
            </w:r>
            <w:hyperlink r:id="rId74" w:history="1">
              <w:r w:rsidRPr="009E6F12">
                <w:rPr>
                  <w:rStyle w:val="Hyperlink"/>
                  <w:lang w:eastAsia="de-DE"/>
                </w:rPr>
                <w:t xml:space="preserve">A </w:t>
              </w:r>
              <w:r w:rsidR="00C87C49" w:rsidRPr="009E6F12">
                <w:rPr>
                  <w:rStyle w:val="Hyperlink"/>
                  <w:lang w:eastAsia="de-DE"/>
                </w:rPr>
                <w:t>4.A.1.</w:t>
              </w:r>
              <w:r w:rsidR="009E6F12" w:rsidRPr="009E6F12">
                <w:rPr>
                  <w:rStyle w:val="Hyperlink"/>
                  <w:lang w:eastAsia="de-DE"/>
                </w:rPr>
                <w:t>2</w:t>
              </w:r>
            </w:hyperlink>
            <w:r w:rsidR="009E6F12">
              <w:rPr>
                <w:rStyle w:val="Hyperlink"/>
                <w:lang w:eastAsia="de-DE"/>
              </w:rPr>
              <w:t xml:space="preserve">. and </w:t>
            </w:r>
            <w:hyperlink r:id="rId75" w:history="1">
              <w:r w:rsidR="009E6F12" w:rsidRPr="009E6F12">
                <w:rPr>
                  <w:rStyle w:val="Hyperlink"/>
                  <w:lang w:eastAsia="de-DE"/>
                </w:rPr>
                <w:t>A 4.A.1.2.</w:t>
              </w:r>
            </w:hyperlink>
          </w:p>
        </w:tc>
      </w:tr>
      <w:tr w:rsidR="00550C2E" w:rsidRPr="004C52B8" w14:paraId="58B88AA2" w14:textId="77777777" w:rsidTr="00316D72">
        <w:trPr>
          <w:trHeight w:val="310"/>
        </w:trPr>
        <w:tc>
          <w:tcPr>
            <w:tcW w:w="2021" w:type="dxa"/>
            <w:shd w:val="clear" w:color="auto" w:fill="auto"/>
            <w:noWrap/>
            <w:vAlign w:val="center"/>
            <w:hideMark/>
          </w:tcPr>
          <w:p w14:paraId="6B074048" w14:textId="77777777" w:rsidR="00550C2E" w:rsidRPr="00EE747B" w:rsidRDefault="00550C2E" w:rsidP="00316D72">
            <w:pPr>
              <w:rPr>
                <w:b/>
                <w:lang w:eastAsia="de-DE"/>
              </w:rPr>
            </w:pPr>
            <w:r w:rsidRPr="00C459B2">
              <w:rPr>
                <w:b/>
                <w:lang w:eastAsia="de-DE"/>
              </w:rPr>
              <w:t>Investigation</w:t>
            </w:r>
          </w:p>
        </w:tc>
        <w:tc>
          <w:tcPr>
            <w:tcW w:w="8125" w:type="dxa"/>
            <w:shd w:val="clear" w:color="auto" w:fill="auto"/>
            <w:noWrap/>
            <w:vAlign w:val="center"/>
            <w:hideMark/>
          </w:tcPr>
          <w:p w14:paraId="1039F335" w14:textId="77777777" w:rsidR="00550C2E" w:rsidRPr="004C52B8" w:rsidRDefault="00550C2E" w:rsidP="00316D72">
            <w:pPr>
              <w:rPr>
                <w:lang w:eastAsia="de-DE"/>
              </w:rPr>
            </w:pPr>
            <w:r w:rsidRPr="004C52B8">
              <w:rPr>
                <w:lang w:eastAsia="de-DE"/>
              </w:rPr>
              <w:t>Activity designed to:</w:t>
            </w:r>
          </w:p>
          <w:p w14:paraId="1A340535" w14:textId="77777777" w:rsidR="00550C2E" w:rsidRPr="004C52B8" w:rsidRDefault="00550C2E" w:rsidP="00316D72">
            <w:pPr>
              <w:rPr>
                <w:lang w:eastAsia="de-DE"/>
              </w:rPr>
            </w:pPr>
            <w:r w:rsidRPr="004C52B8">
              <w:rPr>
                <w:lang w:eastAsia="de-DE"/>
              </w:rPr>
              <w:t>•</w:t>
            </w:r>
            <w:r w:rsidRPr="004C52B8">
              <w:rPr>
                <w:lang w:eastAsia="de-DE"/>
              </w:rPr>
              <w:tab/>
              <w:t>determine whether a wrongful act has occurred</w:t>
            </w:r>
            <w:r>
              <w:rPr>
                <w:lang w:eastAsia="de-DE"/>
              </w:rPr>
              <w:br/>
            </w:r>
            <w:r w:rsidRPr="004C52B8">
              <w:rPr>
                <w:lang w:eastAsia="de-DE"/>
              </w:rPr>
              <w:t>•</w:t>
            </w:r>
            <w:r w:rsidRPr="004C52B8">
              <w:rPr>
                <w:lang w:eastAsia="de-DE"/>
              </w:rPr>
              <w:tab/>
              <w:t>identify the persons responsible for the wrongful act</w:t>
            </w:r>
            <w:r>
              <w:rPr>
                <w:lang w:eastAsia="de-DE"/>
              </w:rPr>
              <w:br/>
            </w:r>
            <w:r w:rsidRPr="004C52B8">
              <w:rPr>
                <w:lang w:eastAsia="de-DE"/>
              </w:rPr>
              <w:t>•</w:t>
            </w:r>
            <w:r w:rsidRPr="004C52B8">
              <w:rPr>
                <w:lang w:eastAsia="de-DE"/>
              </w:rPr>
              <w:tab/>
              <w:t>or clear the persons wrongfully accused of misconduct or rules violations.</w:t>
            </w:r>
          </w:p>
        </w:tc>
      </w:tr>
      <w:tr w:rsidR="00550C2E" w:rsidRPr="004C52B8" w14:paraId="130E08D4" w14:textId="77777777" w:rsidTr="00316D72">
        <w:trPr>
          <w:trHeight w:val="310"/>
        </w:trPr>
        <w:tc>
          <w:tcPr>
            <w:tcW w:w="2021" w:type="dxa"/>
            <w:shd w:val="clear" w:color="auto" w:fill="auto"/>
            <w:noWrap/>
            <w:vAlign w:val="center"/>
            <w:hideMark/>
          </w:tcPr>
          <w:p w14:paraId="3AAB5486" w14:textId="77777777" w:rsidR="00550C2E" w:rsidRPr="00C459B2" w:rsidRDefault="00550C2E" w:rsidP="00316D72">
            <w:pPr>
              <w:rPr>
                <w:b/>
                <w:lang w:val="de-DE" w:eastAsia="de-DE"/>
              </w:rPr>
            </w:pPr>
            <w:r w:rsidRPr="00C459B2">
              <w:rPr>
                <w:b/>
                <w:lang w:eastAsia="de-DE"/>
              </w:rPr>
              <w:t xml:space="preserve">ICP EX </w:t>
            </w:r>
          </w:p>
        </w:tc>
        <w:tc>
          <w:tcPr>
            <w:tcW w:w="8125" w:type="dxa"/>
            <w:shd w:val="clear" w:color="auto" w:fill="auto"/>
            <w:noWrap/>
            <w:vAlign w:val="center"/>
            <w:hideMark/>
          </w:tcPr>
          <w:p w14:paraId="59D67331" w14:textId="77777777" w:rsidR="00550C2E" w:rsidRPr="004C52B8" w:rsidRDefault="00911327" w:rsidP="00316D72">
            <w:pPr>
              <w:rPr>
                <w:lang w:eastAsia="de-DE"/>
              </w:rPr>
            </w:pPr>
            <w:hyperlink r:id="rId76" w:history="1">
              <w:r w:rsidR="00550C2E" w:rsidRPr="00197D10">
                <w:rPr>
                  <w:rStyle w:val="Hyperlink"/>
                  <w:lang w:eastAsia="de-DE"/>
                </w:rPr>
                <w:t>Internal Control Program Export Control</w:t>
              </w:r>
            </w:hyperlink>
          </w:p>
        </w:tc>
      </w:tr>
      <w:tr w:rsidR="00550C2E" w:rsidRPr="004C52B8" w14:paraId="0742E29B" w14:textId="77777777" w:rsidTr="00316D72">
        <w:trPr>
          <w:trHeight w:val="310"/>
        </w:trPr>
        <w:tc>
          <w:tcPr>
            <w:tcW w:w="2021" w:type="dxa"/>
            <w:shd w:val="clear" w:color="auto" w:fill="auto"/>
            <w:noWrap/>
            <w:vAlign w:val="center"/>
            <w:hideMark/>
          </w:tcPr>
          <w:p w14:paraId="1C756151" w14:textId="77777777" w:rsidR="00550C2E" w:rsidRPr="00C459B2" w:rsidRDefault="00550C2E" w:rsidP="00316D72">
            <w:pPr>
              <w:rPr>
                <w:b/>
                <w:lang w:val="de-DE" w:eastAsia="de-DE"/>
              </w:rPr>
            </w:pPr>
            <w:r w:rsidRPr="00C459B2">
              <w:rPr>
                <w:b/>
                <w:lang w:eastAsia="de-DE"/>
              </w:rPr>
              <w:t>JV</w:t>
            </w:r>
          </w:p>
        </w:tc>
        <w:tc>
          <w:tcPr>
            <w:tcW w:w="8125" w:type="dxa"/>
            <w:shd w:val="clear" w:color="auto" w:fill="auto"/>
            <w:noWrap/>
            <w:vAlign w:val="center"/>
            <w:hideMark/>
          </w:tcPr>
          <w:p w14:paraId="5E233205" w14:textId="77777777" w:rsidR="00550C2E" w:rsidRPr="004C52B8" w:rsidRDefault="00550C2E" w:rsidP="00316D72">
            <w:pPr>
              <w:rPr>
                <w:lang w:val="de-DE" w:eastAsia="de-DE"/>
              </w:rPr>
            </w:pPr>
            <w:r w:rsidRPr="004C52B8">
              <w:rPr>
                <w:lang w:val="de-DE" w:eastAsia="de-DE"/>
              </w:rPr>
              <w:t>Joint Venture</w:t>
            </w:r>
          </w:p>
        </w:tc>
      </w:tr>
      <w:tr w:rsidR="00550C2E" w:rsidRPr="004C52B8" w14:paraId="18EBB1A0" w14:textId="77777777" w:rsidTr="00316D72">
        <w:trPr>
          <w:trHeight w:val="310"/>
        </w:trPr>
        <w:tc>
          <w:tcPr>
            <w:tcW w:w="2021" w:type="dxa"/>
            <w:shd w:val="clear" w:color="auto" w:fill="auto"/>
            <w:noWrap/>
            <w:vAlign w:val="center"/>
          </w:tcPr>
          <w:p w14:paraId="2BFC004B" w14:textId="77777777" w:rsidR="00550C2E" w:rsidRPr="00C459B2" w:rsidRDefault="00550C2E" w:rsidP="00316D72">
            <w:pPr>
              <w:rPr>
                <w:b/>
                <w:lang w:eastAsia="de-DE"/>
              </w:rPr>
            </w:pPr>
            <w:r>
              <w:rPr>
                <w:b/>
                <w:lang w:eastAsia="de-DE"/>
              </w:rPr>
              <w:t>KYC</w:t>
            </w:r>
          </w:p>
        </w:tc>
        <w:tc>
          <w:tcPr>
            <w:tcW w:w="8125" w:type="dxa"/>
            <w:shd w:val="clear" w:color="auto" w:fill="auto"/>
            <w:noWrap/>
            <w:vAlign w:val="center"/>
          </w:tcPr>
          <w:p w14:paraId="7DA4089F" w14:textId="5191A7EC" w:rsidR="00550C2E" w:rsidRPr="0020617D" w:rsidRDefault="00550C2E" w:rsidP="00316D72">
            <w:pPr>
              <w:rPr>
                <w:lang w:eastAsia="de-DE"/>
              </w:rPr>
            </w:pPr>
            <w:r w:rsidRPr="0020617D">
              <w:rPr>
                <w:lang w:eastAsia="de-DE"/>
              </w:rPr>
              <w:t xml:space="preserve">Know Your Counterpart </w:t>
            </w:r>
            <w:r w:rsidR="00F81E85">
              <w:rPr>
                <w:lang w:eastAsia="de-DE"/>
              </w:rPr>
              <w:t>/ AML Due Diligence</w:t>
            </w:r>
            <w:r w:rsidRPr="0020617D">
              <w:rPr>
                <w:lang w:eastAsia="de-DE"/>
              </w:rPr>
              <w:t>,</w:t>
            </w:r>
            <w:r>
              <w:rPr>
                <w:lang w:eastAsia="de-DE"/>
              </w:rPr>
              <w:t xml:space="preserve"> see </w:t>
            </w:r>
            <w:hyperlink r:id="rId77" w:history="1">
              <w:r>
                <w:rPr>
                  <w:rStyle w:val="Hyperlink"/>
                  <w:lang w:eastAsia="de-DE"/>
                </w:rPr>
                <w:t>C.2.</w:t>
              </w:r>
            </w:hyperlink>
            <w:r>
              <w:rPr>
                <w:lang w:eastAsia="de-DE"/>
              </w:rPr>
              <w:t xml:space="preserve"> </w:t>
            </w:r>
          </w:p>
        </w:tc>
      </w:tr>
      <w:tr w:rsidR="00550C2E" w:rsidRPr="004C52B8" w14:paraId="25590D56" w14:textId="77777777" w:rsidTr="00316D72">
        <w:trPr>
          <w:trHeight w:val="310"/>
        </w:trPr>
        <w:tc>
          <w:tcPr>
            <w:tcW w:w="2021" w:type="dxa"/>
            <w:shd w:val="clear" w:color="auto" w:fill="auto"/>
            <w:noWrap/>
            <w:vAlign w:val="center"/>
            <w:hideMark/>
          </w:tcPr>
          <w:p w14:paraId="250A1654" w14:textId="77777777" w:rsidR="00550C2E" w:rsidRPr="00C459B2" w:rsidRDefault="00550C2E" w:rsidP="00316D72">
            <w:pPr>
              <w:rPr>
                <w:b/>
                <w:lang w:val="de-DE" w:eastAsia="de-DE"/>
              </w:rPr>
            </w:pPr>
            <w:r w:rsidRPr="00C459B2">
              <w:rPr>
                <w:b/>
                <w:lang w:eastAsia="de-DE"/>
              </w:rPr>
              <w:t>LC</w:t>
            </w:r>
          </w:p>
        </w:tc>
        <w:tc>
          <w:tcPr>
            <w:tcW w:w="8125" w:type="dxa"/>
            <w:shd w:val="clear" w:color="auto" w:fill="auto"/>
            <w:noWrap/>
            <w:vAlign w:val="center"/>
            <w:hideMark/>
          </w:tcPr>
          <w:p w14:paraId="0F0747C5" w14:textId="77777777" w:rsidR="00550C2E" w:rsidRPr="004C52B8" w:rsidRDefault="00550C2E" w:rsidP="00316D72">
            <w:pPr>
              <w:rPr>
                <w:lang w:val="de-DE" w:eastAsia="de-DE"/>
              </w:rPr>
            </w:pPr>
            <w:r w:rsidRPr="004C52B8">
              <w:rPr>
                <w:lang w:val="de-DE" w:eastAsia="de-DE"/>
              </w:rPr>
              <w:t>Lead Country</w:t>
            </w:r>
          </w:p>
        </w:tc>
      </w:tr>
      <w:tr w:rsidR="00550C2E" w:rsidRPr="004C52B8" w14:paraId="0E1AC0F6" w14:textId="77777777" w:rsidTr="00316D72">
        <w:trPr>
          <w:trHeight w:val="310"/>
        </w:trPr>
        <w:tc>
          <w:tcPr>
            <w:tcW w:w="2021" w:type="dxa"/>
            <w:shd w:val="clear" w:color="auto" w:fill="auto"/>
            <w:noWrap/>
            <w:vAlign w:val="center"/>
            <w:hideMark/>
          </w:tcPr>
          <w:p w14:paraId="64615BA1" w14:textId="77777777" w:rsidR="00550C2E" w:rsidRPr="00C459B2" w:rsidRDefault="00550C2E" w:rsidP="00316D72">
            <w:pPr>
              <w:rPr>
                <w:b/>
                <w:lang w:val="de-DE" w:eastAsia="de-DE"/>
              </w:rPr>
            </w:pPr>
            <w:r w:rsidRPr="00C459B2">
              <w:rPr>
                <w:b/>
                <w:lang w:eastAsia="de-DE"/>
              </w:rPr>
              <w:t xml:space="preserve">LC CO </w:t>
            </w:r>
            <w:r>
              <w:rPr>
                <w:b/>
                <w:lang w:eastAsia="de-DE"/>
              </w:rPr>
              <w:t>RFC RC</w:t>
            </w:r>
          </w:p>
        </w:tc>
        <w:tc>
          <w:tcPr>
            <w:tcW w:w="8125" w:type="dxa"/>
            <w:shd w:val="clear" w:color="auto" w:fill="auto"/>
            <w:noWrap/>
            <w:vAlign w:val="center"/>
            <w:hideMark/>
          </w:tcPr>
          <w:p w14:paraId="060522F5" w14:textId="77777777" w:rsidR="00550C2E" w:rsidRPr="004C52B8" w:rsidRDefault="00550C2E" w:rsidP="00316D72">
            <w:pPr>
              <w:rPr>
                <w:lang w:eastAsia="de-DE"/>
              </w:rPr>
            </w:pPr>
            <w:r w:rsidRPr="00E47015">
              <w:rPr>
                <w:lang w:eastAsia="de-DE"/>
              </w:rPr>
              <w:t>Risk Management and Controls</w:t>
            </w:r>
            <w:r>
              <w:rPr>
                <w:lang w:eastAsia="de-DE"/>
              </w:rPr>
              <w:t xml:space="preserve"> department</w:t>
            </w:r>
          </w:p>
        </w:tc>
      </w:tr>
      <w:tr w:rsidR="00550C2E" w:rsidRPr="004C52B8" w14:paraId="0694A9DA" w14:textId="77777777" w:rsidTr="00316D72">
        <w:trPr>
          <w:trHeight w:val="310"/>
        </w:trPr>
        <w:tc>
          <w:tcPr>
            <w:tcW w:w="2021" w:type="dxa"/>
            <w:shd w:val="clear" w:color="auto" w:fill="auto"/>
            <w:noWrap/>
            <w:vAlign w:val="center"/>
          </w:tcPr>
          <w:p w14:paraId="33695A6F" w14:textId="77777777" w:rsidR="00550C2E" w:rsidRPr="00C459B2" w:rsidRDefault="00550C2E" w:rsidP="00316D72">
            <w:pPr>
              <w:rPr>
                <w:b/>
                <w:lang w:eastAsia="de-DE"/>
              </w:rPr>
            </w:pPr>
            <w:r w:rsidRPr="00C459B2">
              <w:rPr>
                <w:b/>
                <w:lang w:eastAsia="de-DE"/>
              </w:rPr>
              <w:t xml:space="preserve">Legal </w:t>
            </w:r>
            <w:r w:rsidRPr="00C459B2">
              <w:rPr>
                <w:b/>
                <w:lang w:eastAsia="de-DE"/>
              </w:rPr>
              <w:lastRenderedPageBreak/>
              <w:t>Representative</w:t>
            </w:r>
          </w:p>
        </w:tc>
        <w:tc>
          <w:tcPr>
            <w:tcW w:w="8125" w:type="dxa"/>
            <w:shd w:val="clear" w:color="auto" w:fill="auto"/>
            <w:noWrap/>
            <w:vAlign w:val="center"/>
          </w:tcPr>
          <w:p w14:paraId="6BBF2F96" w14:textId="77777777" w:rsidR="00550C2E" w:rsidRDefault="00550C2E" w:rsidP="00316D72">
            <w:r w:rsidRPr="004C52B8">
              <w:lastRenderedPageBreak/>
              <w:t xml:space="preserve">The legal representatives are all persons who are allowed by law to represent the company (not to be confused with all persons having a contractual power of attorney to </w:t>
            </w:r>
            <w:r w:rsidRPr="004C52B8">
              <w:lastRenderedPageBreak/>
              <w:t>sign on behalf of a company).</w:t>
            </w:r>
          </w:p>
          <w:p w14:paraId="2091707A" w14:textId="27FD7832" w:rsidR="00550C2E" w:rsidRPr="009851FE" w:rsidRDefault="00550C2E" w:rsidP="00316D72">
            <w:r w:rsidRPr="009851FE">
              <w:rPr>
                <w:i/>
              </w:rPr>
              <w:t>Relevant definition inter alia for chapt</w:t>
            </w:r>
            <w:r>
              <w:rPr>
                <w:i/>
              </w:rPr>
              <w:t xml:space="preserve">ers </w:t>
            </w:r>
            <w:hyperlink r:id="rId78" w:history="1">
              <w:r w:rsidRPr="009851FE">
                <w:rPr>
                  <w:rStyle w:val="Hyperlink"/>
                  <w:i/>
                </w:rPr>
                <w:t xml:space="preserve">A </w:t>
              </w:r>
              <w:r w:rsidR="00C87C49">
                <w:rPr>
                  <w:rStyle w:val="Hyperlink"/>
                  <w:i/>
                </w:rPr>
                <w:t>4.</w:t>
              </w:r>
              <w:r w:rsidR="00425A3B">
                <w:rPr>
                  <w:rStyle w:val="Hyperlink"/>
                  <w:i/>
                </w:rPr>
                <w:t>C.2.2.3</w:t>
              </w:r>
              <w:r w:rsidR="00C87C49">
                <w:rPr>
                  <w:rStyle w:val="Hyperlink"/>
                  <w:i/>
                </w:rPr>
                <w:t>.</w:t>
              </w:r>
            </w:hyperlink>
            <w:r w:rsidRPr="009851FE">
              <w:rPr>
                <w:i/>
              </w:rPr>
              <w:t xml:space="preserve"> Compliance Due Diligence for Business Partners</w:t>
            </w:r>
            <w:r>
              <w:rPr>
                <w:i/>
              </w:rPr>
              <w:t xml:space="preserve"> and </w:t>
            </w:r>
            <w:hyperlink r:id="rId79" w:history="1">
              <w:r w:rsidRPr="00E825EA">
                <w:rPr>
                  <w:rStyle w:val="Hyperlink"/>
                  <w:i/>
                </w:rPr>
                <w:t>C 2.</w:t>
              </w:r>
              <w:r>
                <w:rPr>
                  <w:rStyle w:val="Hyperlink"/>
                  <w:i/>
                </w:rPr>
                <w:t>1</w:t>
              </w:r>
              <w:r w:rsidRPr="00E825EA">
                <w:rPr>
                  <w:rStyle w:val="Hyperlink"/>
                </w:rPr>
                <w:t>.</w:t>
              </w:r>
            </w:hyperlink>
            <w:r w:rsidRPr="009851FE">
              <w:rPr>
                <w:i/>
              </w:rPr>
              <w:t xml:space="preserve"> </w:t>
            </w:r>
            <w:r w:rsidRPr="00E825EA">
              <w:rPr>
                <w:i/>
              </w:rPr>
              <w:t>AM</w:t>
            </w:r>
            <w:r w:rsidRPr="00956D1F">
              <w:rPr>
                <w:i/>
              </w:rPr>
              <w:t>L</w:t>
            </w:r>
            <w:r w:rsidRPr="00E825EA">
              <w:rPr>
                <w:i/>
              </w:rPr>
              <w:t xml:space="preserve"> </w:t>
            </w:r>
            <w:r w:rsidR="00F81E85">
              <w:rPr>
                <w:i/>
              </w:rPr>
              <w:t>DD</w:t>
            </w:r>
            <w:r w:rsidRPr="009851FE">
              <w:rPr>
                <w:i/>
              </w:rPr>
              <w:t>.</w:t>
            </w:r>
          </w:p>
        </w:tc>
      </w:tr>
      <w:tr w:rsidR="00550C2E" w:rsidRPr="004C52B8" w14:paraId="70AFD14F" w14:textId="77777777" w:rsidTr="00316D72">
        <w:trPr>
          <w:trHeight w:val="310"/>
        </w:trPr>
        <w:tc>
          <w:tcPr>
            <w:tcW w:w="2021" w:type="dxa"/>
            <w:shd w:val="clear" w:color="auto" w:fill="auto"/>
            <w:noWrap/>
            <w:vAlign w:val="center"/>
          </w:tcPr>
          <w:p w14:paraId="1044C626" w14:textId="77777777" w:rsidR="00550C2E" w:rsidRPr="00C459B2" w:rsidRDefault="00550C2E" w:rsidP="00316D72">
            <w:pPr>
              <w:rPr>
                <w:b/>
                <w:lang w:eastAsia="de-DE"/>
              </w:rPr>
            </w:pPr>
            <w:r>
              <w:rPr>
                <w:b/>
                <w:lang w:eastAsia="de-DE"/>
              </w:rPr>
              <w:lastRenderedPageBreak/>
              <w:t>Lobbyist</w:t>
            </w:r>
          </w:p>
        </w:tc>
        <w:tc>
          <w:tcPr>
            <w:tcW w:w="8125" w:type="dxa"/>
            <w:shd w:val="clear" w:color="auto" w:fill="auto"/>
            <w:noWrap/>
            <w:vAlign w:val="center"/>
          </w:tcPr>
          <w:p w14:paraId="39724AE4" w14:textId="33D3591A" w:rsidR="00550C2E" w:rsidRPr="000C5551" w:rsidRDefault="00550C2E" w:rsidP="00316D72">
            <w:pPr>
              <w:rPr>
                <w:lang w:eastAsia="de-DE"/>
              </w:rPr>
            </w:pPr>
            <w:r>
              <w:rPr>
                <w:lang w:eastAsia="de-DE"/>
              </w:rPr>
              <w:t>Subtype of a Non-sales related Intermediary,</w:t>
            </w:r>
            <w:r w:rsidRPr="000C5551">
              <w:rPr>
                <w:lang w:eastAsia="de-DE"/>
              </w:rPr>
              <w:t xml:space="preserve"> </w:t>
            </w:r>
            <w:r>
              <w:rPr>
                <w:lang w:eastAsia="de-DE"/>
              </w:rPr>
              <w:t>s</w:t>
            </w:r>
            <w:r w:rsidRPr="000C5551">
              <w:rPr>
                <w:lang w:eastAsia="de-DE"/>
              </w:rPr>
              <w:t xml:space="preserve">ee </w:t>
            </w:r>
            <w:hyperlink r:id="rId80" w:history="1">
              <w:r w:rsidR="00C87C49" w:rsidRPr="00425A3B">
                <w:rPr>
                  <w:rStyle w:val="Hyperlink"/>
                  <w:rFonts w:cs="Arial"/>
                  <w:szCs w:val="20"/>
                  <w:lang w:eastAsia="de-DE"/>
                </w:rPr>
                <w:t>A 4.A.1.2</w:t>
              </w:r>
            </w:hyperlink>
            <w:r w:rsidR="00C87C49" w:rsidRPr="00425A3B">
              <w:rPr>
                <w:rStyle w:val="Hyperlink"/>
                <w:rFonts w:cs="Arial"/>
                <w:szCs w:val="20"/>
              </w:rPr>
              <w:t xml:space="preserve"> und </w:t>
            </w:r>
            <w:hyperlink r:id="rId81" w:history="1">
              <w:r w:rsidR="00C87C49" w:rsidRPr="00425A3B">
                <w:rPr>
                  <w:rStyle w:val="Hyperlink"/>
                  <w:rFonts w:cs="Arial"/>
                  <w:szCs w:val="20"/>
                </w:rPr>
                <w:t>A.5.1.5.</w:t>
              </w:r>
            </w:hyperlink>
            <w:r w:rsidR="00C87C49" w:rsidRPr="00425A3B">
              <w:rPr>
                <w:rStyle w:val="Hyperlink"/>
                <w:rFonts w:cs="Arial"/>
                <w:szCs w:val="20"/>
              </w:rPr>
              <w:t xml:space="preserve"> </w:t>
            </w:r>
            <w:r w:rsidR="00C87C49" w:rsidRPr="00B84C92">
              <w:rPr>
                <w:rStyle w:val="Hyperlink"/>
              </w:rPr>
              <w:t xml:space="preserve">und </w:t>
            </w:r>
            <w:hyperlink r:id="rId82" w:history="1">
              <w:r w:rsidR="00C87C49" w:rsidRPr="00B84C92">
                <w:rPr>
                  <w:rStyle w:val="Hyperlink"/>
                </w:rPr>
                <w:t>A.5.2.</w:t>
              </w:r>
            </w:hyperlink>
          </w:p>
        </w:tc>
      </w:tr>
      <w:tr w:rsidR="00550C2E" w:rsidRPr="004C52B8" w14:paraId="6CD0EB05" w14:textId="77777777" w:rsidTr="00316D72">
        <w:trPr>
          <w:trHeight w:val="310"/>
        </w:trPr>
        <w:tc>
          <w:tcPr>
            <w:tcW w:w="2021" w:type="dxa"/>
            <w:shd w:val="clear" w:color="auto" w:fill="auto"/>
            <w:noWrap/>
            <w:vAlign w:val="center"/>
          </w:tcPr>
          <w:p w14:paraId="23FDC4A7" w14:textId="77777777" w:rsidR="00550C2E" w:rsidRPr="00C459B2" w:rsidRDefault="00550C2E" w:rsidP="00316D72">
            <w:pPr>
              <w:rPr>
                <w:b/>
                <w:lang w:eastAsia="de-DE"/>
              </w:rPr>
            </w:pPr>
            <w:r>
              <w:rPr>
                <w:b/>
                <w:lang w:eastAsia="de-DE"/>
              </w:rPr>
              <w:t>Key Employee</w:t>
            </w:r>
          </w:p>
        </w:tc>
        <w:tc>
          <w:tcPr>
            <w:tcW w:w="8125" w:type="dxa"/>
            <w:shd w:val="clear" w:color="auto" w:fill="auto"/>
            <w:noWrap/>
            <w:vAlign w:val="center"/>
          </w:tcPr>
          <w:p w14:paraId="596E055F" w14:textId="7D56917C" w:rsidR="00550C2E" w:rsidRPr="00040BC5" w:rsidRDefault="00550C2E" w:rsidP="00316D72">
            <w:pPr>
              <w:spacing w:before="100" w:beforeAutospacing="1" w:after="100" w:afterAutospacing="1"/>
              <w:rPr>
                <w:i/>
                <w:lang w:eastAsia="de-DE"/>
              </w:rPr>
            </w:pPr>
            <w:r>
              <w:t>A</w:t>
            </w:r>
            <w:r w:rsidRPr="00C63C32">
              <w:t>ny employee of the Signatory who will carry out work for Siemens and who will have direct contact with Siemens personnel (other than mere support activities, like assistants)</w:t>
            </w:r>
            <w:r w:rsidRPr="00040BC5">
              <w:rPr>
                <w:i/>
                <w:lang w:eastAsia="de-DE"/>
              </w:rPr>
              <w:t xml:space="preserve"> (</w:t>
            </w:r>
            <w:hyperlink r:id="rId83" w:history="1">
              <w:r w:rsidRPr="00B97E09">
                <w:rPr>
                  <w:rStyle w:val="Hyperlink"/>
                  <w:i/>
                </w:rPr>
                <w:t xml:space="preserve">A </w:t>
              </w:r>
              <w:r w:rsidR="00C87C49">
                <w:rPr>
                  <w:rStyle w:val="Hyperlink"/>
                  <w:i/>
                </w:rPr>
                <w:t>4.</w:t>
              </w:r>
              <w:r w:rsidR="009E6F12">
                <w:rPr>
                  <w:rStyle w:val="Hyperlink"/>
                  <w:i/>
                </w:rPr>
                <w:t>C.2.2.3</w:t>
              </w:r>
              <w:r w:rsidR="00C87C49">
                <w:rPr>
                  <w:rStyle w:val="Hyperlink"/>
                  <w:i/>
                </w:rPr>
                <w:t>.</w:t>
              </w:r>
            </w:hyperlink>
            <w:r w:rsidRPr="00040BC5">
              <w:rPr>
                <w:i/>
                <w:lang w:eastAsia="de-DE"/>
              </w:rPr>
              <w:t>)</w:t>
            </w:r>
            <w:r w:rsidR="00C87C49">
              <w:rPr>
                <w:i/>
                <w:lang w:eastAsia="de-DE"/>
              </w:rPr>
              <w:t xml:space="preserve"> </w:t>
            </w:r>
            <w:r w:rsidR="00C87C49">
              <w:rPr>
                <w:i/>
              </w:rPr>
              <w:t>and (</w:t>
            </w:r>
            <w:hyperlink r:id="rId84" w:history="1">
              <w:r w:rsidR="00C87C49" w:rsidRPr="00C87C49">
                <w:rPr>
                  <w:rStyle w:val="Hyperlink"/>
                  <w:i/>
                </w:rPr>
                <w:t>I.1.3</w:t>
              </w:r>
              <w:r w:rsidR="00C87C49">
                <w:rPr>
                  <w:rStyle w:val="Hyperlink"/>
                  <w:i/>
                </w:rPr>
                <w:t>)</w:t>
              </w:r>
              <w:r w:rsidR="00C87C49" w:rsidRPr="00C87C49">
                <w:rPr>
                  <w:rStyle w:val="Hyperlink"/>
                  <w:i/>
                </w:rPr>
                <w:t>.</w:t>
              </w:r>
            </w:hyperlink>
          </w:p>
        </w:tc>
      </w:tr>
      <w:tr w:rsidR="00550C2E" w:rsidRPr="004C52B8" w14:paraId="0276EA69" w14:textId="77777777" w:rsidTr="00316D72">
        <w:trPr>
          <w:trHeight w:val="310"/>
        </w:trPr>
        <w:tc>
          <w:tcPr>
            <w:tcW w:w="2021" w:type="dxa"/>
            <w:shd w:val="clear" w:color="auto" w:fill="auto"/>
            <w:noWrap/>
            <w:vAlign w:val="center"/>
          </w:tcPr>
          <w:p w14:paraId="25D51308" w14:textId="77777777" w:rsidR="00550C2E" w:rsidRDefault="00550C2E" w:rsidP="00316D72">
            <w:pPr>
              <w:rPr>
                <w:b/>
                <w:lang w:eastAsia="de-DE"/>
              </w:rPr>
            </w:pPr>
            <w:r>
              <w:rPr>
                <w:b/>
                <w:lang w:eastAsia="de-DE"/>
              </w:rPr>
              <w:t>Key Person</w:t>
            </w:r>
          </w:p>
        </w:tc>
        <w:tc>
          <w:tcPr>
            <w:tcW w:w="8125" w:type="dxa"/>
            <w:shd w:val="clear" w:color="auto" w:fill="auto"/>
            <w:noWrap/>
            <w:vAlign w:val="center"/>
          </w:tcPr>
          <w:p w14:paraId="7A47E941" w14:textId="77777777" w:rsidR="00550C2E" w:rsidRPr="00FC4ECA" w:rsidRDefault="00550C2E" w:rsidP="00316D72">
            <w:pPr>
              <w:pStyle w:val="Funotentext"/>
              <w:jc w:val="both"/>
              <w:rPr>
                <w:sz w:val="20"/>
              </w:rPr>
            </w:pPr>
            <w:r w:rsidRPr="00FC4ECA">
              <w:rPr>
                <w:sz w:val="20"/>
              </w:rPr>
              <w:t xml:space="preserve">Any individual who has a considerable influence on the Company’s business activities due to their position or their shareholding – this includes </w:t>
            </w:r>
          </w:p>
          <w:p w14:paraId="33CC4A2A" w14:textId="77777777" w:rsidR="00550C2E" w:rsidRPr="00FC4ECA" w:rsidRDefault="00550C2E" w:rsidP="00316D72">
            <w:pPr>
              <w:pStyle w:val="Funotentext"/>
              <w:numPr>
                <w:ilvl w:val="0"/>
                <w:numId w:val="24"/>
              </w:numPr>
              <w:ind w:left="714" w:hanging="357"/>
              <w:contextualSpacing/>
              <w:jc w:val="both"/>
              <w:rPr>
                <w:sz w:val="20"/>
              </w:rPr>
            </w:pPr>
            <w:r w:rsidRPr="00FC4ECA">
              <w:rPr>
                <w:sz w:val="20"/>
              </w:rPr>
              <w:t xml:space="preserve">legal representatives (see separate definition), </w:t>
            </w:r>
          </w:p>
          <w:p w14:paraId="3F46084C" w14:textId="77777777" w:rsidR="00550C2E" w:rsidRPr="00FC4ECA" w:rsidRDefault="00550C2E" w:rsidP="00316D72">
            <w:pPr>
              <w:pStyle w:val="Funotentext"/>
              <w:numPr>
                <w:ilvl w:val="0"/>
                <w:numId w:val="24"/>
              </w:numPr>
              <w:ind w:left="714" w:hanging="357"/>
              <w:contextualSpacing/>
              <w:jc w:val="both"/>
              <w:rPr>
                <w:sz w:val="20"/>
              </w:rPr>
            </w:pPr>
            <w:r w:rsidRPr="00FC4ECA">
              <w:rPr>
                <w:sz w:val="20"/>
              </w:rPr>
              <w:t xml:space="preserve">directors, officers as well as </w:t>
            </w:r>
          </w:p>
          <w:p w14:paraId="7CB919AE" w14:textId="77777777" w:rsidR="00550C2E" w:rsidRPr="00FC4ECA" w:rsidRDefault="00550C2E" w:rsidP="00316D72">
            <w:pPr>
              <w:pStyle w:val="Funotentext"/>
              <w:numPr>
                <w:ilvl w:val="0"/>
                <w:numId w:val="24"/>
              </w:numPr>
              <w:ind w:left="714" w:hanging="357"/>
              <w:contextualSpacing/>
              <w:jc w:val="both"/>
              <w:rPr>
                <w:sz w:val="20"/>
              </w:rPr>
            </w:pPr>
            <w:r w:rsidRPr="00FC4ECA">
              <w:rPr>
                <w:sz w:val="20"/>
              </w:rPr>
              <w:t xml:space="preserve">shareholders (see separate definition) with a significant </w:t>
            </w:r>
            <w:proofErr w:type="gramStart"/>
            <w:r w:rsidRPr="00FC4ECA">
              <w:rPr>
                <w:sz w:val="20"/>
              </w:rPr>
              <w:t>amount</w:t>
            </w:r>
            <w:proofErr w:type="gramEnd"/>
            <w:r w:rsidRPr="00FC4ECA">
              <w:rPr>
                <w:sz w:val="20"/>
              </w:rPr>
              <w:t xml:space="preserve"> of shares or voting power (more than 10%).</w:t>
            </w:r>
          </w:p>
          <w:p w14:paraId="641B32C0" w14:textId="41EC8643" w:rsidR="00550C2E" w:rsidRPr="00197D10" w:rsidRDefault="009E6F12" w:rsidP="00316D72">
            <w:pPr>
              <w:rPr>
                <w:lang w:eastAsia="de-DE"/>
              </w:rPr>
            </w:pPr>
            <w:r w:rsidRPr="00040BC5">
              <w:rPr>
                <w:i/>
                <w:lang w:eastAsia="de-DE"/>
              </w:rPr>
              <w:t>(</w:t>
            </w:r>
            <w:hyperlink r:id="rId85" w:history="1">
              <w:r w:rsidRPr="00B97E09">
                <w:rPr>
                  <w:rStyle w:val="Hyperlink"/>
                  <w:i/>
                </w:rPr>
                <w:t xml:space="preserve">A </w:t>
              </w:r>
              <w:r>
                <w:rPr>
                  <w:rStyle w:val="Hyperlink"/>
                  <w:i/>
                </w:rPr>
                <w:t>4.C.2.2.3.</w:t>
              </w:r>
            </w:hyperlink>
            <w:r>
              <w:rPr>
                <w:i/>
              </w:rPr>
              <w:t>)</w:t>
            </w:r>
            <w:r>
              <w:t xml:space="preserve"> </w:t>
            </w:r>
            <w:r w:rsidR="00C87C49">
              <w:rPr>
                <w:i/>
              </w:rPr>
              <w:t>and (</w:t>
            </w:r>
            <w:hyperlink r:id="rId86" w:history="1">
              <w:r w:rsidR="00C87C49" w:rsidRPr="00C87C49">
                <w:rPr>
                  <w:rStyle w:val="Hyperlink"/>
                  <w:i/>
                </w:rPr>
                <w:t>I.1.3</w:t>
              </w:r>
              <w:r w:rsidR="00C87C49">
                <w:rPr>
                  <w:rStyle w:val="Hyperlink"/>
                  <w:i/>
                </w:rPr>
                <w:t>)</w:t>
              </w:r>
              <w:r w:rsidR="00C87C49" w:rsidRPr="00C87C49">
                <w:rPr>
                  <w:rStyle w:val="Hyperlink"/>
                  <w:i/>
                </w:rPr>
                <w:t>.</w:t>
              </w:r>
            </w:hyperlink>
          </w:p>
        </w:tc>
      </w:tr>
      <w:tr w:rsidR="00550C2E" w:rsidRPr="004C52B8" w14:paraId="1003735E" w14:textId="77777777" w:rsidTr="00316D72">
        <w:trPr>
          <w:trHeight w:val="310"/>
        </w:trPr>
        <w:tc>
          <w:tcPr>
            <w:tcW w:w="2021" w:type="dxa"/>
            <w:shd w:val="clear" w:color="auto" w:fill="auto"/>
            <w:noWrap/>
            <w:vAlign w:val="center"/>
            <w:hideMark/>
          </w:tcPr>
          <w:p w14:paraId="270B7EE2" w14:textId="77777777" w:rsidR="00550C2E" w:rsidRPr="00C459B2" w:rsidRDefault="00550C2E" w:rsidP="00316D72">
            <w:pPr>
              <w:rPr>
                <w:b/>
                <w:lang w:val="de-DE" w:eastAsia="de-DE"/>
              </w:rPr>
            </w:pPr>
            <w:r w:rsidRPr="00C459B2">
              <w:rPr>
                <w:b/>
                <w:lang w:eastAsia="de-DE"/>
              </w:rPr>
              <w:t>M&amp;A</w:t>
            </w:r>
          </w:p>
        </w:tc>
        <w:tc>
          <w:tcPr>
            <w:tcW w:w="8125" w:type="dxa"/>
            <w:shd w:val="clear" w:color="auto" w:fill="auto"/>
            <w:noWrap/>
            <w:vAlign w:val="center"/>
            <w:hideMark/>
          </w:tcPr>
          <w:p w14:paraId="7F0F7B8B" w14:textId="77777777" w:rsidR="00550C2E" w:rsidRPr="00197D10" w:rsidRDefault="00550C2E" w:rsidP="00316D72">
            <w:pPr>
              <w:rPr>
                <w:lang w:eastAsia="de-DE"/>
              </w:rPr>
            </w:pPr>
            <w:r w:rsidRPr="00197D10">
              <w:rPr>
                <w:lang w:eastAsia="de-DE"/>
              </w:rPr>
              <w:t xml:space="preserve">Mergers &amp; Acquisitions </w:t>
            </w:r>
            <w:r w:rsidRPr="00197D10">
              <w:rPr>
                <w:i/>
                <w:lang w:eastAsia="de-DE"/>
              </w:rPr>
              <w:t>(</w:t>
            </w:r>
            <w:hyperlink r:id="rId87" w:history="1">
              <w:r>
                <w:rPr>
                  <w:rStyle w:val="Hyperlink"/>
                  <w:i/>
                  <w:lang w:eastAsia="de-DE"/>
                </w:rPr>
                <w:t>I 1.</w:t>
              </w:r>
            </w:hyperlink>
            <w:r w:rsidRPr="00197D10">
              <w:rPr>
                <w:i/>
                <w:lang w:eastAsia="de-DE"/>
              </w:rPr>
              <w:t>)</w:t>
            </w:r>
          </w:p>
        </w:tc>
      </w:tr>
      <w:tr w:rsidR="00550C2E" w:rsidRPr="004C52B8" w14:paraId="74F5C3C8" w14:textId="77777777" w:rsidTr="00316D72">
        <w:trPr>
          <w:trHeight w:val="310"/>
        </w:trPr>
        <w:tc>
          <w:tcPr>
            <w:tcW w:w="2021" w:type="dxa"/>
            <w:shd w:val="clear" w:color="auto" w:fill="auto"/>
            <w:noWrap/>
            <w:vAlign w:val="center"/>
            <w:hideMark/>
          </w:tcPr>
          <w:p w14:paraId="6F6D97F7" w14:textId="77777777" w:rsidR="00550C2E" w:rsidRPr="00197D10" w:rsidRDefault="00550C2E" w:rsidP="00316D72">
            <w:pPr>
              <w:rPr>
                <w:b/>
                <w:lang w:eastAsia="de-DE"/>
              </w:rPr>
            </w:pPr>
            <w:r w:rsidRPr="00C459B2">
              <w:rPr>
                <w:b/>
                <w:lang w:eastAsia="de-DE"/>
              </w:rPr>
              <w:t xml:space="preserve">MoM </w:t>
            </w:r>
          </w:p>
        </w:tc>
        <w:tc>
          <w:tcPr>
            <w:tcW w:w="8125" w:type="dxa"/>
            <w:shd w:val="clear" w:color="auto" w:fill="auto"/>
            <w:noWrap/>
            <w:vAlign w:val="center"/>
            <w:hideMark/>
          </w:tcPr>
          <w:p w14:paraId="5A6BCF1F" w14:textId="77777777" w:rsidR="00550C2E" w:rsidRPr="00197D10" w:rsidRDefault="00550C2E" w:rsidP="00316D72">
            <w:pPr>
              <w:rPr>
                <w:lang w:eastAsia="de-DE"/>
              </w:rPr>
            </w:pPr>
            <w:r w:rsidRPr="00197D10">
              <w:rPr>
                <w:lang w:eastAsia="de-DE"/>
              </w:rPr>
              <w:t>Minutes of Meeting</w:t>
            </w:r>
          </w:p>
        </w:tc>
      </w:tr>
      <w:tr w:rsidR="00550C2E" w:rsidRPr="004C52B8" w14:paraId="1FEBB5B4" w14:textId="77777777" w:rsidTr="00316D72">
        <w:trPr>
          <w:trHeight w:val="310"/>
        </w:trPr>
        <w:tc>
          <w:tcPr>
            <w:tcW w:w="2021" w:type="dxa"/>
            <w:shd w:val="clear" w:color="auto" w:fill="auto"/>
            <w:noWrap/>
            <w:vAlign w:val="center"/>
            <w:hideMark/>
          </w:tcPr>
          <w:p w14:paraId="1364C299" w14:textId="77777777" w:rsidR="00550C2E" w:rsidRPr="00197D10" w:rsidRDefault="00550C2E" w:rsidP="00316D72">
            <w:pPr>
              <w:rPr>
                <w:b/>
                <w:lang w:eastAsia="de-DE"/>
              </w:rPr>
            </w:pPr>
            <w:r w:rsidRPr="00C459B2">
              <w:rPr>
                <w:b/>
                <w:lang w:eastAsia="de-DE"/>
              </w:rPr>
              <w:t>“Need-to-know” principle</w:t>
            </w:r>
          </w:p>
        </w:tc>
        <w:tc>
          <w:tcPr>
            <w:tcW w:w="8125" w:type="dxa"/>
            <w:shd w:val="clear" w:color="auto" w:fill="auto"/>
            <w:noWrap/>
            <w:vAlign w:val="center"/>
            <w:hideMark/>
          </w:tcPr>
          <w:p w14:paraId="1B8A33A3" w14:textId="77777777" w:rsidR="00550C2E" w:rsidRPr="004C52B8" w:rsidRDefault="00550C2E" w:rsidP="00316D72">
            <w:pPr>
              <w:rPr>
                <w:lang w:eastAsia="de-DE"/>
              </w:rPr>
            </w:pPr>
            <w:r w:rsidRPr="004C52B8">
              <w:rPr>
                <w:lang w:eastAsia="de-DE"/>
              </w:rPr>
              <w:t>General principle ruling the exchange of information relating to compliance investigations: Information is only shared with persons having a real need to know the respective details (e.g. in order to fulfill their managerial duties or to perform certain tasks during the remediation phase).</w:t>
            </w:r>
          </w:p>
        </w:tc>
      </w:tr>
      <w:tr w:rsidR="00550C2E" w:rsidRPr="004C52B8" w14:paraId="7C6B5FF9" w14:textId="77777777" w:rsidTr="00316D72">
        <w:trPr>
          <w:trHeight w:val="310"/>
        </w:trPr>
        <w:tc>
          <w:tcPr>
            <w:tcW w:w="2021" w:type="dxa"/>
            <w:shd w:val="clear" w:color="auto" w:fill="auto"/>
            <w:noWrap/>
            <w:vAlign w:val="center"/>
          </w:tcPr>
          <w:p w14:paraId="30A68ACA" w14:textId="77777777" w:rsidR="00550C2E" w:rsidRPr="00C459B2" w:rsidRDefault="00550C2E" w:rsidP="00316D72">
            <w:pPr>
              <w:rPr>
                <w:b/>
                <w:lang w:eastAsia="de-DE"/>
              </w:rPr>
            </w:pPr>
            <w:r w:rsidRPr="00AD201C">
              <w:rPr>
                <w:b/>
                <w:lang w:eastAsia="de-DE"/>
              </w:rPr>
              <w:t>Non-sales-related Intermediary</w:t>
            </w:r>
          </w:p>
        </w:tc>
        <w:tc>
          <w:tcPr>
            <w:tcW w:w="8125" w:type="dxa"/>
            <w:shd w:val="clear" w:color="auto" w:fill="auto"/>
            <w:noWrap/>
            <w:vAlign w:val="center"/>
          </w:tcPr>
          <w:p w14:paraId="00273D68" w14:textId="4B8BF431" w:rsidR="00550C2E" w:rsidRPr="004C52B8" w:rsidRDefault="00550C2E" w:rsidP="00316D72">
            <w:pPr>
              <w:rPr>
                <w:lang w:val="de-DE" w:eastAsia="de-DE"/>
              </w:rPr>
            </w:pPr>
            <w:r>
              <w:rPr>
                <w:lang w:val="de-DE" w:eastAsia="de-DE"/>
              </w:rPr>
              <w:t xml:space="preserve">See </w:t>
            </w:r>
            <w:hyperlink r:id="rId88" w:history="1">
              <w:r w:rsidR="009E6F12" w:rsidRPr="009E6F12">
                <w:rPr>
                  <w:rStyle w:val="Hyperlink"/>
                  <w:lang w:val="de-DE" w:eastAsia="de-DE"/>
                </w:rPr>
                <w:t>A.4.A.1.2.</w:t>
              </w:r>
            </w:hyperlink>
          </w:p>
        </w:tc>
      </w:tr>
      <w:tr w:rsidR="00550C2E" w:rsidRPr="004C52B8" w14:paraId="575B7C95" w14:textId="77777777" w:rsidTr="00316D72">
        <w:trPr>
          <w:trHeight w:val="310"/>
        </w:trPr>
        <w:tc>
          <w:tcPr>
            <w:tcW w:w="2021" w:type="dxa"/>
            <w:shd w:val="clear" w:color="auto" w:fill="auto"/>
            <w:noWrap/>
            <w:vAlign w:val="center"/>
            <w:hideMark/>
          </w:tcPr>
          <w:p w14:paraId="3E4DBF35" w14:textId="77777777" w:rsidR="00550C2E" w:rsidRPr="00C459B2" w:rsidRDefault="00550C2E" w:rsidP="00316D72">
            <w:pPr>
              <w:rPr>
                <w:b/>
                <w:lang w:val="de-DE" w:eastAsia="de-DE"/>
              </w:rPr>
            </w:pPr>
            <w:r w:rsidRPr="00C459B2">
              <w:rPr>
                <w:b/>
                <w:lang w:eastAsia="de-DE"/>
              </w:rPr>
              <w:t>OR</w:t>
            </w:r>
          </w:p>
        </w:tc>
        <w:tc>
          <w:tcPr>
            <w:tcW w:w="8125" w:type="dxa"/>
            <w:shd w:val="clear" w:color="auto" w:fill="auto"/>
            <w:noWrap/>
            <w:vAlign w:val="center"/>
            <w:hideMark/>
          </w:tcPr>
          <w:p w14:paraId="47AD1DC2" w14:textId="77777777" w:rsidR="00550C2E" w:rsidRPr="004C52B8" w:rsidRDefault="00550C2E" w:rsidP="00316D72">
            <w:pPr>
              <w:rPr>
                <w:lang w:val="de-DE" w:eastAsia="de-DE"/>
              </w:rPr>
            </w:pPr>
            <w:r w:rsidRPr="004C52B8">
              <w:rPr>
                <w:lang w:val="de-DE" w:eastAsia="de-DE"/>
              </w:rPr>
              <w:t xml:space="preserve">Operational Review </w:t>
            </w:r>
          </w:p>
        </w:tc>
      </w:tr>
      <w:tr w:rsidR="00550C2E" w:rsidRPr="004C52B8" w14:paraId="3C4B3200" w14:textId="77777777" w:rsidTr="00316D72">
        <w:trPr>
          <w:trHeight w:val="310"/>
        </w:trPr>
        <w:tc>
          <w:tcPr>
            <w:tcW w:w="2021" w:type="dxa"/>
            <w:shd w:val="clear" w:color="auto" w:fill="auto"/>
            <w:noWrap/>
            <w:vAlign w:val="center"/>
          </w:tcPr>
          <w:p w14:paraId="6BC7498D" w14:textId="77777777" w:rsidR="00550C2E" w:rsidRPr="00C459B2" w:rsidRDefault="00550C2E" w:rsidP="00316D72">
            <w:pPr>
              <w:rPr>
                <w:b/>
                <w:lang w:eastAsia="de-DE"/>
              </w:rPr>
            </w:pPr>
            <w:r w:rsidRPr="003B0906">
              <w:rPr>
                <w:rFonts w:cs="Arial"/>
                <w:b/>
                <w:szCs w:val="20"/>
              </w:rPr>
              <w:t>Original Equipment Manufacturer (OEM</w:t>
            </w:r>
            <w:r>
              <w:rPr>
                <w:rFonts w:cs="Arial"/>
                <w:b/>
                <w:szCs w:val="20"/>
              </w:rPr>
              <w:t>)</w:t>
            </w:r>
          </w:p>
        </w:tc>
        <w:tc>
          <w:tcPr>
            <w:tcW w:w="8125" w:type="dxa"/>
            <w:shd w:val="clear" w:color="auto" w:fill="auto"/>
            <w:noWrap/>
            <w:vAlign w:val="center"/>
          </w:tcPr>
          <w:p w14:paraId="575D95DD" w14:textId="3F0B3022" w:rsidR="00550C2E" w:rsidRPr="00197D10" w:rsidRDefault="00550C2E" w:rsidP="00316D72">
            <w:pPr>
              <w:spacing w:after="0" w:line="276" w:lineRule="auto"/>
              <w:rPr>
                <w:lang w:eastAsia="de-DE"/>
              </w:rPr>
            </w:pPr>
            <w:r>
              <w:rPr>
                <w:rFonts w:cs="Arial"/>
                <w:bCs/>
                <w:szCs w:val="20"/>
              </w:rPr>
              <w:t>Example of</w:t>
            </w:r>
            <w:r w:rsidRPr="0041696F">
              <w:rPr>
                <w:rFonts w:cs="Arial"/>
                <w:bCs/>
                <w:szCs w:val="20"/>
              </w:rPr>
              <w:t xml:space="preserve"> a Value add </w:t>
            </w:r>
            <w:r w:rsidRPr="0041696F">
              <w:rPr>
                <w:rFonts w:cs="Arial"/>
                <w:szCs w:val="20"/>
              </w:rPr>
              <w:t>Reseller</w:t>
            </w:r>
            <w:r>
              <w:rPr>
                <w:rFonts w:cs="Arial"/>
                <w:szCs w:val="20"/>
              </w:rPr>
              <w:t xml:space="preserve">, see </w:t>
            </w:r>
            <w:hyperlink r:id="rId89" w:history="1">
              <w:r>
                <w:rPr>
                  <w:rStyle w:val="Hyperlink"/>
                  <w:rFonts w:cs="Arial"/>
                  <w:szCs w:val="20"/>
                </w:rPr>
                <w:t xml:space="preserve">A </w:t>
              </w:r>
              <w:r w:rsidR="009E6F12">
                <w:rPr>
                  <w:rStyle w:val="Hyperlink"/>
                  <w:rFonts w:cs="Arial"/>
                  <w:szCs w:val="20"/>
                </w:rPr>
                <w:t>4.A.1.3.2.</w:t>
              </w:r>
            </w:hyperlink>
          </w:p>
        </w:tc>
      </w:tr>
      <w:tr w:rsidR="00550C2E" w:rsidRPr="004C52B8" w14:paraId="2B9DBC8C" w14:textId="77777777" w:rsidTr="00316D72">
        <w:trPr>
          <w:trHeight w:val="310"/>
        </w:trPr>
        <w:tc>
          <w:tcPr>
            <w:tcW w:w="2021" w:type="dxa"/>
            <w:shd w:val="clear" w:color="auto" w:fill="auto"/>
            <w:noWrap/>
            <w:vAlign w:val="center"/>
            <w:hideMark/>
          </w:tcPr>
          <w:p w14:paraId="2BCA075D" w14:textId="77777777" w:rsidR="00550C2E" w:rsidRPr="00C459B2" w:rsidRDefault="00550C2E" w:rsidP="00316D72">
            <w:pPr>
              <w:rPr>
                <w:b/>
                <w:lang w:val="de-DE" w:eastAsia="de-DE"/>
              </w:rPr>
            </w:pPr>
            <w:r w:rsidRPr="00C459B2">
              <w:rPr>
                <w:b/>
                <w:lang w:eastAsia="de-DE"/>
              </w:rPr>
              <w:t>PCMB</w:t>
            </w:r>
          </w:p>
        </w:tc>
        <w:tc>
          <w:tcPr>
            <w:tcW w:w="8125" w:type="dxa"/>
            <w:shd w:val="clear" w:color="auto" w:fill="auto"/>
            <w:noWrap/>
            <w:vAlign w:val="center"/>
            <w:hideMark/>
          </w:tcPr>
          <w:p w14:paraId="00893AB4" w14:textId="77777777" w:rsidR="00550C2E" w:rsidRPr="00197D10" w:rsidRDefault="00550C2E" w:rsidP="00316D72">
            <w:pPr>
              <w:rPr>
                <w:lang w:eastAsia="de-DE"/>
              </w:rPr>
            </w:pPr>
            <w:r w:rsidRPr="00197D10">
              <w:rPr>
                <w:lang w:eastAsia="de-DE"/>
              </w:rPr>
              <w:t xml:space="preserve">Policy Control Master Book </w:t>
            </w:r>
            <w:r w:rsidRPr="00197D10">
              <w:rPr>
                <w:i/>
                <w:lang w:eastAsia="de-DE"/>
              </w:rPr>
              <w:t>(</w:t>
            </w:r>
            <w:hyperlink r:id="rId90" w:history="1">
              <w:r>
                <w:rPr>
                  <w:rStyle w:val="Hyperlink"/>
                  <w:i/>
                  <w:lang w:eastAsia="de-DE"/>
                </w:rPr>
                <w:t>K 3.</w:t>
              </w:r>
            </w:hyperlink>
            <w:r>
              <w:rPr>
                <w:i/>
                <w:lang w:eastAsia="de-DE"/>
              </w:rPr>
              <w:t xml:space="preserve"> Compliance Control Program)</w:t>
            </w:r>
          </w:p>
        </w:tc>
      </w:tr>
      <w:tr w:rsidR="00550C2E" w:rsidRPr="004C52B8" w14:paraId="41D4EBC3" w14:textId="77777777" w:rsidTr="00316D72">
        <w:trPr>
          <w:trHeight w:val="310"/>
        </w:trPr>
        <w:tc>
          <w:tcPr>
            <w:tcW w:w="2021" w:type="dxa"/>
            <w:shd w:val="clear" w:color="auto" w:fill="auto"/>
            <w:noWrap/>
            <w:vAlign w:val="center"/>
            <w:hideMark/>
          </w:tcPr>
          <w:p w14:paraId="5D570054" w14:textId="77777777" w:rsidR="00550C2E" w:rsidRPr="00C459B2" w:rsidRDefault="00550C2E" w:rsidP="00316D72">
            <w:pPr>
              <w:rPr>
                <w:b/>
                <w:lang w:val="de-DE" w:eastAsia="de-DE"/>
              </w:rPr>
            </w:pPr>
            <w:r w:rsidRPr="00C459B2">
              <w:rPr>
                <w:b/>
                <w:lang w:eastAsia="de-DE"/>
              </w:rPr>
              <w:t>PE</w:t>
            </w:r>
          </w:p>
        </w:tc>
        <w:tc>
          <w:tcPr>
            <w:tcW w:w="8125" w:type="dxa"/>
            <w:shd w:val="clear" w:color="auto" w:fill="auto"/>
            <w:noWrap/>
            <w:vAlign w:val="center"/>
            <w:hideMark/>
          </w:tcPr>
          <w:p w14:paraId="6DB48811" w14:textId="77777777" w:rsidR="00550C2E" w:rsidRPr="00197D10" w:rsidRDefault="00550C2E" w:rsidP="00316D72">
            <w:pPr>
              <w:rPr>
                <w:lang w:eastAsia="de-DE"/>
              </w:rPr>
            </w:pPr>
            <w:r w:rsidRPr="00197D10">
              <w:rPr>
                <w:lang w:eastAsia="de-DE"/>
              </w:rPr>
              <w:t xml:space="preserve">Permanent Establishment </w:t>
            </w:r>
            <w:r w:rsidRPr="00197D10">
              <w:rPr>
                <w:i/>
                <w:lang w:eastAsia="de-DE"/>
              </w:rPr>
              <w:t>(</w:t>
            </w:r>
            <w:hyperlink r:id="rId91" w:history="1">
              <w:r>
                <w:rPr>
                  <w:rStyle w:val="Hyperlink"/>
                  <w:i/>
                  <w:lang w:eastAsia="de-DE"/>
                </w:rPr>
                <w:t>I 2.</w:t>
              </w:r>
            </w:hyperlink>
            <w:r w:rsidRPr="00197D10">
              <w:rPr>
                <w:i/>
                <w:lang w:eastAsia="de-DE"/>
              </w:rPr>
              <w:t>)</w:t>
            </w:r>
          </w:p>
        </w:tc>
      </w:tr>
      <w:tr w:rsidR="00550C2E" w:rsidRPr="004C52B8" w14:paraId="6ADA344C" w14:textId="77777777" w:rsidTr="00316D72">
        <w:trPr>
          <w:trHeight w:val="310"/>
        </w:trPr>
        <w:tc>
          <w:tcPr>
            <w:tcW w:w="2021" w:type="dxa"/>
            <w:shd w:val="clear" w:color="auto" w:fill="auto"/>
            <w:noWrap/>
            <w:vAlign w:val="center"/>
            <w:hideMark/>
          </w:tcPr>
          <w:p w14:paraId="20656DC9" w14:textId="77777777" w:rsidR="00550C2E" w:rsidRPr="00AD201C" w:rsidRDefault="00550C2E" w:rsidP="00316D72">
            <w:pPr>
              <w:rPr>
                <w:b/>
                <w:i/>
                <w:szCs w:val="20"/>
                <w:lang w:eastAsia="de-DE"/>
              </w:rPr>
            </w:pPr>
            <w:r w:rsidRPr="00AD201C">
              <w:rPr>
                <w:b/>
                <w:i/>
                <w:lang w:eastAsia="de-DE"/>
              </w:rPr>
              <w:t>Politically Exposed Person (PEP)</w:t>
            </w:r>
          </w:p>
        </w:tc>
        <w:tc>
          <w:tcPr>
            <w:tcW w:w="8125" w:type="dxa"/>
            <w:shd w:val="clear" w:color="auto" w:fill="auto"/>
            <w:noWrap/>
            <w:vAlign w:val="center"/>
            <w:hideMark/>
          </w:tcPr>
          <w:p w14:paraId="6E31789B" w14:textId="77777777" w:rsidR="00550C2E" w:rsidRPr="00197D10" w:rsidRDefault="00550C2E" w:rsidP="00316D72">
            <w:pPr>
              <w:rPr>
                <w:i/>
              </w:rPr>
            </w:pPr>
            <w:r w:rsidRPr="00197D10">
              <w:rPr>
                <w:i/>
              </w:rPr>
              <w:t xml:space="preserve">While there is no global definition of a PEP, most countries including the EU </w:t>
            </w:r>
            <w:hyperlink r:id="rId92" w:history="1">
              <w:r w:rsidRPr="00197D10">
                <w:rPr>
                  <w:rStyle w:val="Hyperlink"/>
                  <w:i/>
                </w:rPr>
                <w:t>Anti-Money Laundering Directive</w:t>
              </w:r>
            </w:hyperlink>
            <w:r w:rsidRPr="00197D10">
              <w:rPr>
                <w:i/>
              </w:rPr>
              <w:t xml:space="preserve"> have based their definition on the </w:t>
            </w:r>
            <w:hyperlink r:id="rId93" w:history="1">
              <w:r w:rsidRPr="00197D10">
                <w:rPr>
                  <w:rStyle w:val="Hyperlink"/>
                  <w:i/>
                </w:rPr>
                <w:t>Financial Action Task Force on Money Laundering</w:t>
              </w:r>
            </w:hyperlink>
            <w:r w:rsidRPr="00197D10">
              <w:rPr>
                <w:i/>
              </w:rPr>
              <w:t xml:space="preserve"> (FATF) standard. </w:t>
            </w:r>
          </w:p>
          <w:p w14:paraId="7AECC22C" w14:textId="77777777" w:rsidR="00550C2E" w:rsidRPr="005A5C94" w:rsidRDefault="00550C2E" w:rsidP="00316D72">
            <w:pPr>
              <w:rPr>
                <w:szCs w:val="20"/>
              </w:rPr>
            </w:pPr>
            <w:r w:rsidRPr="00197D10">
              <w:rPr>
                <w:rFonts w:eastAsiaTheme="majorEastAsia" w:cstheme="majorBidi"/>
                <w:b/>
                <w:i/>
                <w:iCs/>
                <w:szCs w:val="20"/>
              </w:rPr>
              <w:t>FATF definition</w:t>
            </w:r>
            <w:r w:rsidRPr="005A5C94">
              <w:rPr>
                <w:rFonts w:eastAsiaTheme="majorEastAsia" w:cstheme="majorBidi"/>
                <w:b/>
                <w:iCs/>
                <w:szCs w:val="20"/>
              </w:rPr>
              <w:t>:</w:t>
            </w:r>
            <w:r w:rsidRPr="005A5C94">
              <w:rPr>
                <w:rFonts w:eastAsiaTheme="majorEastAsia" w:cstheme="majorBidi"/>
                <w:iCs/>
                <w:szCs w:val="20"/>
              </w:rPr>
              <w:t xml:space="preserve"> </w:t>
            </w:r>
            <w:r w:rsidRPr="005A5C94">
              <w:rPr>
                <w:szCs w:val="20"/>
              </w:rPr>
              <w:t xml:space="preserve">Individuals who are or have been entrusted with prominent public functions by a foreign country, for example Heads of state or Heads of government, senior politicians, senior government, judicial or military officials, senior executives of state owned corporations, important political party officials. Further, persons who are or have </w:t>
            </w:r>
            <w:r w:rsidRPr="005A5C94">
              <w:rPr>
                <w:szCs w:val="20"/>
              </w:rPr>
              <w:lastRenderedPageBreak/>
              <w:t xml:space="preserve">been entrusted with a prominent function by a </w:t>
            </w:r>
            <w:proofErr w:type="gramStart"/>
            <w:r w:rsidRPr="005A5C94">
              <w:rPr>
                <w:szCs w:val="20"/>
              </w:rPr>
              <w:t>state owned</w:t>
            </w:r>
            <w:proofErr w:type="gramEnd"/>
            <w:r w:rsidRPr="005A5C94">
              <w:rPr>
                <w:szCs w:val="20"/>
              </w:rPr>
              <w:t xml:space="preserve"> enterprise or an international organization refers to members of senior management, i.e. directors, deputy directors and members of the board or equivalent functions.</w:t>
            </w:r>
          </w:p>
          <w:p w14:paraId="67E21987" w14:textId="77777777" w:rsidR="00550C2E" w:rsidRPr="005A5C94" w:rsidRDefault="00550C2E" w:rsidP="00316D72">
            <w:pPr>
              <w:rPr>
                <w:szCs w:val="20"/>
              </w:rPr>
            </w:pPr>
            <w:r w:rsidRPr="005A5C94">
              <w:rPr>
                <w:szCs w:val="20"/>
              </w:rPr>
              <w:t>Requirements for a PEP apply to family members or close associates, that is any individual publicly known, or known by the financial institution to be a close personal or professional associate. The definition of “Politically exposed Person” does not include middle-ranking or more junior individuals.</w:t>
            </w:r>
          </w:p>
          <w:p w14:paraId="67FA4082" w14:textId="77777777" w:rsidR="00550C2E" w:rsidRPr="005A5C94" w:rsidRDefault="00550C2E" w:rsidP="00316D72">
            <w:r w:rsidRPr="00197D10">
              <w:rPr>
                <w:rFonts w:eastAsiaTheme="majorEastAsia" w:cstheme="majorBidi"/>
                <w:b/>
                <w:i/>
                <w:iCs/>
                <w:szCs w:val="20"/>
              </w:rPr>
              <w:t>EU-AML Directive</w:t>
            </w:r>
            <w:r>
              <w:rPr>
                <w:rFonts w:eastAsiaTheme="majorEastAsia" w:cstheme="majorBidi"/>
                <w:b/>
                <w:iCs/>
                <w:szCs w:val="20"/>
              </w:rPr>
              <w:t>:</w:t>
            </w:r>
            <w:r w:rsidRPr="005A5C94">
              <w:rPr>
                <w:rFonts w:eastAsiaTheme="majorEastAsia" w:cstheme="majorBidi"/>
                <w:iCs/>
                <w:szCs w:val="20"/>
              </w:rPr>
              <w:t xml:space="preserve"> </w:t>
            </w:r>
            <w:r w:rsidRPr="005A5C94">
              <w:rPr>
                <w:szCs w:val="20"/>
              </w:rPr>
              <w:t xml:space="preserve">Any individual who is entrusted with prominent public functions, including members of legislative bodies, government ministers, judges, high ranking members of the armed forces </w:t>
            </w:r>
            <w:r w:rsidRPr="005A5C94">
              <w:t xml:space="preserve">and senior officials of state-owned enterprises. This includes domestic citizens, as well as foreign ones. Family members or known close associates of a PEP must also be dealt with under PEP rules. This means applying enhanced due diligence. A family member of a PEP </w:t>
            </w:r>
            <w:proofErr w:type="gramStart"/>
            <w:r w:rsidRPr="005A5C94">
              <w:t>includes;</w:t>
            </w:r>
            <w:proofErr w:type="gramEnd"/>
            <w:r w:rsidRPr="005A5C94">
              <w:t xml:space="preserve"> a spouse or civil partner, children of the PEP and their spouses or civil partners, and parents of the PEP. A known close associate of a PEP means an individual known to have joint beneficial ownership of a legal entity or any other close business relationship, or an individual who has sole beneficial ownership of a legal entity known to have been set up for the benefit of the PEP.</w:t>
            </w:r>
          </w:p>
          <w:p w14:paraId="0689ADB9" w14:textId="4CAC9BC3" w:rsidR="00550C2E" w:rsidRPr="005A5C94" w:rsidRDefault="00550C2E" w:rsidP="00316D72">
            <w:pPr>
              <w:rPr>
                <w:i/>
              </w:rPr>
            </w:pPr>
            <w:r w:rsidRPr="005A5C94">
              <w:rPr>
                <w:i/>
              </w:rPr>
              <w:t xml:space="preserve">Relevant definition inter alia for chapter </w:t>
            </w:r>
            <w:hyperlink r:id="rId94" w:history="1">
              <w:r w:rsidRPr="00E825EA">
                <w:rPr>
                  <w:rStyle w:val="Hyperlink"/>
                  <w:i/>
                </w:rPr>
                <w:t>C 1</w:t>
              </w:r>
              <w:r w:rsidRPr="00E825EA">
                <w:rPr>
                  <w:rStyle w:val="Hyperlink"/>
                </w:rPr>
                <w:t>.</w:t>
              </w:r>
            </w:hyperlink>
            <w:r w:rsidRPr="009851FE">
              <w:rPr>
                <w:i/>
              </w:rPr>
              <w:t xml:space="preserve"> </w:t>
            </w:r>
            <w:r w:rsidRPr="00E825EA">
              <w:rPr>
                <w:i/>
              </w:rPr>
              <w:t>AM</w:t>
            </w:r>
            <w:r w:rsidRPr="00956D1F">
              <w:rPr>
                <w:i/>
              </w:rPr>
              <w:t>L</w:t>
            </w:r>
            <w:r w:rsidRPr="00E825EA">
              <w:rPr>
                <w:i/>
              </w:rPr>
              <w:t xml:space="preserve"> </w:t>
            </w:r>
            <w:r w:rsidR="00F81E85">
              <w:rPr>
                <w:i/>
              </w:rPr>
              <w:t>Red Flag</w:t>
            </w:r>
            <w:r w:rsidRPr="005A5C94">
              <w:rPr>
                <w:i/>
              </w:rPr>
              <w:t>. Please also see “</w:t>
            </w:r>
            <w:r w:rsidRPr="005A5C94">
              <w:rPr>
                <w:b/>
                <w:i/>
              </w:rPr>
              <w:t>Government Official</w:t>
            </w:r>
            <w:r w:rsidRPr="005A5C94">
              <w:rPr>
                <w:i/>
              </w:rPr>
              <w:t>” as most likely a PEP is also a Government O</w:t>
            </w:r>
            <w:r>
              <w:rPr>
                <w:i/>
              </w:rPr>
              <w:t>fficial and “</w:t>
            </w:r>
            <w:r w:rsidRPr="008D64D2">
              <w:rPr>
                <w:b/>
                <w:i/>
              </w:rPr>
              <w:t>Related Parties</w:t>
            </w:r>
            <w:r>
              <w:rPr>
                <w:i/>
              </w:rPr>
              <w:t xml:space="preserve">” </w:t>
            </w:r>
            <w:r w:rsidRPr="008D64D2">
              <w:rPr>
                <w:i/>
              </w:rPr>
              <w:t xml:space="preserve">as </w:t>
            </w:r>
            <w:r w:rsidRPr="008D64D2">
              <w:rPr>
                <w:i/>
                <w:szCs w:val="20"/>
              </w:rPr>
              <w:t>requirements for a PEP apply to family members or close associates.</w:t>
            </w:r>
          </w:p>
        </w:tc>
      </w:tr>
      <w:tr w:rsidR="00550C2E" w:rsidRPr="004C52B8" w14:paraId="18FB60B8" w14:textId="77777777" w:rsidTr="00316D72">
        <w:trPr>
          <w:trHeight w:val="310"/>
        </w:trPr>
        <w:tc>
          <w:tcPr>
            <w:tcW w:w="2021" w:type="dxa"/>
            <w:shd w:val="clear" w:color="auto" w:fill="auto"/>
            <w:noWrap/>
            <w:vAlign w:val="center"/>
            <w:hideMark/>
          </w:tcPr>
          <w:p w14:paraId="50153A40" w14:textId="77777777" w:rsidR="00550C2E" w:rsidRPr="00C459B2" w:rsidRDefault="00550C2E" w:rsidP="00316D72">
            <w:pPr>
              <w:rPr>
                <w:b/>
                <w:lang w:val="de-DE" w:eastAsia="de-DE"/>
              </w:rPr>
            </w:pPr>
            <w:r w:rsidRPr="00C459B2">
              <w:rPr>
                <w:b/>
                <w:lang w:eastAsia="de-DE"/>
              </w:rPr>
              <w:lastRenderedPageBreak/>
              <w:t>R&amp;D</w:t>
            </w:r>
          </w:p>
        </w:tc>
        <w:tc>
          <w:tcPr>
            <w:tcW w:w="8125" w:type="dxa"/>
            <w:shd w:val="clear" w:color="auto" w:fill="auto"/>
            <w:noWrap/>
            <w:vAlign w:val="center"/>
            <w:hideMark/>
          </w:tcPr>
          <w:p w14:paraId="59687FCA" w14:textId="77777777" w:rsidR="00550C2E" w:rsidRPr="004C52B8" w:rsidRDefault="00550C2E" w:rsidP="00316D72">
            <w:pPr>
              <w:rPr>
                <w:lang w:val="de-DE" w:eastAsia="de-DE"/>
              </w:rPr>
            </w:pPr>
            <w:r w:rsidRPr="004C52B8">
              <w:rPr>
                <w:lang w:val="de-DE" w:eastAsia="de-DE"/>
              </w:rPr>
              <w:t>Research &amp; Development</w:t>
            </w:r>
          </w:p>
        </w:tc>
      </w:tr>
      <w:tr w:rsidR="00550C2E" w:rsidRPr="004C52B8" w14:paraId="1E20913E" w14:textId="77777777" w:rsidTr="00316D72">
        <w:trPr>
          <w:trHeight w:val="310"/>
        </w:trPr>
        <w:tc>
          <w:tcPr>
            <w:tcW w:w="2021" w:type="dxa"/>
            <w:shd w:val="clear" w:color="auto" w:fill="auto"/>
            <w:noWrap/>
            <w:vAlign w:val="center"/>
            <w:hideMark/>
          </w:tcPr>
          <w:p w14:paraId="7EBA41BD" w14:textId="77777777" w:rsidR="00550C2E" w:rsidRPr="00C459B2" w:rsidRDefault="00550C2E" w:rsidP="00316D72">
            <w:pPr>
              <w:rPr>
                <w:b/>
                <w:lang w:val="de-DE" w:eastAsia="de-DE"/>
              </w:rPr>
            </w:pPr>
            <w:r w:rsidRPr="00C459B2">
              <w:rPr>
                <w:b/>
                <w:lang w:eastAsia="de-DE"/>
              </w:rPr>
              <w:t>Recommendation</w:t>
            </w:r>
          </w:p>
        </w:tc>
        <w:tc>
          <w:tcPr>
            <w:tcW w:w="8125" w:type="dxa"/>
            <w:shd w:val="clear" w:color="auto" w:fill="auto"/>
            <w:noWrap/>
            <w:vAlign w:val="center"/>
            <w:hideMark/>
          </w:tcPr>
          <w:p w14:paraId="4A78FA21" w14:textId="77777777" w:rsidR="00550C2E" w:rsidRPr="004C52B8" w:rsidRDefault="00550C2E" w:rsidP="00316D72">
            <w:pPr>
              <w:rPr>
                <w:lang w:eastAsia="de-DE"/>
              </w:rPr>
            </w:pPr>
            <w:r w:rsidRPr="00197D10">
              <w:rPr>
                <w:i/>
                <w:lang w:eastAsia="de-DE"/>
              </w:rPr>
              <w:t>In the case of Remediations (</w:t>
            </w:r>
            <w:hyperlink r:id="rId95" w:history="1">
              <w:r w:rsidRPr="00197D10">
                <w:rPr>
                  <w:rStyle w:val="Hyperlink"/>
                  <w:i/>
                  <w:lang w:eastAsia="de-DE"/>
                </w:rPr>
                <w:t>L 5.</w:t>
              </w:r>
            </w:hyperlink>
            <w:r w:rsidRPr="00197D10">
              <w:rPr>
                <w:i/>
                <w:lang w:eastAsia="de-DE"/>
              </w:rPr>
              <w:t>):</w:t>
            </w:r>
            <w:r>
              <w:rPr>
                <w:lang w:eastAsia="de-DE"/>
              </w:rPr>
              <w:t xml:space="preserve"> </w:t>
            </w:r>
            <w:r w:rsidRPr="004C52B8">
              <w:rPr>
                <w:lang w:eastAsia="de-DE"/>
              </w:rPr>
              <w:t>Recommended measure or set of measures defined to remedy a deficiency identified during a compliance investigation. The recommendations are defined during the investigation phase and are described in the investigation report. A recommendation may result in one or more remediation measures.</w:t>
            </w:r>
          </w:p>
        </w:tc>
      </w:tr>
      <w:tr w:rsidR="00550C2E" w:rsidRPr="00D83098" w14:paraId="03681ECA" w14:textId="77777777" w:rsidTr="00316D72">
        <w:trPr>
          <w:trHeight w:val="310"/>
        </w:trPr>
        <w:tc>
          <w:tcPr>
            <w:tcW w:w="2021" w:type="dxa"/>
            <w:shd w:val="clear" w:color="auto" w:fill="auto"/>
            <w:noWrap/>
            <w:vAlign w:val="center"/>
          </w:tcPr>
          <w:p w14:paraId="6270B56A" w14:textId="77777777" w:rsidR="00550C2E" w:rsidRPr="00C459B2" w:rsidRDefault="00550C2E" w:rsidP="00316D72">
            <w:pPr>
              <w:rPr>
                <w:b/>
                <w:lang w:eastAsia="de-DE"/>
              </w:rPr>
            </w:pPr>
            <w:r w:rsidRPr="00C459B2">
              <w:rPr>
                <w:b/>
                <w:lang w:eastAsia="de-DE"/>
              </w:rPr>
              <w:t>Related Parties</w:t>
            </w:r>
          </w:p>
        </w:tc>
        <w:tc>
          <w:tcPr>
            <w:tcW w:w="8125" w:type="dxa"/>
            <w:shd w:val="clear" w:color="auto" w:fill="auto"/>
            <w:noWrap/>
            <w:vAlign w:val="center"/>
          </w:tcPr>
          <w:p w14:paraId="18EC7EB3" w14:textId="77777777" w:rsidR="00550C2E" w:rsidRDefault="00550C2E" w:rsidP="00316D72">
            <w:r w:rsidRPr="00D83098">
              <w:t>Close relatives (i.e. parents and their siblings, children including their spouses/life partners, siblings including their spouses or life partners and first nieces and nephews); spouses or life partners and close friends.</w:t>
            </w:r>
          </w:p>
          <w:p w14:paraId="43C54EAD" w14:textId="77777777" w:rsidR="00550C2E" w:rsidRPr="003452C9" w:rsidRDefault="00550C2E" w:rsidP="00316D72">
            <w:pPr>
              <w:rPr>
                <w:i/>
              </w:rPr>
            </w:pPr>
            <w:r w:rsidRPr="003452C9">
              <w:rPr>
                <w:i/>
              </w:rPr>
              <w:t xml:space="preserve">Relevant definition inter alia for chapter </w:t>
            </w:r>
            <w:hyperlink r:id="rId96" w:history="1">
              <w:r w:rsidRPr="003452C9">
                <w:rPr>
                  <w:rStyle w:val="Hyperlink"/>
                  <w:i/>
                </w:rPr>
                <w:t>A 1.3.</w:t>
              </w:r>
            </w:hyperlink>
            <w:r w:rsidRPr="003452C9">
              <w:rPr>
                <w:i/>
              </w:rPr>
              <w:t xml:space="preserve"> Gifts and Hospitality.</w:t>
            </w:r>
          </w:p>
        </w:tc>
      </w:tr>
      <w:tr w:rsidR="00550C2E" w:rsidRPr="004C52B8" w14:paraId="7F0810B6" w14:textId="77777777" w:rsidTr="00316D72">
        <w:trPr>
          <w:trHeight w:val="310"/>
        </w:trPr>
        <w:tc>
          <w:tcPr>
            <w:tcW w:w="2021" w:type="dxa"/>
            <w:shd w:val="clear" w:color="auto" w:fill="auto"/>
            <w:noWrap/>
            <w:vAlign w:val="center"/>
            <w:hideMark/>
          </w:tcPr>
          <w:p w14:paraId="4C71D9FD" w14:textId="77777777" w:rsidR="00550C2E" w:rsidRPr="00C459B2" w:rsidRDefault="00550C2E" w:rsidP="00316D72">
            <w:pPr>
              <w:rPr>
                <w:b/>
                <w:lang w:val="de-DE" w:eastAsia="de-DE"/>
              </w:rPr>
            </w:pPr>
            <w:r w:rsidRPr="00C459B2">
              <w:rPr>
                <w:b/>
                <w:lang w:eastAsia="de-DE"/>
              </w:rPr>
              <w:t>Remediation</w:t>
            </w:r>
          </w:p>
        </w:tc>
        <w:tc>
          <w:tcPr>
            <w:tcW w:w="8125" w:type="dxa"/>
            <w:shd w:val="clear" w:color="auto" w:fill="auto"/>
            <w:noWrap/>
            <w:vAlign w:val="center"/>
            <w:hideMark/>
          </w:tcPr>
          <w:p w14:paraId="46C49800" w14:textId="77777777" w:rsidR="00550C2E" w:rsidRPr="004C52B8" w:rsidRDefault="00550C2E" w:rsidP="00316D72">
            <w:pPr>
              <w:rPr>
                <w:lang w:eastAsia="de-DE"/>
              </w:rPr>
            </w:pPr>
            <w:r w:rsidRPr="004C52B8">
              <w:rPr>
                <w:lang w:eastAsia="de-DE"/>
              </w:rPr>
              <w:t>“The act of setting back into proper condition” (Webster) The process of closing control or process gaps</w:t>
            </w:r>
            <w:r>
              <w:rPr>
                <w:lang w:eastAsia="de-DE"/>
              </w:rPr>
              <w:t xml:space="preserve"> </w:t>
            </w:r>
            <w:r w:rsidRPr="00197D10">
              <w:rPr>
                <w:i/>
                <w:lang w:eastAsia="de-DE"/>
              </w:rPr>
              <w:t>(</w:t>
            </w:r>
            <w:hyperlink r:id="rId97" w:history="1">
              <w:r>
                <w:rPr>
                  <w:rStyle w:val="Hyperlink"/>
                  <w:i/>
                  <w:lang w:eastAsia="de-DE"/>
                </w:rPr>
                <w:t>L 5.</w:t>
              </w:r>
            </w:hyperlink>
            <w:r>
              <w:rPr>
                <w:i/>
                <w:lang w:eastAsia="de-DE"/>
              </w:rPr>
              <w:t>)</w:t>
            </w:r>
            <w:r w:rsidRPr="004C52B8">
              <w:rPr>
                <w:lang w:eastAsia="de-DE"/>
              </w:rPr>
              <w:t>.</w:t>
            </w:r>
          </w:p>
        </w:tc>
      </w:tr>
      <w:tr w:rsidR="00550C2E" w:rsidRPr="004C52B8" w14:paraId="3604B9B4" w14:textId="77777777" w:rsidTr="00316D72">
        <w:trPr>
          <w:trHeight w:val="310"/>
        </w:trPr>
        <w:tc>
          <w:tcPr>
            <w:tcW w:w="2021" w:type="dxa"/>
            <w:shd w:val="clear" w:color="auto" w:fill="auto"/>
            <w:noWrap/>
            <w:vAlign w:val="center"/>
            <w:hideMark/>
          </w:tcPr>
          <w:p w14:paraId="737618B7" w14:textId="77777777" w:rsidR="00550C2E" w:rsidRPr="00C459B2" w:rsidRDefault="00550C2E" w:rsidP="00316D72">
            <w:pPr>
              <w:rPr>
                <w:b/>
                <w:lang w:val="de-DE" w:eastAsia="de-DE"/>
              </w:rPr>
            </w:pPr>
            <w:r w:rsidRPr="00C459B2">
              <w:rPr>
                <w:b/>
                <w:lang w:eastAsia="de-DE"/>
              </w:rPr>
              <w:t>Remediation Measure</w:t>
            </w:r>
          </w:p>
        </w:tc>
        <w:tc>
          <w:tcPr>
            <w:tcW w:w="8125" w:type="dxa"/>
            <w:shd w:val="clear" w:color="auto" w:fill="auto"/>
            <w:noWrap/>
            <w:vAlign w:val="center"/>
            <w:hideMark/>
          </w:tcPr>
          <w:p w14:paraId="149F1566" w14:textId="77777777" w:rsidR="00550C2E" w:rsidRPr="004C52B8" w:rsidRDefault="00550C2E" w:rsidP="00316D72">
            <w:pPr>
              <w:rPr>
                <w:lang w:eastAsia="de-DE"/>
              </w:rPr>
            </w:pPr>
            <w:r w:rsidRPr="004C52B8">
              <w:rPr>
                <w:lang w:eastAsia="de-DE"/>
              </w:rPr>
              <w:t>Structured set of tasks defined to close (remedy) a compliance violation</w:t>
            </w:r>
            <w:r>
              <w:rPr>
                <w:lang w:eastAsia="de-DE"/>
              </w:rPr>
              <w:t xml:space="preserve"> </w:t>
            </w:r>
            <w:r w:rsidRPr="00197D10">
              <w:rPr>
                <w:i/>
                <w:lang w:eastAsia="de-DE"/>
              </w:rPr>
              <w:t>(</w:t>
            </w:r>
            <w:hyperlink r:id="rId98" w:history="1">
              <w:r>
                <w:rPr>
                  <w:rStyle w:val="Hyperlink"/>
                  <w:i/>
                  <w:lang w:eastAsia="de-DE"/>
                </w:rPr>
                <w:t>L 5.</w:t>
              </w:r>
            </w:hyperlink>
            <w:r>
              <w:rPr>
                <w:i/>
                <w:lang w:eastAsia="de-DE"/>
              </w:rPr>
              <w:t>)</w:t>
            </w:r>
            <w:r w:rsidRPr="004C52B8">
              <w:rPr>
                <w:lang w:eastAsia="de-DE"/>
              </w:rPr>
              <w:t>.</w:t>
            </w:r>
          </w:p>
        </w:tc>
      </w:tr>
      <w:tr w:rsidR="00550C2E" w:rsidRPr="004C52B8" w14:paraId="0E845B93" w14:textId="77777777" w:rsidTr="00316D72">
        <w:trPr>
          <w:trHeight w:val="310"/>
        </w:trPr>
        <w:tc>
          <w:tcPr>
            <w:tcW w:w="2021" w:type="dxa"/>
            <w:shd w:val="clear" w:color="auto" w:fill="auto"/>
            <w:noWrap/>
            <w:vAlign w:val="center"/>
          </w:tcPr>
          <w:p w14:paraId="6E550B73" w14:textId="77777777" w:rsidR="00550C2E" w:rsidRPr="0020617D" w:rsidRDefault="00550C2E" w:rsidP="00316D72">
            <w:pPr>
              <w:rPr>
                <w:b/>
                <w:lang w:eastAsia="de-DE"/>
              </w:rPr>
            </w:pPr>
            <w:r w:rsidRPr="0020617D">
              <w:rPr>
                <w:b/>
                <w:lang w:eastAsia="de-DE"/>
              </w:rPr>
              <w:t>Red Flag</w:t>
            </w:r>
          </w:p>
        </w:tc>
        <w:tc>
          <w:tcPr>
            <w:tcW w:w="8125" w:type="dxa"/>
            <w:shd w:val="clear" w:color="auto" w:fill="auto"/>
            <w:noWrap/>
            <w:vAlign w:val="center"/>
          </w:tcPr>
          <w:p w14:paraId="4FA52B8B" w14:textId="7FD9A5E0" w:rsidR="00550C2E" w:rsidRPr="004C52B8" w:rsidRDefault="00550C2E" w:rsidP="00316D72">
            <w:pPr>
              <w:rPr>
                <w:lang w:eastAsia="de-DE"/>
              </w:rPr>
            </w:pPr>
            <w:r w:rsidRPr="0020617D">
              <w:rPr>
                <w:lang w:eastAsia="de-DE"/>
              </w:rPr>
              <w:t>Warning sign or concern that might trigger further measures, e.g. a Compliance Due Diligence for Resellers (</w:t>
            </w:r>
            <w:hyperlink r:id="rId99" w:history="1">
              <w:r w:rsidRPr="0020617D">
                <w:rPr>
                  <w:rStyle w:val="Hyperlink"/>
                  <w:rFonts w:cs="Arial"/>
                  <w:szCs w:val="20"/>
                </w:rPr>
                <w:t xml:space="preserve">A </w:t>
              </w:r>
              <w:r w:rsidR="009E6F12">
                <w:rPr>
                  <w:rStyle w:val="Hyperlink"/>
                  <w:rFonts w:cs="Arial"/>
                  <w:szCs w:val="20"/>
                </w:rPr>
                <w:t>4.A.1.3.1.</w:t>
              </w:r>
            </w:hyperlink>
            <w:r w:rsidRPr="0020617D">
              <w:rPr>
                <w:lang w:eastAsia="de-DE"/>
              </w:rPr>
              <w:t xml:space="preserve">) or an AML </w:t>
            </w:r>
            <w:r>
              <w:rPr>
                <w:lang w:eastAsia="de-DE"/>
              </w:rPr>
              <w:t xml:space="preserve">Due Diligence </w:t>
            </w:r>
            <w:r w:rsidRPr="0020617D">
              <w:rPr>
                <w:lang w:eastAsia="de-DE"/>
              </w:rPr>
              <w:t>(</w:t>
            </w:r>
            <w:hyperlink r:id="rId100" w:history="1">
              <w:r w:rsidRPr="00C5207F">
                <w:rPr>
                  <w:rStyle w:val="Hyperlink"/>
                </w:rPr>
                <w:t xml:space="preserve">C </w:t>
              </w:r>
              <w:r w:rsidR="00F81E85">
                <w:rPr>
                  <w:rStyle w:val="Hyperlink"/>
                </w:rPr>
                <w:t>1</w:t>
              </w:r>
              <w:r w:rsidRPr="00C5207F">
                <w:rPr>
                  <w:rStyle w:val="Hyperlink"/>
                </w:rPr>
                <w:t>.</w:t>
              </w:r>
            </w:hyperlink>
            <w:r w:rsidRPr="0020617D">
              <w:rPr>
                <w:lang w:eastAsia="de-DE"/>
              </w:rPr>
              <w:t>).</w:t>
            </w:r>
          </w:p>
        </w:tc>
      </w:tr>
      <w:tr w:rsidR="00550C2E" w:rsidRPr="004C52B8" w14:paraId="33B374CE" w14:textId="77777777" w:rsidTr="00316D72">
        <w:trPr>
          <w:trHeight w:val="310"/>
        </w:trPr>
        <w:tc>
          <w:tcPr>
            <w:tcW w:w="2021" w:type="dxa"/>
            <w:shd w:val="clear" w:color="auto" w:fill="auto"/>
            <w:noWrap/>
            <w:vAlign w:val="center"/>
            <w:hideMark/>
          </w:tcPr>
          <w:p w14:paraId="06B9D559" w14:textId="77777777" w:rsidR="00550C2E" w:rsidRPr="0020617D" w:rsidRDefault="00550C2E" w:rsidP="00316D72">
            <w:pPr>
              <w:rPr>
                <w:b/>
                <w:lang w:eastAsia="de-DE"/>
              </w:rPr>
            </w:pPr>
            <w:r w:rsidRPr="00C459B2">
              <w:rPr>
                <w:b/>
                <w:lang w:eastAsia="de-DE"/>
              </w:rPr>
              <w:t>Remediation Team</w:t>
            </w:r>
          </w:p>
        </w:tc>
        <w:tc>
          <w:tcPr>
            <w:tcW w:w="8125" w:type="dxa"/>
            <w:shd w:val="clear" w:color="auto" w:fill="auto"/>
            <w:noWrap/>
            <w:vAlign w:val="center"/>
            <w:hideMark/>
          </w:tcPr>
          <w:p w14:paraId="223A5AA0" w14:textId="77777777" w:rsidR="00550C2E" w:rsidRPr="004C52B8" w:rsidRDefault="00550C2E" w:rsidP="00316D72">
            <w:pPr>
              <w:rPr>
                <w:lang w:eastAsia="de-DE"/>
              </w:rPr>
            </w:pPr>
            <w:r w:rsidRPr="004C52B8">
              <w:rPr>
                <w:lang w:eastAsia="de-DE"/>
              </w:rPr>
              <w:t>Project Team consisting of regular team members and additional team members</w:t>
            </w:r>
            <w:r>
              <w:rPr>
                <w:lang w:eastAsia="de-DE"/>
              </w:rPr>
              <w:t xml:space="preserve"> </w:t>
            </w:r>
            <w:r w:rsidRPr="00197D10">
              <w:rPr>
                <w:i/>
                <w:lang w:eastAsia="de-DE"/>
              </w:rPr>
              <w:t>(</w:t>
            </w:r>
            <w:hyperlink r:id="rId101" w:history="1">
              <w:r>
                <w:rPr>
                  <w:rStyle w:val="Hyperlink"/>
                  <w:i/>
                  <w:lang w:eastAsia="de-DE"/>
                </w:rPr>
                <w:t>L 5.</w:t>
              </w:r>
            </w:hyperlink>
            <w:r>
              <w:rPr>
                <w:i/>
                <w:lang w:eastAsia="de-DE"/>
              </w:rPr>
              <w:t>)</w:t>
            </w:r>
            <w:r w:rsidRPr="004C52B8">
              <w:rPr>
                <w:lang w:eastAsia="de-DE"/>
              </w:rPr>
              <w:t>.</w:t>
            </w:r>
          </w:p>
        </w:tc>
      </w:tr>
      <w:tr w:rsidR="00550C2E" w:rsidRPr="004C52B8" w14:paraId="24A912FE" w14:textId="77777777" w:rsidTr="00316D72">
        <w:trPr>
          <w:trHeight w:val="310"/>
        </w:trPr>
        <w:tc>
          <w:tcPr>
            <w:tcW w:w="2021" w:type="dxa"/>
            <w:shd w:val="clear" w:color="auto" w:fill="auto"/>
            <w:noWrap/>
            <w:vAlign w:val="center"/>
          </w:tcPr>
          <w:p w14:paraId="0694E406" w14:textId="77777777" w:rsidR="00550C2E" w:rsidRPr="00C459B2" w:rsidRDefault="00550C2E" w:rsidP="00316D72">
            <w:pPr>
              <w:rPr>
                <w:b/>
                <w:lang w:eastAsia="de-DE"/>
              </w:rPr>
            </w:pPr>
            <w:r>
              <w:rPr>
                <w:b/>
                <w:lang w:eastAsia="de-DE"/>
              </w:rPr>
              <w:lastRenderedPageBreak/>
              <w:t>Reseller</w:t>
            </w:r>
          </w:p>
        </w:tc>
        <w:tc>
          <w:tcPr>
            <w:tcW w:w="8125" w:type="dxa"/>
            <w:shd w:val="clear" w:color="auto" w:fill="auto"/>
            <w:noWrap/>
            <w:vAlign w:val="center"/>
          </w:tcPr>
          <w:p w14:paraId="18FC5DD9" w14:textId="3FFB5CCD" w:rsidR="00550C2E" w:rsidRPr="00197D10" w:rsidRDefault="00550C2E" w:rsidP="00316D72">
            <w:pPr>
              <w:rPr>
                <w:lang w:eastAsia="de-DE"/>
              </w:rPr>
            </w:pPr>
            <w:r>
              <w:rPr>
                <w:lang w:eastAsia="de-DE"/>
              </w:rPr>
              <w:t>See</w:t>
            </w:r>
            <w:hyperlink r:id="rId102" w:history="1">
              <w:r w:rsidRPr="009E66F8">
                <w:rPr>
                  <w:rStyle w:val="Hyperlink"/>
                  <w:lang w:eastAsia="de-DE"/>
                </w:rPr>
                <w:t xml:space="preserve"> </w:t>
              </w:r>
              <w:r w:rsidR="009E66F8" w:rsidRPr="009E66F8">
                <w:rPr>
                  <w:rStyle w:val="Hyperlink"/>
                  <w:lang w:eastAsia="de-DE"/>
                </w:rPr>
                <w:t>A. 4.A.1.3.</w:t>
              </w:r>
            </w:hyperlink>
          </w:p>
        </w:tc>
      </w:tr>
      <w:tr w:rsidR="00550C2E" w:rsidRPr="004C52B8" w14:paraId="68F6E9FE" w14:textId="77777777" w:rsidTr="00316D72">
        <w:trPr>
          <w:trHeight w:val="310"/>
        </w:trPr>
        <w:tc>
          <w:tcPr>
            <w:tcW w:w="2021" w:type="dxa"/>
            <w:shd w:val="clear" w:color="auto" w:fill="auto"/>
            <w:noWrap/>
            <w:vAlign w:val="center"/>
            <w:hideMark/>
          </w:tcPr>
          <w:p w14:paraId="054A66DB" w14:textId="77777777" w:rsidR="00550C2E" w:rsidRPr="00C459B2" w:rsidRDefault="00550C2E" w:rsidP="00316D72">
            <w:pPr>
              <w:rPr>
                <w:b/>
                <w:lang w:val="de-DE" w:eastAsia="de-DE"/>
              </w:rPr>
            </w:pPr>
            <w:r w:rsidRPr="00C459B2">
              <w:rPr>
                <w:b/>
                <w:lang w:eastAsia="de-DE"/>
              </w:rPr>
              <w:t xml:space="preserve">RIC </w:t>
            </w:r>
          </w:p>
        </w:tc>
        <w:tc>
          <w:tcPr>
            <w:tcW w:w="8125" w:type="dxa"/>
            <w:shd w:val="clear" w:color="auto" w:fill="auto"/>
            <w:noWrap/>
            <w:vAlign w:val="center"/>
            <w:hideMark/>
          </w:tcPr>
          <w:p w14:paraId="1258851A" w14:textId="77777777" w:rsidR="00550C2E" w:rsidRPr="00CA0FE7" w:rsidRDefault="00550C2E" w:rsidP="00316D72">
            <w:pPr>
              <w:rPr>
                <w:lang w:eastAsia="de-DE"/>
              </w:rPr>
            </w:pPr>
            <w:r w:rsidRPr="00197D10">
              <w:rPr>
                <w:lang w:eastAsia="de-DE"/>
              </w:rPr>
              <w:t xml:space="preserve">Risk and Internal Controls </w:t>
            </w:r>
            <w:r w:rsidRPr="00197D10">
              <w:rPr>
                <w:i/>
                <w:lang w:eastAsia="de-DE"/>
              </w:rPr>
              <w:t>(</w:t>
            </w:r>
            <w:hyperlink r:id="rId103" w:history="1">
              <w:r>
                <w:rPr>
                  <w:rStyle w:val="Hyperlink"/>
                  <w:i/>
                  <w:lang w:eastAsia="de-DE"/>
                </w:rPr>
                <w:t>K 3.</w:t>
              </w:r>
            </w:hyperlink>
            <w:r>
              <w:rPr>
                <w:i/>
                <w:lang w:eastAsia="de-DE"/>
              </w:rPr>
              <w:t xml:space="preserve"> Compliance Control Program)</w:t>
            </w:r>
          </w:p>
        </w:tc>
      </w:tr>
      <w:tr w:rsidR="00550C2E" w:rsidRPr="004C52B8" w14:paraId="2A907D6A" w14:textId="77777777" w:rsidTr="00316D72">
        <w:trPr>
          <w:trHeight w:val="310"/>
        </w:trPr>
        <w:tc>
          <w:tcPr>
            <w:tcW w:w="2021" w:type="dxa"/>
            <w:shd w:val="clear" w:color="auto" w:fill="auto"/>
            <w:noWrap/>
            <w:vAlign w:val="center"/>
            <w:hideMark/>
          </w:tcPr>
          <w:p w14:paraId="637BB446" w14:textId="77777777" w:rsidR="00550C2E" w:rsidRPr="00C459B2" w:rsidRDefault="00550C2E" w:rsidP="00316D72">
            <w:pPr>
              <w:rPr>
                <w:b/>
                <w:lang w:val="de-DE" w:eastAsia="de-DE"/>
              </w:rPr>
            </w:pPr>
            <w:r w:rsidRPr="00C459B2">
              <w:rPr>
                <w:b/>
                <w:lang w:eastAsia="de-DE"/>
              </w:rPr>
              <w:t>RM</w:t>
            </w:r>
          </w:p>
        </w:tc>
        <w:tc>
          <w:tcPr>
            <w:tcW w:w="8125" w:type="dxa"/>
            <w:shd w:val="clear" w:color="auto" w:fill="auto"/>
            <w:noWrap/>
            <w:vAlign w:val="center"/>
            <w:hideMark/>
          </w:tcPr>
          <w:p w14:paraId="1BBFDD10" w14:textId="77777777" w:rsidR="00550C2E" w:rsidRPr="004C52B8" w:rsidRDefault="00550C2E" w:rsidP="00316D72">
            <w:pPr>
              <w:rPr>
                <w:lang w:val="de-DE" w:eastAsia="de-DE"/>
              </w:rPr>
            </w:pPr>
            <w:proofErr w:type="spellStart"/>
            <w:r w:rsidRPr="004C52B8">
              <w:rPr>
                <w:lang w:val="de-DE" w:eastAsia="de-DE"/>
              </w:rPr>
              <w:t>Remediation</w:t>
            </w:r>
            <w:proofErr w:type="spellEnd"/>
            <w:r w:rsidRPr="004C52B8">
              <w:rPr>
                <w:lang w:val="de-DE" w:eastAsia="de-DE"/>
              </w:rPr>
              <w:t xml:space="preserve"> Manager </w:t>
            </w:r>
            <w:r w:rsidRPr="00197D10">
              <w:rPr>
                <w:i/>
                <w:lang w:eastAsia="de-DE"/>
              </w:rPr>
              <w:t>(</w:t>
            </w:r>
            <w:hyperlink r:id="rId104" w:history="1">
              <w:r>
                <w:rPr>
                  <w:rStyle w:val="Hyperlink"/>
                  <w:i/>
                  <w:lang w:eastAsia="de-DE"/>
                </w:rPr>
                <w:t>L 5.</w:t>
              </w:r>
            </w:hyperlink>
            <w:r>
              <w:rPr>
                <w:i/>
                <w:lang w:eastAsia="de-DE"/>
              </w:rPr>
              <w:t>)</w:t>
            </w:r>
          </w:p>
        </w:tc>
      </w:tr>
      <w:tr w:rsidR="00550C2E" w:rsidRPr="004C52B8" w14:paraId="1CB06073" w14:textId="77777777" w:rsidTr="00316D72">
        <w:trPr>
          <w:trHeight w:val="310"/>
        </w:trPr>
        <w:tc>
          <w:tcPr>
            <w:tcW w:w="2021" w:type="dxa"/>
            <w:shd w:val="clear" w:color="auto" w:fill="auto"/>
            <w:noWrap/>
            <w:vAlign w:val="center"/>
            <w:hideMark/>
          </w:tcPr>
          <w:p w14:paraId="042813BE" w14:textId="77777777" w:rsidR="00550C2E" w:rsidRPr="00C459B2" w:rsidRDefault="00550C2E" w:rsidP="00316D72">
            <w:pPr>
              <w:rPr>
                <w:b/>
                <w:lang w:val="de-DE" w:eastAsia="de-DE"/>
              </w:rPr>
            </w:pPr>
            <w:r w:rsidRPr="00C459B2">
              <w:rPr>
                <w:b/>
                <w:lang w:eastAsia="de-DE"/>
              </w:rPr>
              <w:t>SCM</w:t>
            </w:r>
          </w:p>
        </w:tc>
        <w:tc>
          <w:tcPr>
            <w:tcW w:w="8125" w:type="dxa"/>
            <w:shd w:val="clear" w:color="auto" w:fill="auto"/>
            <w:noWrap/>
            <w:vAlign w:val="center"/>
            <w:hideMark/>
          </w:tcPr>
          <w:p w14:paraId="108A1766" w14:textId="77777777" w:rsidR="00550C2E" w:rsidRPr="004C52B8" w:rsidRDefault="00550C2E" w:rsidP="00316D72">
            <w:pPr>
              <w:rPr>
                <w:lang w:val="de-DE" w:eastAsia="de-DE"/>
              </w:rPr>
            </w:pPr>
            <w:r w:rsidRPr="004C52B8">
              <w:rPr>
                <w:lang w:val="de-DE" w:eastAsia="de-DE"/>
              </w:rPr>
              <w:t>Supply Chain Management</w:t>
            </w:r>
          </w:p>
        </w:tc>
      </w:tr>
      <w:tr w:rsidR="00550C2E" w:rsidRPr="004C52B8" w14:paraId="37927963" w14:textId="77777777" w:rsidTr="00316D72">
        <w:trPr>
          <w:trHeight w:val="310"/>
        </w:trPr>
        <w:tc>
          <w:tcPr>
            <w:tcW w:w="2021" w:type="dxa"/>
            <w:shd w:val="clear" w:color="auto" w:fill="auto"/>
            <w:noWrap/>
            <w:vAlign w:val="center"/>
          </w:tcPr>
          <w:p w14:paraId="3570DEB0" w14:textId="77777777" w:rsidR="00550C2E" w:rsidRPr="000B5142" w:rsidRDefault="00550C2E" w:rsidP="00316D72">
            <w:pPr>
              <w:rPr>
                <w:b/>
                <w:lang w:eastAsia="de-DE"/>
              </w:rPr>
            </w:pPr>
            <w:r w:rsidRPr="000B5142">
              <w:rPr>
                <w:b/>
                <w:lang w:eastAsia="de-DE"/>
              </w:rPr>
              <w:t>Sales Agent</w:t>
            </w:r>
          </w:p>
        </w:tc>
        <w:tc>
          <w:tcPr>
            <w:tcW w:w="8125" w:type="dxa"/>
            <w:shd w:val="clear" w:color="auto" w:fill="auto"/>
            <w:noWrap/>
            <w:vAlign w:val="center"/>
          </w:tcPr>
          <w:p w14:paraId="461BE7A5" w14:textId="29240C8D" w:rsidR="00550C2E" w:rsidRPr="000B5142" w:rsidRDefault="00550C2E" w:rsidP="00316D72">
            <w:pPr>
              <w:rPr>
                <w:lang w:eastAsia="de-DE"/>
              </w:rPr>
            </w:pPr>
            <w:r>
              <w:rPr>
                <w:lang w:eastAsia="de-DE"/>
              </w:rPr>
              <w:t xml:space="preserve">Example of a Sales related Intermediary, see </w:t>
            </w:r>
            <w:hyperlink r:id="rId105" w:history="1">
              <w:r w:rsidR="009E66F8" w:rsidRPr="009E66F8">
                <w:rPr>
                  <w:rStyle w:val="Hyperlink"/>
                  <w:lang w:eastAsia="de-DE"/>
                </w:rPr>
                <w:t>A 4.A.1.1.</w:t>
              </w:r>
            </w:hyperlink>
          </w:p>
        </w:tc>
      </w:tr>
      <w:tr w:rsidR="00550C2E" w:rsidRPr="004C52B8" w14:paraId="507766E8" w14:textId="77777777" w:rsidTr="00316D72">
        <w:trPr>
          <w:trHeight w:val="310"/>
        </w:trPr>
        <w:tc>
          <w:tcPr>
            <w:tcW w:w="2021" w:type="dxa"/>
            <w:shd w:val="clear" w:color="auto" w:fill="auto"/>
            <w:noWrap/>
            <w:vAlign w:val="center"/>
          </w:tcPr>
          <w:p w14:paraId="094799A5" w14:textId="77777777" w:rsidR="00550C2E" w:rsidRPr="000B5142" w:rsidRDefault="00550C2E" w:rsidP="00316D72">
            <w:pPr>
              <w:rPr>
                <w:b/>
                <w:lang w:eastAsia="de-DE"/>
              </w:rPr>
            </w:pPr>
            <w:r w:rsidRPr="000B5142">
              <w:rPr>
                <w:b/>
                <w:lang w:eastAsia="de-DE"/>
              </w:rPr>
              <w:t>Sales related Business Consultant</w:t>
            </w:r>
          </w:p>
        </w:tc>
        <w:tc>
          <w:tcPr>
            <w:tcW w:w="8125" w:type="dxa"/>
            <w:shd w:val="clear" w:color="auto" w:fill="auto"/>
            <w:noWrap/>
            <w:vAlign w:val="center"/>
          </w:tcPr>
          <w:p w14:paraId="1ADDF7C8" w14:textId="67023C29" w:rsidR="00550C2E" w:rsidRPr="000B5142" w:rsidRDefault="00550C2E" w:rsidP="00316D72">
            <w:pPr>
              <w:rPr>
                <w:lang w:eastAsia="de-DE"/>
              </w:rPr>
            </w:pPr>
            <w:r>
              <w:rPr>
                <w:lang w:eastAsia="de-DE"/>
              </w:rPr>
              <w:t xml:space="preserve">Example of a Sales related Intermediary, see </w:t>
            </w:r>
            <w:hyperlink r:id="rId106" w:history="1">
              <w:r w:rsidR="00425A3B" w:rsidRPr="009E66F8">
                <w:rPr>
                  <w:rStyle w:val="Hyperlink"/>
                  <w:lang w:eastAsia="de-DE"/>
                </w:rPr>
                <w:t>A 4.A.1.1.</w:t>
              </w:r>
            </w:hyperlink>
          </w:p>
        </w:tc>
      </w:tr>
      <w:tr w:rsidR="00550C2E" w:rsidRPr="004C52B8" w14:paraId="4035DEA8" w14:textId="77777777" w:rsidTr="00316D72">
        <w:trPr>
          <w:trHeight w:val="310"/>
        </w:trPr>
        <w:tc>
          <w:tcPr>
            <w:tcW w:w="2021" w:type="dxa"/>
            <w:shd w:val="clear" w:color="auto" w:fill="auto"/>
            <w:noWrap/>
            <w:vAlign w:val="center"/>
          </w:tcPr>
          <w:p w14:paraId="0FB3B56A" w14:textId="77777777" w:rsidR="00550C2E" w:rsidRPr="00AD201C" w:rsidRDefault="00550C2E" w:rsidP="00316D72">
            <w:pPr>
              <w:rPr>
                <w:lang w:eastAsia="de-DE"/>
              </w:rPr>
            </w:pPr>
            <w:r>
              <w:rPr>
                <w:b/>
                <w:lang w:eastAsia="de-DE"/>
              </w:rPr>
              <w:t>Sales related Intermediary</w:t>
            </w:r>
          </w:p>
        </w:tc>
        <w:tc>
          <w:tcPr>
            <w:tcW w:w="8125" w:type="dxa"/>
            <w:shd w:val="clear" w:color="auto" w:fill="auto"/>
            <w:noWrap/>
            <w:vAlign w:val="center"/>
          </w:tcPr>
          <w:p w14:paraId="7C4362E5" w14:textId="5BCAE0E9" w:rsidR="00550C2E" w:rsidRPr="00FE2693" w:rsidRDefault="00550C2E" w:rsidP="00316D72">
            <w:pPr>
              <w:rPr>
                <w:lang w:eastAsia="de-DE"/>
              </w:rPr>
            </w:pPr>
            <w:r w:rsidRPr="00FE2693">
              <w:rPr>
                <w:lang w:eastAsia="de-DE"/>
              </w:rPr>
              <w:t xml:space="preserve">See </w:t>
            </w:r>
            <w:hyperlink r:id="rId107" w:history="1">
              <w:r w:rsidR="009E66F8" w:rsidRPr="009E66F8">
                <w:rPr>
                  <w:rStyle w:val="Hyperlink"/>
                  <w:lang w:eastAsia="de-DE"/>
                </w:rPr>
                <w:t>A 4.A.1.1.</w:t>
              </w:r>
            </w:hyperlink>
          </w:p>
        </w:tc>
      </w:tr>
      <w:tr w:rsidR="00550C2E" w:rsidRPr="00F366E9" w14:paraId="34F9E3FF" w14:textId="77777777" w:rsidTr="00316D72">
        <w:trPr>
          <w:trHeight w:val="310"/>
        </w:trPr>
        <w:tc>
          <w:tcPr>
            <w:tcW w:w="2021" w:type="dxa"/>
            <w:shd w:val="clear" w:color="auto" w:fill="auto"/>
            <w:noWrap/>
            <w:vAlign w:val="center"/>
            <w:hideMark/>
          </w:tcPr>
          <w:p w14:paraId="6DABA96C" w14:textId="77777777" w:rsidR="00550C2E" w:rsidRPr="00C459B2" w:rsidRDefault="00550C2E" w:rsidP="00316D72">
            <w:pPr>
              <w:rPr>
                <w:b/>
                <w:lang w:val="de-DE" w:eastAsia="de-DE"/>
              </w:rPr>
            </w:pPr>
            <w:r w:rsidRPr="00C459B2">
              <w:rPr>
                <w:b/>
                <w:lang w:val="es-ES" w:eastAsia="de-DE"/>
              </w:rPr>
              <w:t>SC 226</w:t>
            </w:r>
          </w:p>
        </w:tc>
        <w:tc>
          <w:tcPr>
            <w:tcW w:w="8125" w:type="dxa"/>
            <w:shd w:val="clear" w:color="auto" w:fill="auto"/>
            <w:noWrap/>
            <w:vAlign w:val="center"/>
            <w:hideMark/>
          </w:tcPr>
          <w:p w14:paraId="6D8F7EA1" w14:textId="77777777" w:rsidR="00550C2E" w:rsidRPr="004C52B8" w:rsidRDefault="00911327" w:rsidP="00316D72">
            <w:pPr>
              <w:rPr>
                <w:lang w:val="es-ES" w:eastAsia="de-DE"/>
              </w:rPr>
            </w:pPr>
            <w:hyperlink r:id="rId108" w:history="1">
              <w:r w:rsidR="00550C2E" w:rsidRPr="003F3788">
                <w:rPr>
                  <w:rStyle w:val="Hyperlink"/>
                  <w:lang w:val="es-ES" w:eastAsia="de-DE"/>
                </w:rPr>
                <w:t>Siemens Circular No. 226 “Global Compliance”</w:t>
              </w:r>
            </w:hyperlink>
          </w:p>
        </w:tc>
      </w:tr>
      <w:tr w:rsidR="00550C2E" w:rsidRPr="004C52B8" w14:paraId="477EA2F0" w14:textId="77777777" w:rsidTr="00316D72">
        <w:trPr>
          <w:trHeight w:val="310"/>
        </w:trPr>
        <w:tc>
          <w:tcPr>
            <w:tcW w:w="2021" w:type="dxa"/>
            <w:shd w:val="clear" w:color="auto" w:fill="auto"/>
            <w:noWrap/>
            <w:vAlign w:val="center"/>
          </w:tcPr>
          <w:p w14:paraId="71AC6AB3" w14:textId="77777777" w:rsidR="00550C2E" w:rsidRPr="00C459B2" w:rsidRDefault="00550C2E" w:rsidP="00316D72">
            <w:pPr>
              <w:rPr>
                <w:b/>
                <w:lang w:eastAsia="de-DE"/>
              </w:rPr>
            </w:pPr>
            <w:r w:rsidRPr="00C459B2">
              <w:rPr>
                <w:b/>
                <w:lang w:eastAsia="de-DE"/>
              </w:rPr>
              <w:t>Shareholder</w:t>
            </w:r>
          </w:p>
        </w:tc>
        <w:tc>
          <w:tcPr>
            <w:tcW w:w="8125" w:type="dxa"/>
            <w:shd w:val="clear" w:color="auto" w:fill="auto"/>
            <w:noWrap/>
            <w:vAlign w:val="center"/>
          </w:tcPr>
          <w:p w14:paraId="7E8656A6" w14:textId="77777777" w:rsidR="00550C2E" w:rsidRPr="00F366E9" w:rsidRDefault="00550C2E" w:rsidP="00316D72">
            <w:r w:rsidRPr="00F366E9">
              <w:t xml:space="preserve">A shareholder is a natural or legal person who has an ownership share in a company. Depending on the legal form of the company in which the shareholder holds an investment, he may be referred to as a shareholder, </w:t>
            </w:r>
            <w:proofErr w:type="gramStart"/>
            <w:r w:rsidRPr="00F366E9">
              <w:t>partner</w:t>
            </w:r>
            <w:proofErr w:type="gramEnd"/>
            <w:r w:rsidRPr="00F366E9">
              <w:t xml:space="preserve"> or co-entrepreneur.</w:t>
            </w:r>
          </w:p>
          <w:p w14:paraId="02B727CD" w14:textId="0F68F61F" w:rsidR="00550C2E" w:rsidRPr="00795C13" w:rsidRDefault="00550C2E" w:rsidP="00316D72">
            <w:r w:rsidRPr="00F366E9">
              <w:rPr>
                <w:i/>
              </w:rPr>
              <w:t xml:space="preserve">Relevant definition inter alia for chapters </w:t>
            </w:r>
            <w:hyperlink r:id="rId109" w:history="1">
              <w:r w:rsidR="00425A3B" w:rsidRPr="00B97E09">
                <w:rPr>
                  <w:rStyle w:val="Hyperlink"/>
                  <w:i/>
                </w:rPr>
                <w:t xml:space="preserve">A </w:t>
              </w:r>
              <w:r w:rsidR="00425A3B">
                <w:rPr>
                  <w:rStyle w:val="Hyperlink"/>
                  <w:i/>
                </w:rPr>
                <w:t>4.C.2.2.3.</w:t>
              </w:r>
            </w:hyperlink>
            <w:r w:rsidR="00425A3B" w:rsidRPr="00F366E9">
              <w:rPr>
                <w:i/>
              </w:rPr>
              <w:t xml:space="preserve"> </w:t>
            </w:r>
            <w:r w:rsidRPr="00F366E9">
              <w:rPr>
                <w:i/>
              </w:rPr>
              <w:t xml:space="preserve">Compliance Due Diligence for Business Partners and </w:t>
            </w:r>
            <w:hyperlink r:id="rId110" w:history="1">
              <w:r w:rsidRPr="00E825EA">
                <w:rPr>
                  <w:rStyle w:val="Hyperlink"/>
                  <w:i/>
                </w:rPr>
                <w:t>C 2</w:t>
              </w:r>
              <w:r w:rsidRPr="00E825EA">
                <w:rPr>
                  <w:rStyle w:val="Hyperlink"/>
                </w:rPr>
                <w:t>.</w:t>
              </w:r>
            </w:hyperlink>
            <w:r w:rsidRPr="009851FE">
              <w:rPr>
                <w:i/>
              </w:rPr>
              <w:t xml:space="preserve"> </w:t>
            </w:r>
            <w:r w:rsidRPr="00E825EA">
              <w:rPr>
                <w:i/>
              </w:rPr>
              <w:t>AM</w:t>
            </w:r>
            <w:r w:rsidRPr="00956D1F">
              <w:rPr>
                <w:i/>
              </w:rPr>
              <w:t>L</w:t>
            </w:r>
            <w:r w:rsidRPr="00E825EA">
              <w:rPr>
                <w:i/>
              </w:rPr>
              <w:t xml:space="preserve"> </w:t>
            </w:r>
            <w:r w:rsidR="00F81E85">
              <w:rPr>
                <w:i/>
              </w:rPr>
              <w:t>DD</w:t>
            </w:r>
            <w:r w:rsidRPr="00F366E9">
              <w:rPr>
                <w:i/>
              </w:rPr>
              <w:t>.</w:t>
            </w:r>
          </w:p>
        </w:tc>
      </w:tr>
      <w:tr w:rsidR="00550C2E" w:rsidRPr="004C52B8" w14:paraId="03019F17" w14:textId="77777777" w:rsidTr="00316D72">
        <w:trPr>
          <w:trHeight w:val="310"/>
        </w:trPr>
        <w:tc>
          <w:tcPr>
            <w:tcW w:w="2021" w:type="dxa"/>
            <w:shd w:val="clear" w:color="auto" w:fill="auto"/>
            <w:noWrap/>
            <w:vAlign w:val="center"/>
          </w:tcPr>
          <w:p w14:paraId="603DA542" w14:textId="77777777" w:rsidR="00550C2E" w:rsidRPr="00C459B2" w:rsidRDefault="00550C2E" w:rsidP="00316D72">
            <w:pPr>
              <w:rPr>
                <w:b/>
                <w:lang w:eastAsia="de-DE"/>
              </w:rPr>
            </w:pPr>
            <w:r w:rsidRPr="003B0906">
              <w:rPr>
                <w:rFonts w:cs="Arial"/>
                <w:b/>
                <w:szCs w:val="20"/>
              </w:rPr>
              <w:t>System Integrator (SI</w:t>
            </w:r>
            <w:r>
              <w:rPr>
                <w:rFonts w:cs="Arial"/>
                <w:b/>
                <w:szCs w:val="20"/>
              </w:rPr>
              <w:t>)</w:t>
            </w:r>
          </w:p>
        </w:tc>
        <w:tc>
          <w:tcPr>
            <w:tcW w:w="8125" w:type="dxa"/>
            <w:shd w:val="clear" w:color="auto" w:fill="auto"/>
            <w:noWrap/>
            <w:vAlign w:val="center"/>
          </w:tcPr>
          <w:p w14:paraId="37F9BE2D" w14:textId="48B6CD4A" w:rsidR="00550C2E" w:rsidRPr="003F3788" w:rsidRDefault="00550C2E" w:rsidP="00316D72">
            <w:pPr>
              <w:spacing w:after="0" w:line="276" w:lineRule="auto"/>
              <w:rPr>
                <w:i/>
                <w:lang w:eastAsia="de-DE"/>
              </w:rPr>
            </w:pPr>
            <w:r>
              <w:rPr>
                <w:rFonts w:cs="Arial"/>
                <w:bCs/>
                <w:szCs w:val="20"/>
              </w:rPr>
              <w:t>Example of</w:t>
            </w:r>
            <w:r w:rsidRPr="0041696F">
              <w:rPr>
                <w:rFonts w:cs="Arial"/>
                <w:bCs/>
                <w:szCs w:val="20"/>
              </w:rPr>
              <w:t xml:space="preserve"> a Value add </w:t>
            </w:r>
            <w:r w:rsidRPr="0041696F">
              <w:rPr>
                <w:rFonts w:cs="Arial"/>
                <w:szCs w:val="20"/>
              </w:rPr>
              <w:t>Reseller</w:t>
            </w:r>
            <w:r>
              <w:rPr>
                <w:rFonts w:cs="Arial"/>
                <w:szCs w:val="20"/>
              </w:rPr>
              <w:t xml:space="preserve">, see </w:t>
            </w:r>
            <w:hyperlink r:id="rId111" w:history="1">
              <w:r w:rsidR="00425A3B" w:rsidRPr="00425A3B">
                <w:rPr>
                  <w:rStyle w:val="Hyperlink"/>
                  <w:rFonts w:cs="Arial"/>
                  <w:szCs w:val="20"/>
                </w:rPr>
                <w:t>A 4.A.1.3.2</w:t>
              </w:r>
            </w:hyperlink>
            <w:r w:rsidR="00425A3B">
              <w:rPr>
                <w:rFonts w:cs="Arial"/>
                <w:szCs w:val="20"/>
              </w:rPr>
              <w:t>.</w:t>
            </w:r>
          </w:p>
        </w:tc>
      </w:tr>
      <w:tr w:rsidR="00550C2E" w:rsidRPr="004C52B8" w14:paraId="71EEABF9" w14:textId="77777777" w:rsidTr="00316D72">
        <w:trPr>
          <w:trHeight w:val="310"/>
        </w:trPr>
        <w:tc>
          <w:tcPr>
            <w:tcW w:w="2021" w:type="dxa"/>
            <w:shd w:val="clear" w:color="auto" w:fill="auto"/>
            <w:noWrap/>
            <w:vAlign w:val="center"/>
            <w:hideMark/>
          </w:tcPr>
          <w:p w14:paraId="7040E78E" w14:textId="77777777" w:rsidR="00550C2E" w:rsidRPr="00C459B2" w:rsidRDefault="00550C2E" w:rsidP="00316D72">
            <w:pPr>
              <w:rPr>
                <w:b/>
                <w:lang w:val="de-DE" w:eastAsia="de-DE"/>
              </w:rPr>
            </w:pPr>
            <w:r w:rsidRPr="00C459B2">
              <w:rPr>
                <w:b/>
                <w:lang w:eastAsia="de-DE"/>
              </w:rPr>
              <w:t>Task Force</w:t>
            </w:r>
          </w:p>
        </w:tc>
        <w:tc>
          <w:tcPr>
            <w:tcW w:w="8125" w:type="dxa"/>
            <w:shd w:val="clear" w:color="auto" w:fill="auto"/>
            <w:noWrap/>
            <w:vAlign w:val="center"/>
            <w:hideMark/>
          </w:tcPr>
          <w:p w14:paraId="05002741" w14:textId="77777777" w:rsidR="00550C2E" w:rsidRPr="004C52B8" w:rsidRDefault="00550C2E" w:rsidP="00316D72">
            <w:pPr>
              <w:rPr>
                <w:lang w:eastAsia="de-DE"/>
              </w:rPr>
            </w:pPr>
            <w:r w:rsidRPr="003F3788">
              <w:rPr>
                <w:i/>
                <w:lang w:eastAsia="de-DE"/>
              </w:rPr>
              <w:t>In the case o</w:t>
            </w:r>
            <w:r>
              <w:rPr>
                <w:i/>
                <w:lang w:eastAsia="de-DE"/>
              </w:rPr>
              <w:t>f</w:t>
            </w:r>
            <w:r w:rsidRPr="003F3788">
              <w:rPr>
                <w:i/>
                <w:lang w:eastAsia="de-DE"/>
              </w:rPr>
              <w:t xml:space="preserve"> Remediation</w:t>
            </w:r>
            <w:r>
              <w:rPr>
                <w:i/>
                <w:lang w:eastAsia="de-DE"/>
              </w:rPr>
              <w:t xml:space="preserve"> </w:t>
            </w:r>
            <w:r w:rsidRPr="00197D10">
              <w:rPr>
                <w:i/>
                <w:lang w:eastAsia="de-DE"/>
              </w:rPr>
              <w:t>(</w:t>
            </w:r>
            <w:hyperlink r:id="rId112" w:history="1">
              <w:r>
                <w:rPr>
                  <w:rStyle w:val="Hyperlink"/>
                  <w:i/>
                  <w:lang w:eastAsia="de-DE"/>
                </w:rPr>
                <w:t>L 5.</w:t>
              </w:r>
            </w:hyperlink>
            <w:r>
              <w:rPr>
                <w:i/>
                <w:lang w:eastAsia="de-DE"/>
              </w:rPr>
              <w:t>)</w:t>
            </w:r>
            <w:r w:rsidRPr="003F3788">
              <w:rPr>
                <w:i/>
                <w:lang w:eastAsia="de-DE"/>
              </w:rPr>
              <w:t>:</w:t>
            </w:r>
            <w:r>
              <w:rPr>
                <w:lang w:eastAsia="de-DE"/>
              </w:rPr>
              <w:t xml:space="preserve"> </w:t>
            </w:r>
            <w:r w:rsidRPr="004C52B8">
              <w:rPr>
                <w:lang w:eastAsia="de-DE"/>
              </w:rPr>
              <w:t xml:space="preserve">Specialist sub-set of the Case Remediation Team, consisting of management representatives from, for instance,  the local organization, the Division or the Division and technical experts. It is formed when confidential or critical measures </w:t>
            </w:r>
            <w:proofErr w:type="gramStart"/>
            <w:r w:rsidRPr="004C52B8">
              <w:rPr>
                <w:lang w:eastAsia="de-DE"/>
              </w:rPr>
              <w:t>have to</w:t>
            </w:r>
            <w:proofErr w:type="gramEnd"/>
            <w:r w:rsidRPr="004C52B8">
              <w:rPr>
                <w:lang w:eastAsia="de-DE"/>
              </w:rPr>
              <w:t xml:space="preserve"> be implemented.</w:t>
            </w:r>
          </w:p>
        </w:tc>
      </w:tr>
      <w:tr w:rsidR="00550C2E" w:rsidRPr="004C52B8" w14:paraId="6FF56AD9" w14:textId="77777777" w:rsidTr="00316D72">
        <w:trPr>
          <w:trHeight w:val="310"/>
        </w:trPr>
        <w:tc>
          <w:tcPr>
            <w:tcW w:w="2021" w:type="dxa"/>
            <w:shd w:val="clear" w:color="auto" w:fill="auto"/>
            <w:noWrap/>
            <w:vAlign w:val="center"/>
            <w:hideMark/>
          </w:tcPr>
          <w:p w14:paraId="6C48549C" w14:textId="77777777" w:rsidR="00550C2E" w:rsidRPr="00C459B2" w:rsidRDefault="00550C2E" w:rsidP="00316D72">
            <w:pPr>
              <w:rPr>
                <w:b/>
                <w:lang w:val="de-DE" w:eastAsia="de-DE"/>
              </w:rPr>
            </w:pPr>
            <w:r w:rsidRPr="00C459B2">
              <w:rPr>
                <w:b/>
                <w:lang w:eastAsia="de-DE"/>
              </w:rPr>
              <w:t>TRACI</w:t>
            </w:r>
          </w:p>
        </w:tc>
        <w:tc>
          <w:tcPr>
            <w:tcW w:w="8125" w:type="dxa"/>
            <w:shd w:val="clear" w:color="auto" w:fill="auto"/>
            <w:noWrap/>
            <w:vAlign w:val="center"/>
            <w:hideMark/>
          </w:tcPr>
          <w:p w14:paraId="2DE2C6E8" w14:textId="77777777" w:rsidR="00550C2E" w:rsidRPr="004C52B8" w:rsidRDefault="00550C2E" w:rsidP="00316D72">
            <w:pPr>
              <w:rPr>
                <w:lang w:eastAsia="de-DE"/>
              </w:rPr>
            </w:pPr>
            <w:r w:rsidRPr="004C52B8">
              <w:rPr>
                <w:lang w:eastAsia="de-DE"/>
              </w:rPr>
              <w:t>Tracking of Compliance Cases Internationally</w:t>
            </w:r>
            <w:r>
              <w:rPr>
                <w:lang w:eastAsia="de-DE"/>
              </w:rPr>
              <w:t xml:space="preserve"> </w:t>
            </w:r>
            <w:r w:rsidRPr="003F3788">
              <w:rPr>
                <w:i/>
                <w:lang w:eastAsia="de-DE"/>
              </w:rPr>
              <w:t>(</w:t>
            </w:r>
            <w:hyperlink r:id="rId113" w:history="1">
              <w:r>
                <w:rPr>
                  <w:rStyle w:val="Hyperlink"/>
                  <w:i/>
                  <w:lang w:eastAsia="de-DE"/>
                </w:rPr>
                <w:t>L 2.3.</w:t>
              </w:r>
            </w:hyperlink>
            <w:r w:rsidRPr="003F3788">
              <w:rPr>
                <w:i/>
                <w:lang w:eastAsia="de-DE"/>
              </w:rPr>
              <w:t>)</w:t>
            </w:r>
          </w:p>
        </w:tc>
      </w:tr>
      <w:tr w:rsidR="00550C2E" w:rsidRPr="004C52B8" w14:paraId="67E407A6" w14:textId="77777777" w:rsidTr="00316D72">
        <w:trPr>
          <w:trHeight w:val="250"/>
        </w:trPr>
        <w:tc>
          <w:tcPr>
            <w:tcW w:w="2021" w:type="dxa"/>
            <w:shd w:val="clear" w:color="auto" w:fill="auto"/>
            <w:noWrap/>
            <w:vAlign w:val="center"/>
            <w:hideMark/>
          </w:tcPr>
          <w:p w14:paraId="35110C5B" w14:textId="77777777" w:rsidR="00550C2E" w:rsidRPr="00C459B2" w:rsidRDefault="00550C2E" w:rsidP="00316D72">
            <w:pPr>
              <w:rPr>
                <w:b/>
                <w:szCs w:val="20"/>
                <w:lang w:eastAsia="de-DE"/>
              </w:rPr>
            </w:pPr>
            <w:r w:rsidRPr="00C459B2">
              <w:rPr>
                <w:b/>
                <w:lang w:eastAsia="de-DE"/>
              </w:rPr>
              <w:t>Ultimate beneficial owner (UBO)</w:t>
            </w:r>
          </w:p>
        </w:tc>
        <w:tc>
          <w:tcPr>
            <w:tcW w:w="8125" w:type="dxa"/>
            <w:shd w:val="clear" w:color="auto" w:fill="auto"/>
            <w:noWrap/>
            <w:vAlign w:val="bottom"/>
            <w:hideMark/>
          </w:tcPr>
          <w:p w14:paraId="6A13CCE8" w14:textId="77777777" w:rsidR="00550C2E" w:rsidRPr="0022777B" w:rsidRDefault="00550C2E" w:rsidP="00316D72">
            <w:r w:rsidRPr="0022777B">
              <w:rPr>
                <w:rFonts w:cs="Arial"/>
                <w:szCs w:val="20"/>
              </w:rPr>
              <w:t xml:space="preserve">An ultimate beneficial owner is any one or more natural person(s) who own or control the Counterpart, or on whose behalf the Counterpart acts. </w:t>
            </w:r>
            <w:r w:rsidRPr="0022777B">
              <w:t xml:space="preserve">A person holding a participation of </w:t>
            </w:r>
            <w:r>
              <w:t xml:space="preserve">more than </w:t>
            </w:r>
            <w:r w:rsidRPr="0022777B">
              <w:t>25% of the company’s shares or having control over an equivalent amount of voting rights (even indirect) is legally defined as an example of an UBO.</w:t>
            </w:r>
          </w:p>
          <w:p w14:paraId="14A8D5EC" w14:textId="77777777" w:rsidR="00550C2E" w:rsidRDefault="00550C2E" w:rsidP="00316D72">
            <w:r w:rsidRPr="0022777B">
              <w:t>Where no Ultimate Beneficial Owner (UBO) exists or where no UBO can be found the</w:t>
            </w:r>
            <w:r w:rsidRPr="004C52B8">
              <w:t xml:space="preserve"> main legal representative of the Counterpart is legally deemed as UBO (“deemed” UBO).</w:t>
            </w:r>
          </w:p>
          <w:p w14:paraId="2C2378F5" w14:textId="27EE7B68" w:rsidR="00550C2E" w:rsidRPr="00795C13" w:rsidRDefault="00550C2E" w:rsidP="00316D72">
            <w:r w:rsidRPr="00F366E9">
              <w:rPr>
                <w:i/>
              </w:rPr>
              <w:t xml:space="preserve">Relevant definition inter alia for chapters </w:t>
            </w:r>
            <w:hyperlink r:id="rId114" w:history="1">
              <w:r w:rsidR="009E6F12" w:rsidRPr="00B97E09">
                <w:rPr>
                  <w:rStyle w:val="Hyperlink"/>
                  <w:i/>
                </w:rPr>
                <w:t xml:space="preserve">A </w:t>
              </w:r>
              <w:r w:rsidR="009E6F12">
                <w:rPr>
                  <w:rStyle w:val="Hyperlink"/>
                  <w:i/>
                </w:rPr>
                <w:t>4.C.2.2.3.</w:t>
              </w:r>
            </w:hyperlink>
            <w:r w:rsidRPr="00F366E9">
              <w:rPr>
                <w:i/>
              </w:rPr>
              <w:t xml:space="preserve"> Compliance Due Diligence for Business Partners and </w:t>
            </w:r>
            <w:hyperlink r:id="rId115" w:history="1">
              <w:r w:rsidRPr="00E825EA">
                <w:rPr>
                  <w:rStyle w:val="Hyperlink"/>
                  <w:i/>
                </w:rPr>
                <w:t>C 2</w:t>
              </w:r>
              <w:r w:rsidRPr="00E825EA">
                <w:rPr>
                  <w:rStyle w:val="Hyperlink"/>
                </w:rPr>
                <w:t>.</w:t>
              </w:r>
            </w:hyperlink>
            <w:r w:rsidRPr="009851FE">
              <w:rPr>
                <w:i/>
              </w:rPr>
              <w:t xml:space="preserve"> </w:t>
            </w:r>
            <w:r w:rsidRPr="00E825EA">
              <w:rPr>
                <w:i/>
              </w:rPr>
              <w:t>AM</w:t>
            </w:r>
            <w:r w:rsidRPr="00956D1F">
              <w:rPr>
                <w:i/>
              </w:rPr>
              <w:t>L</w:t>
            </w:r>
            <w:r w:rsidRPr="00E825EA">
              <w:rPr>
                <w:i/>
              </w:rPr>
              <w:t xml:space="preserve"> </w:t>
            </w:r>
            <w:r w:rsidR="00BC2065">
              <w:rPr>
                <w:i/>
              </w:rPr>
              <w:t>DD</w:t>
            </w:r>
            <w:r w:rsidRPr="009851FE">
              <w:rPr>
                <w:i/>
              </w:rPr>
              <w:t>.</w:t>
            </w:r>
          </w:p>
        </w:tc>
      </w:tr>
      <w:tr w:rsidR="00550C2E" w:rsidRPr="004C52B8" w14:paraId="3283FDFF" w14:textId="77777777" w:rsidTr="00316D72">
        <w:trPr>
          <w:trHeight w:val="250"/>
        </w:trPr>
        <w:tc>
          <w:tcPr>
            <w:tcW w:w="2021" w:type="dxa"/>
            <w:shd w:val="clear" w:color="auto" w:fill="auto"/>
            <w:noWrap/>
            <w:vAlign w:val="center"/>
          </w:tcPr>
          <w:p w14:paraId="3206516F" w14:textId="77777777" w:rsidR="00550C2E" w:rsidRPr="00C459B2" w:rsidRDefault="00550C2E" w:rsidP="00316D72">
            <w:pPr>
              <w:rPr>
                <w:b/>
                <w:lang w:eastAsia="de-DE"/>
              </w:rPr>
            </w:pPr>
            <w:r w:rsidRPr="00AD201C">
              <w:rPr>
                <w:b/>
                <w:lang w:eastAsia="de-DE"/>
              </w:rPr>
              <w:t>Value-add Reseller</w:t>
            </w:r>
          </w:p>
        </w:tc>
        <w:tc>
          <w:tcPr>
            <w:tcW w:w="8125" w:type="dxa"/>
            <w:shd w:val="clear" w:color="auto" w:fill="auto"/>
            <w:noWrap/>
            <w:vAlign w:val="bottom"/>
          </w:tcPr>
          <w:p w14:paraId="376ED8E8" w14:textId="0301115D" w:rsidR="00550C2E" w:rsidRPr="004C52B8" w:rsidRDefault="00550C2E" w:rsidP="00316D72">
            <w:pPr>
              <w:rPr>
                <w:rFonts w:cs="Arial"/>
                <w:szCs w:val="20"/>
              </w:rPr>
            </w:pPr>
            <w:r>
              <w:rPr>
                <w:rFonts w:cs="Arial"/>
                <w:szCs w:val="20"/>
              </w:rPr>
              <w:t xml:space="preserve">See </w:t>
            </w:r>
            <w:hyperlink r:id="rId116" w:history="1">
              <w:r w:rsidR="00425A3B" w:rsidRPr="00425A3B">
                <w:rPr>
                  <w:rStyle w:val="Hyperlink"/>
                  <w:rFonts w:cs="Arial"/>
                  <w:szCs w:val="20"/>
                </w:rPr>
                <w:t>A 4.A.1.3.2</w:t>
              </w:r>
            </w:hyperlink>
            <w:r w:rsidR="00425A3B">
              <w:rPr>
                <w:rFonts w:cs="Arial"/>
                <w:szCs w:val="20"/>
              </w:rPr>
              <w:t>.</w:t>
            </w:r>
          </w:p>
        </w:tc>
      </w:tr>
    </w:tbl>
    <w:p w14:paraId="3B894825" w14:textId="67CE74BD" w:rsidR="004439DB" w:rsidRPr="004E5844" w:rsidRDefault="00550C2E" w:rsidP="004E5844">
      <w:pPr>
        <w:pStyle w:val="berschrift1"/>
        <w:spacing w:before="360" w:after="120"/>
        <w:rPr>
          <w:sz w:val="52"/>
        </w:rPr>
      </w:pPr>
      <w:r>
        <w:rPr>
          <w:sz w:val="52"/>
        </w:rPr>
        <w:lastRenderedPageBreak/>
        <w:t xml:space="preserve">3. </w:t>
      </w:r>
      <w:r w:rsidR="004439DB" w:rsidRPr="004E5844">
        <w:rPr>
          <w:sz w:val="52"/>
        </w:rPr>
        <w:t>Change history and process</w:t>
      </w:r>
    </w:p>
    <w:p w14:paraId="45D06C20" w14:textId="77777777" w:rsidR="00AC193D" w:rsidRDefault="004439DB" w:rsidP="00FE2693">
      <w:pPr>
        <w:pStyle w:val="Textkrper"/>
      </w:pPr>
      <w:r>
        <w:t xml:space="preserve">In the following chapters you will find an editorial history of changes that shows an overview of all chapters of the Compliance </w:t>
      </w:r>
      <w:proofErr w:type="gramStart"/>
      <w:r>
        <w:t>Web-Book</w:t>
      </w:r>
      <w:proofErr w:type="gramEnd"/>
      <w:r>
        <w:t xml:space="preserve"> that have been subject to significant changes. A detailed history of changes will be available in each chapter. </w:t>
      </w:r>
    </w:p>
    <w:p w14:paraId="52EDA955" w14:textId="77777777" w:rsidR="00AC193D" w:rsidRDefault="004439DB" w:rsidP="00FE2693">
      <w:pPr>
        <w:pStyle w:val="Textkrper"/>
      </w:pPr>
      <w:r>
        <w:t xml:space="preserve">Chapter two contains overall information on the change process for all authors and spelling and notation remarks and the mandatory template for new Compliance Web-Book chapters. </w:t>
      </w:r>
    </w:p>
    <w:p w14:paraId="6593F606" w14:textId="0F31A67A" w:rsidR="004439DB" w:rsidRPr="004E5844" w:rsidRDefault="00550C2E" w:rsidP="003F3788">
      <w:pPr>
        <w:pStyle w:val="berschrift2"/>
        <w:numPr>
          <w:ilvl w:val="0"/>
          <w:numId w:val="0"/>
        </w:numPr>
        <w:spacing w:after="120"/>
        <w:ind w:left="360" w:hanging="360"/>
        <w:rPr>
          <w:sz w:val="52"/>
        </w:rPr>
      </w:pPr>
      <w:r>
        <w:rPr>
          <w:sz w:val="52"/>
        </w:rPr>
        <w:t>3</w:t>
      </w:r>
      <w:r w:rsidR="004439DB" w:rsidRPr="004E5844">
        <w:rPr>
          <w:sz w:val="52"/>
        </w:rPr>
        <w:t>.1. History of changes</w:t>
      </w:r>
    </w:p>
    <w:p w14:paraId="06A05A94" w14:textId="77777777" w:rsidR="004439DB" w:rsidRDefault="004439DB" w:rsidP="004E5844">
      <w:pPr>
        <w:pStyle w:val="KeinAbsatzformat"/>
        <w:rPr>
          <w:lang w:val="en-US"/>
        </w:rPr>
      </w:pPr>
    </w:p>
    <w:tbl>
      <w:tblPr>
        <w:tblStyle w:val="Tabellenraste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3232"/>
        <w:gridCol w:w="5179"/>
      </w:tblGrid>
      <w:tr w:rsidR="004439DB" w14:paraId="7344D4C4" w14:textId="77777777" w:rsidTr="000A29C8">
        <w:tc>
          <w:tcPr>
            <w:tcW w:w="2128" w:type="dxa"/>
            <w:shd w:val="clear" w:color="auto" w:fill="879BAA" w:themeFill="text2"/>
          </w:tcPr>
          <w:p w14:paraId="50BFA260" w14:textId="77777777" w:rsidR="004439DB" w:rsidRDefault="004439DB" w:rsidP="004E5844">
            <w:pPr>
              <w:rPr>
                <w:b/>
                <w:color w:val="auto"/>
              </w:rPr>
            </w:pPr>
            <w:r>
              <w:rPr>
                <w:b/>
                <w:color w:val="auto"/>
              </w:rPr>
              <w:t xml:space="preserve">Date </w:t>
            </w:r>
          </w:p>
        </w:tc>
        <w:tc>
          <w:tcPr>
            <w:tcW w:w="3232" w:type="dxa"/>
            <w:shd w:val="clear" w:color="auto" w:fill="879BAA" w:themeFill="text2"/>
          </w:tcPr>
          <w:p w14:paraId="62C52912" w14:textId="77777777" w:rsidR="004439DB" w:rsidRDefault="004439DB" w:rsidP="004E5844">
            <w:pPr>
              <w:rPr>
                <w:b/>
                <w:color w:val="auto"/>
              </w:rPr>
            </w:pPr>
            <w:r>
              <w:rPr>
                <w:b/>
                <w:color w:val="auto"/>
              </w:rPr>
              <w:t>Chapter</w:t>
            </w:r>
          </w:p>
        </w:tc>
        <w:tc>
          <w:tcPr>
            <w:tcW w:w="5179" w:type="dxa"/>
            <w:shd w:val="clear" w:color="auto" w:fill="879BAA" w:themeFill="text2"/>
          </w:tcPr>
          <w:p w14:paraId="40C57C78" w14:textId="77777777" w:rsidR="004439DB" w:rsidRDefault="004439DB" w:rsidP="004E5844">
            <w:pPr>
              <w:rPr>
                <w:b/>
                <w:color w:val="auto"/>
              </w:rPr>
            </w:pPr>
            <w:r>
              <w:rPr>
                <w:b/>
                <w:color w:val="auto"/>
              </w:rPr>
              <w:t>Major changes of binding content</w:t>
            </w:r>
          </w:p>
        </w:tc>
      </w:tr>
      <w:tr w:rsidR="004439DB" w14:paraId="4DBC3FD9" w14:textId="77777777" w:rsidTr="000A29C8">
        <w:tc>
          <w:tcPr>
            <w:tcW w:w="2128" w:type="dxa"/>
          </w:tcPr>
          <w:p w14:paraId="32A366DA" w14:textId="5FBFC2C9" w:rsidR="004439DB" w:rsidRDefault="00B017DF" w:rsidP="004E5844">
            <w:r>
              <w:rPr>
                <w:rFonts w:eastAsia="Times New Roman"/>
              </w:rPr>
              <w:t>January 1, 2019                </w:t>
            </w:r>
          </w:p>
        </w:tc>
        <w:tc>
          <w:tcPr>
            <w:tcW w:w="3232" w:type="dxa"/>
          </w:tcPr>
          <w:p w14:paraId="41AD9894" w14:textId="776B8A3E" w:rsidR="004439DB" w:rsidRPr="000632F3" w:rsidRDefault="00911327" w:rsidP="007F7AD3">
            <w:pPr>
              <w:rPr>
                <w:lang w:val="fr-FR"/>
              </w:rPr>
            </w:pPr>
            <w:hyperlink r:id="rId117" w:history="1">
              <w:r w:rsidR="00194B7F" w:rsidRPr="00F74B11">
                <w:rPr>
                  <w:rStyle w:val="Hyperlink"/>
                  <w:lang w:val="fr-FR"/>
                </w:rPr>
                <w:t xml:space="preserve">Part 2, </w:t>
              </w:r>
              <w:r w:rsidR="004C52B8" w:rsidRPr="00194B7F">
                <w:rPr>
                  <w:rStyle w:val="Hyperlink"/>
                  <w:lang w:val="fr-FR"/>
                </w:rPr>
                <w:t>I.</w:t>
              </w:r>
              <w:r w:rsidR="004C52B8">
                <w:rPr>
                  <w:rStyle w:val="Hyperlink"/>
                  <w:lang w:val="fr-FR"/>
                </w:rPr>
                <w:t xml:space="preserve"> Mergers and </w:t>
              </w:r>
              <w:proofErr w:type="gramStart"/>
              <w:r w:rsidR="004C52B8">
                <w:rPr>
                  <w:rStyle w:val="Hyperlink"/>
                  <w:lang w:val="fr-FR"/>
                </w:rPr>
                <w:t>Acquisitions;</w:t>
              </w:r>
              <w:proofErr w:type="gramEnd"/>
              <w:r w:rsidR="004C52B8">
                <w:rPr>
                  <w:rStyle w:val="Hyperlink"/>
                  <w:lang w:val="fr-FR"/>
                </w:rPr>
                <w:t xml:space="preserve"> Permanent Establishments</w:t>
              </w:r>
            </w:hyperlink>
          </w:p>
        </w:tc>
        <w:tc>
          <w:tcPr>
            <w:tcW w:w="5179" w:type="dxa"/>
          </w:tcPr>
          <w:p w14:paraId="2087862A" w14:textId="0EDF8B8A" w:rsidR="00B017DF" w:rsidRDefault="00B017DF" w:rsidP="00B017DF">
            <w:r w:rsidRPr="00F009D1">
              <w:t>First release through the Compliance Handbook.</w:t>
            </w:r>
            <w:r>
              <w:t xml:space="preserve"> </w:t>
            </w:r>
          </w:p>
          <w:p w14:paraId="3BC3485F" w14:textId="56B0CC32" w:rsidR="004439DB" w:rsidRDefault="00B017DF" w:rsidP="00B017DF">
            <w:r>
              <w:t xml:space="preserve">Changes to former “Guidance for Compliance Officers in implementing the Compliance System in Permanent Establishments” (version 1.0) are: </w:t>
            </w:r>
            <w:r w:rsidRPr="00F009D1">
              <w:t>Process simplification, abolition of “ISA-I for PE</w:t>
            </w:r>
            <w:r w:rsidR="00AC193D">
              <w:t>’</w:t>
            </w:r>
            <w:r w:rsidRPr="00F009D1">
              <w:t>s” and Compliance Service Applicability Evaluation (SAE) and introduction of a Compliance Questionnaire</w:t>
            </w:r>
            <w:r>
              <w:t>.</w:t>
            </w:r>
          </w:p>
        </w:tc>
      </w:tr>
      <w:tr w:rsidR="00BC672D" w:rsidRPr="00C53525" w14:paraId="775F0F2A" w14:textId="77777777" w:rsidTr="000A29C8">
        <w:tc>
          <w:tcPr>
            <w:tcW w:w="2128" w:type="dxa"/>
            <w:tcBorders>
              <w:top w:val="single" w:sz="4" w:space="0" w:color="auto"/>
              <w:left w:val="single" w:sz="4" w:space="0" w:color="auto"/>
              <w:bottom w:val="single" w:sz="4" w:space="0" w:color="auto"/>
              <w:right w:val="single" w:sz="4" w:space="0" w:color="auto"/>
            </w:tcBorders>
          </w:tcPr>
          <w:p w14:paraId="6474FAB4" w14:textId="368A4CA6" w:rsidR="00BC672D" w:rsidRDefault="00BC672D">
            <w:r>
              <w:t>April 1, 2019</w:t>
            </w:r>
          </w:p>
        </w:tc>
        <w:tc>
          <w:tcPr>
            <w:tcW w:w="3232" w:type="dxa"/>
            <w:tcBorders>
              <w:top w:val="single" w:sz="4" w:space="0" w:color="auto"/>
              <w:left w:val="single" w:sz="4" w:space="0" w:color="auto"/>
              <w:bottom w:val="single" w:sz="4" w:space="0" w:color="auto"/>
              <w:right w:val="single" w:sz="4" w:space="0" w:color="auto"/>
            </w:tcBorders>
          </w:tcPr>
          <w:p w14:paraId="76C2B051" w14:textId="77777777" w:rsidR="00BC672D" w:rsidRDefault="00BC672D"/>
        </w:tc>
        <w:tc>
          <w:tcPr>
            <w:tcW w:w="5179" w:type="dxa"/>
            <w:tcBorders>
              <w:top w:val="single" w:sz="4" w:space="0" w:color="auto"/>
              <w:left w:val="single" w:sz="4" w:space="0" w:color="auto"/>
              <w:bottom w:val="single" w:sz="4" w:space="0" w:color="auto"/>
              <w:right w:val="single" w:sz="4" w:space="0" w:color="auto"/>
            </w:tcBorders>
          </w:tcPr>
          <w:p w14:paraId="25F306F8" w14:textId="2DAA2280" w:rsidR="00BC672D" w:rsidRDefault="00BC672D">
            <w:r>
              <w:t>Adaption to new Company Structure</w:t>
            </w:r>
          </w:p>
        </w:tc>
      </w:tr>
      <w:tr w:rsidR="00C53525" w:rsidRPr="00C53525" w14:paraId="185A94FB" w14:textId="77777777" w:rsidTr="000A29C8">
        <w:tc>
          <w:tcPr>
            <w:tcW w:w="2128" w:type="dxa"/>
            <w:tcBorders>
              <w:top w:val="single" w:sz="4" w:space="0" w:color="auto"/>
              <w:left w:val="single" w:sz="4" w:space="0" w:color="auto"/>
              <w:bottom w:val="single" w:sz="4" w:space="0" w:color="auto"/>
              <w:right w:val="single" w:sz="4" w:space="0" w:color="auto"/>
            </w:tcBorders>
            <w:hideMark/>
          </w:tcPr>
          <w:p w14:paraId="58023347" w14:textId="7E707F8B" w:rsidR="00C53525" w:rsidRDefault="00C53525">
            <w:r>
              <w:t>July 1,2019</w:t>
            </w:r>
          </w:p>
        </w:tc>
        <w:tc>
          <w:tcPr>
            <w:tcW w:w="3232" w:type="dxa"/>
            <w:tcBorders>
              <w:top w:val="single" w:sz="4" w:space="0" w:color="auto"/>
              <w:left w:val="single" w:sz="4" w:space="0" w:color="auto"/>
              <w:bottom w:val="single" w:sz="4" w:space="0" w:color="auto"/>
              <w:right w:val="single" w:sz="4" w:space="0" w:color="auto"/>
            </w:tcBorders>
            <w:hideMark/>
          </w:tcPr>
          <w:p w14:paraId="34D91552" w14:textId="570A86C3" w:rsidR="00C53525" w:rsidRDefault="00911327">
            <w:hyperlink r:id="rId118" w:history="1">
              <w:r w:rsidR="00194B7F" w:rsidRPr="00194B7F">
                <w:rPr>
                  <w:rStyle w:val="Hyperlink"/>
                </w:rPr>
                <w:t xml:space="preserve">Part 1, </w:t>
              </w:r>
              <w:r w:rsidR="00C53525" w:rsidRPr="00194B7F">
                <w:rPr>
                  <w:rStyle w:val="Hyperlink"/>
                </w:rPr>
                <w:t>A.</w:t>
              </w:r>
              <w:r w:rsidR="00C53525" w:rsidRPr="00C53525">
                <w:rPr>
                  <w:rStyle w:val="Hyperlink"/>
                </w:rPr>
                <w:t xml:space="preserve"> 3</w:t>
              </w:r>
              <w:r w:rsidR="00BC672D">
                <w:rPr>
                  <w:rStyle w:val="Hyperlink"/>
                </w:rPr>
                <w:t>.3.</w:t>
              </w:r>
              <w:r w:rsidR="00C53525" w:rsidRPr="00C53525">
                <w:rPr>
                  <w:rStyle w:val="Hyperlink"/>
                </w:rPr>
                <w:t xml:space="preserve">, Cooperation with </w:t>
              </w:r>
              <w:proofErr w:type="spellStart"/>
              <w:r w:rsidR="00C53525" w:rsidRPr="00C53525">
                <w:rPr>
                  <w:rStyle w:val="Hyperlink"/>
                </w:rPr>
                <w:t>Businesss</w:t>
              </w:r>
              <w:proofErr w:type="spellEnd"/>
              <w:r w:rsidR="00C53525" w:rsidRPr="00C53525">
                <w:rPr>
                  <w:rStyle w:val="Hyperlink"/>
                </w:rPr>
                <w:t xml:space="preserve"> Partners</w:t>
              </w:r>
              <w:r w:rsidR="00BC672D" w:rsidRPr="00194B7F">
                <w:rPr>
                  <w:rStyle w:val="Hyperlink"/>
                </w:rPr>
                <w:t>- CDD</w:t>
              </w:r>
            </w:hyperlink>
          </w:p>
        </w:tc>
        <w:tc>
          <w:tcPr>
            <w:tcW w:w="5179" w:type="dxa"/>
            <w:tcBorders>
              <w:top w:val="single" w:sz="4" w:space="0" w:color="auto"/>
              <w:left w:val="single" w:sz="4" w:space="0" w:color="auto"/>
              <w:bottom w:val="single" w:sz="4" w:space="0" w:color="auto"/>
              <w:right w:val="single" w:sz="4" w:space="0" w:color="auto"/>
            </w:tcBorders>
            <w:hideMark/>
          </w:tcPr>
          <w:p w14:paraId="0713A982" w14:textId="3CD0C9ED" w:rsidR="00C53525" w:rsidRDefault="00C53525">
            <w:r>
              <w:t>Technical user handbook integrated in Chapter 3.3.1_CDD-Tool; general information and 3.3.2_CDD Process</w:t>
            </w:r>
          </w:p>
        </w:tc>
      </w:tr>
      <w:tr w:rsidR="008E2D04" w:rsidRPr="00C53525" w14:paraId="052355F5" w14:textId="77777777" w:rsidTr="00316D72">
        <w:tc>
          <w:tcPr>
            <w:tcW w:w="2128" w:type="dxa"/>
            <w:vMerge w:val="restart"/>
            <w:tcBorders>
              <w:top w:val="single" w:sz="4" w:space="0" w:color="auto"/>
              <w:left w:val="single" w:sz="4" w:space="0" w:color="auto"/>
              <w:right w:val="single" w:sz="4" w:space="0" w:color="auto"/>
            </w:tcBorders>
          </w:tcPr>
          <w:p w14:paraId="607EF669" w14:textId="7F509538" w:rsidR="008E2D04" w:rsidRDefault="008E2D04">
            <w:r>
              <w:t>Jan</w:t>
            </w:r>
            <w:r w:rsidR="00AC193D">
              <w:t>.</w:t>
            </w:r>
            <w:r>
              <w:t xml:space="preserve"> 1, 2020</w:t>
            </w:r>
          </w:p>
        </w:tc>
        <w:tc>
          <w:tcPr>
            <w:tcW w:w="3232" w:type="dxa"/>
            <w:tcBorders>
              <w:top w:val="single" w:sz="4" w:space="0" w:color="auto"/>
              <w:left w:val="single" w:sz="4" w:space="0" w:color="auto"/>
              <w:bottom w:val="single" w:sz="4" w:space="0" w:color="auto"/>
              <w:right w:val="single" w:sz="4" w:space="0" w:color="auto"/>
            </w:tcBorders>
          </w:tcPr>
          <w:p w14:paraId="249667A0" w14:textId="77777777" w:rsidR="008E2D04" w:rsidRPr="00194B7F" w:rsidRDefault="00316D72" w:rsidP="00BC672D">
            <w:pPr>
              <w:rPr>
                <w:rStyle w:val="Hyperlink"/>
              </w:rPr>
            </w:pPr>
            <w:r>
              <w:rPr>
                <w:color w:val="auto"/>
              </w:rPr>
              <w:fldChar w:fldCharType="begin"/>
            </w:r>
            <w:r>
              <w:instrText xml:space="preserve"> HYPERLINK "https://webbooks.siemens.com/public/LC/chen/index.htm?n=Part-1-Activity-Fields,A.-Anti-Corruption,1.-Gifts-and-Hospitality,1.2.-Types-of-Benefits,1.2.5.-Non-economic-benefits" </w:instrText>
            </w:r>
            <w:r>
              <w:rPr>
                <w:color w:val="auto"/>
              </w:rPr>
              <w:fldChar w:fldCharType="separate"/>
            </w:r>
            <w:r w:rsidR="00194B7F" w:rsidRPr="00194B7F">
              <w:rPr>
                <w:rStyle w:val="Hyperlink"/>
              </w:rPr>
              <w:t xml:space="preserve">Part 1, </w:t>
            </w:r>
            <w:r w:rsidR="008E2D04" w:rsidRPr="00BC672D">
              <w:rPr>
                <w:rStyle w:val="Hyperlink"/>
              </w:rPr>
              <w:t>A.1.2.5. Gifts and Hospitality - Non-economic benefits</w:t>
            </w:r>
          </w:p>
          <w:p w14:paraId="62A0732B" w14:textId="60CC491E" w:rsidR="008E2D04" w:rsidRPr="00DB569C" w:rsidRDefault="00316D72" w:rsidP="00DB569C">
            <w:pPr>
              <w:pStyle w:val="KeinAbsatzformat"/>
              <w:rPr>
                <w:lang w:val="en-US"/>
              </w:rPr>
            </w:pPr>
            <w:r>
              <w:rPr>
                <w:rFonts w:ascii="Arial" w:hAnsi="Arial" w:cstheme="minorBidi"/>
                <w:color w:val="006487" w:themeColor="accent3"/>
                <w:sz w:val="20"/>
                <w:szCs w:val="22"/>
                <w:lang w:val="en-US"/>
              </w:rPr>
              <w:lastRenderedPageBreak/>
              <w:fldChar w:fldCharType="end"/>
            </w:r>
          </w:p>
          <w:p w14:paraId="099C5736" w14:textId="77777777" w:rsidR="008E2D04" w:rsidRPr="00194B7F" w:rsidRDefault="00316D72" w:rsidP="00BC672D">
            <w:pPr>
              <w:pStyle w:val="KeinAbsatzformat"/>
              <w:rPr>
                <w:rStyle w:val="Hyperlink"/>
                <w:rFonts w:ascii="Arial" w:hAnsi="Arial" w:cstheme="minorBidi"/>
                <w:sz w:val="20"/>
                <w:szCs w:val="22"/>
                <w:lang w:val="en-US"/>
              </w:rPr>
            </w:pPr>
            <w:r>
              <w:rPr>
                <w:rFonts w:ascii="Arial" w:hAnsi="Arial" w:cs="Arial"/>
                <w:sz w:val="20"/>
                <w:szCs w:val="20"/>
              </w:rPr>
              <w:fldChar w:fldCharType="begin"/>
            </w:r>
            <w:r w:rsidRPr="00316D72">
              <w:rPr>
                <w:lang w:val="en-US"/>
              </w:rPr>
              <w:instrText xml:space="preserve"> HYPERLINK "https://webbooks.siemens.com/public/LC/chen/index.htm?n=Part-1-Activity-Fields,A.-Anti-Corruption,3.-Cooperation-with-Business-Partners,3.3.-Compliance-Due-Diligence-(CDD)" </w:instrText>
            </w:r>
            <w:r>
              <w:rPr>
                <w:rFonts w:ascii="Arial" w:hAnsi="Arial" w:cs="Arial"/>
                <w:sz w:val="20"/>
                <w:szCs w:val="20"/>
              </w:rPr>
              <w:fldChar w:fldCharType="separate"/>
            </w:r>
            <w:r w:rsidR="00194B7F" w:rsidRPr="00194B7F">
              <w:rPr>
                <w:rStyle w:val="Hyperlink"/>
                <w:rFonts w:ascii="Arial" w:hAnsi="Arial" w:cs="Arial"/>
                <w:sz w:val="20"/>
                <w:szCs w:val="20"/>
                <w:lang w:val="en-US"/>
              </w:rPr>
              <w:t>Part 1,</w:t>
            </w:r>
            <w:r w:rsidR="00194B7F" w:rsidRPr="00194B7F">
              <w:rPr>
                <w:rStyle w:val="Hyperlink"/>
                <w:lang w:val="en-US"/>
              </w:rPr>
              <w:t xml:space="preserve"> </w:t>
            </w:r>
            <w:r w:rsidR="008E2D04" w:rsidRPr="00BC672D">
              <w:rPr>
                <w:rStyle w:val="Hyperlink"/>
                <w:rFonts w:ascii="Arial" w:hAnsi="Arial" w:cstheme="minorBidi"/>
                <w:sz w:val="20"/>
                <w:szCs w:val="22"/>
                <w:lang w:val="en-US"/>
              </w:rPr>
              <w:t>A.3.3. Cooperation with Business Partners - CDD</w:t>
            </w:r>
          </w:p>
          <w:p w14:paraId="6F9FB527" w14:textId="20CB70BF" w:rsidR="008E2D04" w:rsidRPr="0076149B" w:rsidRDefault="00316D72" w:rsidP="00BC672D">
            <w:pPr>
              <w:pStyle w:val="KeinAbsatzformat"/>
              <w:rPr>
                <w:rStyle w:val="Hyperlink"/>
                <w:sz w:val="20"/>
                <w:lang w:val="en-US"/>
              </w:rPr>
            </w:pPr>
            <w:r>
              <w:rPr>
                <w:rFonts w:ascii="Arial" w:hAnsi="Arial" w:cs="Arial"/>
                <w:sz w:val="20"/>
                <w:szCs w:val="20"/>
              </w:rPr>
              <w:fldChar w:fldCharType="end"/>
            </w:r>
          </w:p>
          <w:p w14:paraId="01BFF3D6" w14:textId="6AB0361E" w:rsidR="008E2D04" w:rsidRPr="00BC672D" w:rsidRDefault="008E2D04" w:rsidP="00BC672D">
            <w:pPr>
              <w:pStyle w:val="KeinAbsatzformat"/>
              <w:rPr>
                <w:lang w:val="en-US"/>
              </w:rPr>
            </w:pPr>
          </w:p>
        </w:tc>
        <w:tc>
          <w:tcPr>
            <w:tcW w:w="5179" w:type="dxa"/>
            <w:tcBorders>
              <w:top w:val="single" w:sz="4" w:space="0" w:color="auto"/>
              <w:left w:val="single" w:sz="4" w:space="0" w:color="auto"/>
              <w:bottom w:val="single" w:sz="4" w:space="0" w:color="auto"/>
              <w:right w:val="single" w:sz="4" w:space="0" w:color="auto"/>
            </w:tcBorders>
          </w:tcPr>
          <w:p w14:paraId="4D773AEA" w14:textId="406F25A4" w:rsidR="008E2D04" w:rsidRDefault="008E2D04">
            <w:r w:rsidRPr="00BC672D">
              <w:lastRenderedPageBreak/>
              <w:t xml:space="preserve">More detailed instruction regarding „the dealing with </w:t>
            </w:r>
            <w:proofErr w:type="gramStart"/>
            <w:r w:rsidRPr="00BC672D">
              <w:t>principles“</w:t>
            </w:r>
            <w:proofErr w:type="gramEnd"/>
            <w:r w:rsidRPr="00BC672D">
              <w:t>, compliance structure and links update, minor corrections.</w:t>
            </w:r>
          </w:p>
          <w:p w14:paraId="0303E970" w14:textId="77777777" w:rsidR="008E2D04" w:rsidRPr="00DB569C" w:rsidRDefault="008E2D04" w:rsidP="00DB569C">
            <w:pPr>
              <w:pStyle w:val="KeinAbsatzformat"/>
              <w:rPr>
                <w:lang w:val="en-US"/>
              </w:rPr>
            </w:pPr>
          </w:p>
          <w:p w14:paraId="3BFA1C7A" w14:textId="636D3315" w:rsidR="008E2D04" w:rsidRPr="00DB569C" w:rsidRDefault="008E2D04" w:rsidP="00C23CFC">
            <w:r w:rsidRPr="00BC672D">
              <w:t>Update of Chapter 3.3.2.4.7 automatic SETIS Searches and Chapter 3.3.2.4.10 High Risk approvals of CMC member (or designated deputy</w:t>
            </w:r>
            <w:r w:rsidR="002D372E">
              <w:t>)</w:t>
            </w:r>
          </w:p>
        </w:tc>
      </w:tr>
      <w:tr w:rsidR="008E2D04" w:rsidRPr="00C53525" w14:paraId="20CC3E8D" w14:textId="77777777" w:rsidTr="00316D72">
        <w:tc>
          <w:tcPr>
            <w:tcW w:w="2128" w:type="dxa"/>
            <w:vMerge/>
            <w:tcBorders>
              <w:left w:val="single" w:sz="4" w:space="0" w:color="auto"/>
              <w:bottom w:val="single" w:sz="4" w:space="0" w:color="auto"/>
              <w:right w:val="single" w:sz="4" w:space="0" w:color="auto"/>
            </w:tcBorders>
          </w:tcPr>
          <w:p w14:paraId="2009AC74" w14:textId="77777777" w:rsidR="008E2D04" w:rsidRDefault="008E2D04"/>
        </w:tc>
        <w:tc>
          <w:tcPr>
            <w:tcW w:w="3232" w:type="dxa"/>
            <w:tcBorders>
              <w:top w:val="single" w:sz="4" w:space="0" w:color="auto"/>
              <w:left w:val="single" w:sz="4" w:space="0" w:color="auto"/>
              <w:bottom w:val="single" w:sz="4" w:space="0" w:color="auto"/>
              <w:right w:val="single" w:sz="4" w:space="0" w:color="auto"/>
            </w:tcBorders>
          </w:tcPr>
          <w:p w14:paraId="2E29A71F" w14:textId="7FE4C58F" w:rsidR="008E2D04" w:rsidRDefault="00911327" w:rsidP="00BC672D">
            <w:hyperlink r:id="rId119" w:history="1">
              <w:r w:rsidR="00194B7F" w:rsidRPr="00194B7F">
                <w:rPr>
                  <w:rStyle w:val="Hyperlink"/>
                </w:rPr>
                <w:t xml:space="preserve">Part 3, </w:t>
              </w:r>
              <w:r w:rsidR="008E2D04" w:rsidRPr="00194B7F">
                <w:rPr>
                  <w:rStyle w:val="Hyperlink"/>
                </w:rPr>
                <w:t xml:space="preserve">L. </w:t>
              </w:r>
              <w:r w:rsidR="008E2D04" w:rsidRPr="008E2D04">
                <w:rPr>
                  <w:rStyle w:val="Hyperlink"/>
                </w:rPr>
                <w:t xml:space="preserve">6. </w:t>
              </w:r>
              <w:proofErr w:type="spellStart"/>
              <w:r w:rsidR="008E2D04" w:rsidRPr="008E2D04">
                <w:rPr>
                  <w:rStyle w:val="Hyperlink"/>
                </w:rPr>
                <w:t>TreuInfo</w:t>
              </w:r>
              <w:proofErr w:type="spellEnd"/>
            </w:hyperlink>
          </w:p>
        </w:tc>
        <w:tc>
          <w:tcPr>
            <w:tcW w:w="5179" w:type="dxa"/>
            <w:tcBorders>
              <w:top w:val="single" w:sz="4" w:space="0" w:color="auto"/>
              <w:left w:val="single" w:sz="4" w:space="0" w:color="auto"/>
              <w:bottom w:val="single" w:sz="4" w:space="0" w:color="auto"/>
              <w:right w:val="single" w:sz="4" w:space="0" w:color="auto"/>
            </w:tcBorders>
          </w:tcPr>
          <w:p w14:paraId="0EFD26F5" w14:textId="7A5BC469" w:rsidR="008E2D04" w:rsidRPr="00BC672D" w:rsidRDefault="008E2D04">
            <w:r w:rsidRPr="008E2D04">
              <w:t xml:space="preserve">Update regarding responsibilities of recording of fiduciary cases (former </w:t>
            </w:r>
            <w:proofErr w:type="spellStart"/>
            <w:r w:rsidRPr="008E2D04">
              <w:t>TreuInfo</w:t>
            </w:r>
            <w:proofErr w:type="spellEnd"/>
            <w:r w:rsidRPr="008E2D04">
              <w:t xml:space="preserve"> cases).</w:t>
            </w:r>
          </w:p>
        </w:tc>
      </w:tr>
      <w:tr w:rsidR="00AA458C" w:rsidRPr="00C53525" w14:paraId="1C829BEC" w14:textId="77777777" w:rsidTr="00316D72">
        <w:trPr>
          <w:trHeight w:val="503"/>
        </w:trPr>
        <w:tc>
          <w:tcPr>
            <w:tcW w:w="2128" w:type="dxa"/>
            <w:vMerge w:val="restart"/>
            <w:tcBorders>
              <w:left w:val="single" w:sz="4" w:space="0" w:color="auto"/>
              <w:right w:val="single" w:sz="4" w:space="0" w:color="auto"/>
            </w:tcBorders>
          </w:tcPr>
          <w:p w14:paraId="14536409" w14:textId="3A8FC099" w:rsidR="00AA458C" w:rsidRDefault="0094483E">
            <w:r>
              <w:t>April 1, 2020</w:t>
            </w:r>
          </w:p>
        </w:tc>
        <w:tc>
          <w:tcPr>
            <w:tcW w:w="3232" w:type="dxa"/>
            <w:tcBorders>
              <w:top w:val="single" w:sz="4" w:space="0" w:color="auto"/>
              <w:left w:val="single" w:sz="4" w:space="0" w:color="auto"/>
              <w:bottom w:val="single" w:sz="4" w:space="0" w:color="auto"/>
              <w:right w:val="single" w:sz="4" w:space="0" w:color="auto"/>
            </w:tcBorders>
          </w:tcPr>
          <w:p w14:paraId="405C2075" w14:textId="6101646C" w:rsidR="00AA458C" w:rsidRPr="004F6FDA" w:rsidRDefault="00911327" w:rsidP="00AA458C">
            <w:pPr>
              <w:pStyle w:val="KeinAbsatzformat"/>
              <w:rPr>
                <w:rStyle w:val="Hyperlink"/>
                <w:rFonts w:ascii="Arial" w:hAnsi="Arial" w:cstheme="minorBidi"/>
                <w:sz w:val="20"/>
                <w:szCs w:val="22"/>
                <w:lang w:val="en-US"/>
              </w:rPr>
            </w:pPr>
            <w:hyperlink r:id="rId120" w:history="1">
              <w:r w:rsidR="00194B7F" w:rsidRPr="00194B7F">
                <w:rPr>
                  <w:rStyle w:val="Hyperlink"/>
                  <w:rFonts w:ascii="Arial" w:hAnsi="Arial" w:cs="Arial"/>
                  <w:sz w:val="20"/>
                  <w:szCs w:val="20"/>
                  <w:lang w:val="en-US"/>
                </w:rPr>
                <w:t xml:space="preserve">Part 1, </w:t>
              </w:r>
              <w:r w:rsidR="00AA458C" w:rsidRPr="004F6FDA">
                <w:rPr>
                  <w:rStyle w:val="Hyperlink"/>
                  <w:rFonts w:ascii="Arial" w:hAnsi="Arial" w:cstheme="minorBidi"/>
                  <w:sz w:val="20"/>
                  <w:szCs w:val="22"/>
                  <w:lang w:val="en-US"/>
                </w:rPr>
                <w:t>A.1 Gifts and H</w:t>
              </w:r>
              <w:r w:rsidR="00AA458C" w:rsidRPr="007224DD">
                <w:rPr>
                  <w:rStyle w:val="Hyperlink"/>
                  <w:rFonts w:ascii="Arial" w:hAnsi="Arial" w:cstheme="minorBidi"/>
                  <w:sz w:val="20"/>
                  <w:szCs w:val="22"/>
                  <w:lang w:val="en-US"/>
                </w:rPr>
                <w:t>ospitality</w:t>
              </w:r>
            </w:hyperlink>
            <w:r w:rsidR="00AA458C" w:rsidRPr="007224DD">
              <w:rPr>
                <w:rStyle w:val="Hyperlink"/>
                <w:rFonts w:ascii="Arial" w:hAnsi="Arial" w:cstheme="minorBidi"/>
                <w:sz w:val="20"/>
                <w:szCs w:val="22"/>
                <w:lang w:val="en-US"/>
              </w:rPr>
              <w:t xml:space="preserve"> </w:t>
            </w:r>
          </w:p>
          <w:p w14:paraId="5E3168E9" w14:textId="77777777" w:rsidR="00AA458C" w:rsidRPr="00194B7F" w:rsidRDefault="00AA458C" w:rsidP="0076149B">
            <w:pPr>
              <w:pStyle w:val="KeinAbsatzformat"/>
              <w:rPr>
                <w:lang w:val="en-US"/>
              </w:rPr>
            </w:pPr>
          </w:p>
        </w:tc>
        <w:tc>
          <w:tcPr>
            <w:tcW w:w="5179" w:type="dxa"/>
            <w:tcBorders>
              <w:top w:val="single" w:sz="4" w:space="0" w:color="auto"/>
              <w:left w:val="single" w:sz="4" w:space="0" w:color="auto"/>
              <w:bottom w:val="single" w:sz="4" w:space="0" w:color="auto"/>
              <w:right w:val="single" w:sz="4" w:space="0" w:color="auto"/>
            </w:tcBorders>
          </w:tcPr>
          <w:p w14:paraId="2892A2F7" w14:textId="18D46DAE" w:rsidR="00AA458C" w:rsidRDefault="00AA458C" w:rsidP="00C23CFC">
            <w:r>
              <w:t xml:space="preserve">Chapter </w:t>
            </w:r>
            <w:r w:rsidRPr="00742BBF">
              <w:t>1.2.4. and 1.3.4. Adaption of Risk Group of Contributions without Consideration</w:t>
            </w:r>
          </w:p>
        </w:tc>
      </w:tr>
      <w:tr w:rsidR="00AA458C" w:rsidRPr="00C53525" w14:paraId="57B35695" w14:textId="77777777" w:rsidTr="00316D72">
        <w:trPr>
          <w:trHeight w:val="503"/>
        </w:trPr>
        <w:tc>
          <w:tcPr>
            <w:tcW w:w="2128" w:type="dxa"/>
            <w:vMerge/>
            <w:tcBorders>
              <w:left w:val="single" w:sz="4" w:space="0" w:color="auto"/>
              <w:right w:val="single" w:sz="4" w:space="0" w:color="auto"/>
            </w:tcBorders>
          </w:tcPr>
          <w:p w14:paraId="3A3C2C89" w14:textId="77777777" w:rsidR="00AA458C" w:rsidRDefault="00AA458C"/>
        </w:tc>
        <w:tc>
          <w:tcPr>
            <w:tcW w:w="3232" w:type="dxa"/>
            <w:tcBorders>
              <w:top w:val="single" w:sz="4" w:space="0" w:color="auto"/>
              <w:left w:val="single" w:sz="4" w:space="0" w:color="auto"/>
              <w:bottom w:val="single" w:sz="4" w:space="0" w:color="auto"/>
              <w:right w:val="single" w:sz="4" w:space="0" w:color="auto"/>
            </w:tcBorders>
          </w:tcPr>
          <w:p w14:paraId="3185670D" w14:textId="654D664F" w:rsidR="00AA458C" w:rsidRPr="00AE4BF6" w:rsidRDefault="00CF4ABB" w:rsidP="0076149B">
            <w:pPr>
              <w:pStyle w:val="KeinAbsatzformat"/>
              <w:rPr>
                <w:rFonts w:ascii="Arial" w:hAnsi="Arial" w:cstheme="minorBidi"/>
                <w:color w:val="0000FF" w:themeColor="hyperlink"/>
                <w:sz w:val="20"/>
                <w:szCs w:val="22"/>
                <w:u w:val="single"/>
                <w:lang w:val="en-US"/>
              </w:rPr>
            </w:pPr>
            <w:hyperlink r:id="rId121" w:history="1">
              <w:r w:rsidR="00194B7F" w:rsidRPr="00194B7F">
                <w:rPr>
                  <w:rStyle w:val="Hyperlink"/>
                  <w:rFonts w:ascii="Arial" w:hAnsi="Arial" w:cs="Arial"/>
                  <w:sz w:val="20"/>
                  <w:szCs w:val="20"/>
                  <w:lang w:val="en-US"/>
                </w:rPr>
                <w:t xml:space="preserve">Part1, </w:t>
              </w:r>
              <w:r w:rsidR="00AE4BF6" w:rsidRPr="00BC672D">
                <w:rPr>
                  <w:rStyle w:val="Hyperlink"/>
                  <w:rFonts w:ascii="Arial" w:hAnsi="Arial" w:cstheme="minorBidi"/>
                  <w:sz w:val="20"/>
                  <w:szCs w:val="22"/>
                  <w:lang w:val="en-US"/>
                </w:rPr>
                <w:t>A.3.3. Cooperation with Business Partners - CDD</w:t>
              </w:r>
            </w:hyperlink>
          </w:p>
        </w:tc>
        <w:tc>
          <w:tcPr>
            <w:tcW w:w="5179" w:type="dxa"/>
            <w:tcBorders>
              <w:top w:val="single" w:sz="4" w:space="0" w:color="auto"/>
              <w:left w:val="single" w:sz="4" w:space="0" w:color="auto"/>
              <w:bottom w:val="single" w:sz="4" w:space="0" w:color="auto"/>
              <w:right w:val="single" w:sz="4" w:space="0" w:color="auto"/>
            </w:tcBorders>
          </w:tcPr>
          <w:p w14:paraId="08B20038" w14:textId="77777777" w:rsidR="00AE4BF6" w:rsidRPr="00DF71DB" w:rsidRDefault="00AE4BF6" w:rsidP="00AE4BF6">
            <w:proofErr w:type="spellStart"/>
            <w:r>
              <w:t>Unpdate</w:t>
            </w:r>
            <w:proofErr w:type="spellEnd"/>
            <w:r>
              <w:t xml:space="preserve"> in Chapter 3.3.2.4.10. High risk approval only of CMC members, no designated deputy any more</w:t>
            </w:r>
          </w:p>
          <w:p w14:paraId="2FBF18A5" w14:textId="77777777" w:rsidR="00AE4BF6" w:rsidRPr="0076149B" w:rsidRDefault="00AE4BF6" w:rsidP="00AE4BF6">
            <w:r w:rsidRPr="0076149B">
              <w:t>Update in Chapter</w:t>
            </w:r>
            <w:r>
              <w:t>s</w:t>
            </w:r>
            <w:r w:rsidRPr="0076149B">
              <w:t xml:space="preserve"> 3.3.2.4.10/3.3.1.1</w:t>
            </w:r>
            <w:r>
              <w:t>:</w:t>
            </w:r>
          </w:p>
          <w:p w14:paraId="5121438A" w14:textId="77777777" w:rsidR="00AE4BF6" w:rsidRPr="008B08E8" w:rsidRDefault="00AE4BF6" w:rsidP="00AE4BF6">
            <w:pPr>
              <w:rPr>
                <w:b/>
                <w:iCs/>
              </w:rPr>
            </w:pPr>
            <w:r w:rsidRPr="008B08E8">
              <w:t xml:space="preserve">Chapter 3.3.2.4.10.1. Special CDD - approval requirements </w:t>
            </w:r>
            <w:proofErr w:type="gramStart"/>
            <w:r w:rsidRPr="008B08E8">
              <w:t>is</w:t>
            </w:r>
            <w:proofErr w:type="gramEnd"/>
            <w:r w:rsidRPr="008B08E8">
              <w:t xml:space="preserve"> deleted</w:t>
            </w:r>
          </w:p>
          <w:p w14:paraId="0428D78F" w14:textId="77777777" w:rsidR="00AE4BF6" w:rsidRPr="008B08E8" w:rsidRDefault="00AE4BF6" w:rsidP="00AE4BF6">
            <w:pPr>
              <w:rPr>
                <w:b/>
                <w:iCs/>
              </w:rPr>
            </w:pPr>
            <w:r w:rsidRPr="008B08E8">
              <w:t>Chapter 3.3.2.4.10.2. How to handle CDDs which require CMC Approval in the CDD-tool is deleted</w:t>
            </w:r>
          </w:p>
          <w:p w14:paraId="2DE234EF" w14:textId="77777777" w:rsidR="00AE4BF6" w:rsidRPr="008B08E8" w:rsidRDefault="00AE4BF6" w:rsidP="00AE4BF6">
            <w:pPr>
              <w:rPr>
                <w:b/>
                <w:iCs/>
              </w:rPr>
            </w:pPr>
            <w:r w:rsidRPr="008B08E8">
              <w:t>Chapter 3.3.2.4.10.3 Management Approval becomes Chapter 3.3.2.4.10.1</w:t>
            </w:r>
          </w:p>
          <w:p w14:paraId="65CF2B0C" w14:textId="05E41A65" w:rsidR="00AA458C" w:rsidRDefault="00AE4BF6" w:rsidP="00AE4BF6">
            <w:r w:rsidRPr="008B08E8">
              <w:t>Chapter 3.3.2.4.10.4 Withdrawal of a CDD becomes Chapter 3.3.2.4.10.2 Withdrawal of an Approval or Disapproval</w:t>
            </w:r>
          </w:p>
        </w:tc>
      </w:tr>
      <w:tr w:rsidR="00AA458C" w:rsidRPr="00C53525" w14:paraId="28B44DC0" w14:textId="77777777" w:rsidTr="00316D72">
        <w:trPr>
          <w:trHeight w:val="503"/>
        </w:trPr>
        <w:tc>
          <w:tcPr>
            <w:tcW w:w="2128" w:type="dxa"/>
            <w:vMerge/>
            <w:tcBorders>
              <w:left w:val="single" w:sz="4" w:space="0" w:color="auto"/>
              <w:right w:val="single" w:sz="4" w:space="0" w:color="auto"/>
            </w:tcBorders>
          </w:tcPr>
          <w:p w14:paraId="642A7FF1" w14:textId="77777777" w:rsidR="00AA458C" w:rsidRDefault="00AA458C"/>
        </w:tc>
        <w:tc>
          <w:tcPr>
            <w:tcW w:w="3232" w:type="dxa"/>
            <w:tcBorders>
              <w:top w:val="single" w:sz="4" w:space="0" w:color="auto"/>
              <w:left w:val="single" w:sz="4" w:space="0" w:color="auto"/>
              <w:bottom w:val="single" w:sz="4" w:space="0" w:color="auto"/>
              <w:right w:val="single" w:sz="4" w:space="0" w:color="auto"/>
            </w:tcBorders>
          </w:tcPr>
          <w:p w14:paraId="00DA3705" w14:textId="77777777" w:rsidR="00AE4BF6" w:rsidRPr="00194B7F" w:rsidRDefault="00316D72" w:rsidP="00AE4BF6">
            <w:pPr>
              <w:pStyle w:val="KeinAbsatzformat"/>
              <w:rPr>
                <w:rStyle w:val="Hyperlink"/>
                <w:rFonts w:ascii="Arial" w:hAnsi="Arial" w:cs="Arial"/>
                <w:sz w:val="20"/>
                <w:szCs w:val="20"/>
                <w:lang w:val="en-US"/>
              </w:rPr>
            </w:pPr>
            <w:r>
              <w:rPr>
                <w:rFonts w:ascii="Arial" w:hAnsi="Arial" w:cs="Arial"/>
                <w:sz w:val="20"/>
                <w:szCs w:val="20"/>
              </w:rPr>
              <w:fldChar w:fldCharType="begin"/>
            </w:r>
            <w:r>
              <w:instrText xml:space="preserve"> HYPERLINK "https://webbooks.siemens.com/public/LC/chen/index.htm?n=Part-1-Activity-Fields,A.-Anti-Corruption,6.-Collective-Action-and-Siemens-Integrity-Initiative" </w:instrText>
            </w:r>
            <w:r>
              <w:rPr>
                <w:rFonts w:ascii="Arial" w:hAnsi="Arial" w:cs="Arial"/>
                <w:sz w:val="20"/>
                <w:szCs w:val="20"/>
              </w:rPr>
              <w:fldChar w:fldCharType="separate"/>
            </w:r>
            <w:r w:rsidR="00194B7F" w:rsidRPr="00194B7F">
              <w:rPr>
                <w:rStyle w:val="Hyperlink"/>
                <w:rFonts w:ascii="Arial" w:hAnsi="Arial" w:cs="Arial"/>
                <w:sz w:val="20"/>
                <w:szCs w:val="20"/>
              </w:rPr>
              <w:t xml:space="preserve">Part 1, </w:t>
            </w:r>
            <w:r w:rsidR="00AE4BF6" w:rsidRPr="009F0685">
              <w:rPr>
                <w:rStyle w:val="Hyperlink"/>
                <w:rFonts w:ascii="Arial" w:hAnsi="Arial" w:cstheme="minorBidi"/>
                <w:sz w:val="20"/>
                <w:szCs w:val="22"/>
                <w:lang w:val="en-US"/>
              </w:rPr>
              <w:t>A.6. Collective Action</w:t>
            </w:r>
          </w:p>
          <w:p w14:paraId="4D7B1B83" w14:textId="0FC016CA" w:rsidR="00AA458C" w:rsidRPr="00AA458C" w:rsidRDefault="00316D72" w:rsidP="0076149B">
            <w:pPr>
              <w:pStyle w:val="KeinAbsatzformat"/>
              <w:rPr>
                <w:lang w:val="en-US"/>
              </w:rPr>
            </w:pPr>
            <w:r>
              <w:rPr>
                <w:rFonts w:ascii="Arial" w:hAnsi="Arial" w:cs="Arial"/>
                <w:sz w:val="20"/>
                <w:szCs w:val="20"/>
              </w:rPr>
              <w:fldChar w:fldCharType="end"/>
            </w:r>
          </w:p>
        </w:tc>
        <w:tc>
          <w:tcPr>
            <w:tcW w:w="5179" w:type="dxa"/>
            <w:tcBorders>
              <w:top w:val="single" w:sz="4" w:space="0" w:color="auto"/>
              <w:left w:val="single" w:sz="4" w:space="0" w:color="auto"/>
              <w:bottom w:val="single" w:sz="4" w:space="0" w:color="auto"/>
              <w:right w:val="single" w:sz="4" w:space="0" w:color="auto"/>
            </w:tcBorders>
          </w:tcPr>
          <w:p w14:paraId="06DB5E10" w14:textId="07C665E7" w:rsidR="00AA458C" w:rsidRDefault="00AE4BF6" w:rsidP="00C23CFC">
            <w:r w:rsidRPr="009F0685">
              <w:t>Chapter 6.4. Siemens Integrity Initiative - new facts regarding the Third Funding Round of the Siemens Integrity Initiative</w:t>
            </w:r>
          </w:p>
        </w:tc>
      </w:tr>
      <w:tr w:rsidR="00AA458C" w:rsidRPr="00C53525" w14:paraId="661292A2" w14:textId="77777777" w:rsidTr="00316D72">
        <w:trPr>
          <w:trHeight w:val="503"/>
        </w:trPr>
        <w:tc>
          <w:tcPr>
            <w:tcW w:w="2128" w:type="dxa"/>
            <w:vMerge/>
            <w:tcBorders>
              <w:left w:val="single" w:sz="4" w:space="0" w:color="auto"/>
              <w:right w:val="single" w:sz="4" w:space="0" w:color="auto"/>
            </w:tcBorders>
          </w:tcPr>
          <w:p w14:paraId="5E751E54" w14:textId="77777777" w:rsidR="00AA458C" w:rsidRDefault="00AA458C"/>
        </w:tc>
        <w:tc>
          <w:tcPr>
            <w:tcW w:w="3232" w:type="dxa"/>
            <w:tcBorders>
              <w:top w:val="single" w:sz="4" w:space="0" w:color="auto"/>
              <w:left w:val="single" w:sz="4" w:space="0" w:color="auto"/>
              <w:bottom w:val="single" w:sz="4" w:space="0" w:color="auto"/>
              <w:right w:val="single" w:sz="4" w:space="0" w:color="auto"/>
            </w:tcBorders>
          </w:tcPr>
          <w:p w14:paraId="636E22DA" w14:textId="064D0268" w:rsidR="00AE4BF6" w:rsidRPr="008E1EC6" w:rsidRDefault="008E1EC6" w:rsidP="00AE4BF6">
            <w:pPr>
              <w:pStyle w:val="KeinAbsatzformat"/>
              <w:rPr>
                <w:rStyle w:val="Hyperlink"/>
                <w:rFonts w:ascii="Arial" w:hAnsi="Arial" w:cstheme="minorBidi"/>
                <w:sz w:val="20"/>
                <w:szCs w:val="22"/>
                <w:lang w:val="en-US"/>
              </w:rPr>
            </w:pPr>
            <w:r>
              <w:rPr>
                <w:rFonts w:ascii="Arial" w:hAnsi="Arial" w:cstheme="minorBidi"/>
                <w:sz w:val="20"/>
                <w:szCs w:val="22"/>
                <w:lang w:val="en-US"/>
              </w:rPr>
              <w:fldChar w:fldCharType="begin"/>
            </w:r>
            <w:r>
              <w:rPr>
                <w:rFonts w:ascii="Arial" w:hAnsi="Arial" w:cstheme="minorBidi"/>
                <w:sz w:val="20"/>
                <w:szCs w:val="22"/>
                <w:lang w:val="en-US"/>
              </w:rPr>
              <w:instrText xml:space="preserve"> HYPERLINK "https://webbooks.siemens.com/public/LC/chen/index.htm?n=Part-1-Activity-Fields,C.-Anti-Money-Laundering-(AML)" </w:instrText>
            </w:r>
            <w:r>
              <w:rPr>
                <w:rFonts w:ascii="Arial" w:hAnsi="Arial" w:cstheme="minorBidi"/>
                <w:sz w:val="20"/>
                <w:szCs w:val="22"/>
                <w:lang w:val="en-US"/>
              </w:rPr>
              <w:fldChar w:fldCharType="separate"/>
            </w:r>
            <w:r w:rsidR="00194B7F" w:rsidRPr="008E1EC6">
              <w:rPr>
                <w:rStyle w:val="Hyperlink"/>
                <w:rFonts w:ascii="Arial" w:hAnsi="Arial" w:cstheme="minorBidi"/>
                <w:sz w:val="20"/>
                <w:szCs w:val="22"/>
                <w:lang w:val="en-US"/>
              </w:rPr>
              <w:t xml:space="preserve">Part 1, </w:t>
            </w:r>
            <w:r w:rsidR="00AE4BF6" w:rsidRPr="008E1EC6">
              <w:rPr>
                <w:rStyle w:val="Hyperlink"/>
                <w:rFonts w:ascii="Arial" w:hAnsi="Arial" w:cstheme="minorBidi"/>
                <w:sz w:val="20"/>
                <w:szCs w:val="22"/>
                <w:lang w:val="en-US"/>
              </w:rPr>
              <w:t>C. Anti-Money Laundering</w:t>
            </w:r>
          </w:p>
          <w:p w14:paraId="4E195574" w14:textId="6AD978B7" w:rsidR="00AA458C" w:rsidRPr="00AA458C" w:rsidRDefault="008E1EC6" w:rsidP="0076149B">
            <w:pPr>
              <w:pStyle w:val="KeinAbsatzformat"/>
              <w:rPr>
                <w:lang w:val="en-US"/>
              </w:rPr>
            </w:pPr>
            <w:r>
              <w:rPr>
                <w:rFonts w:ascii="Arial" w:hAnsi="Arial" w:cstheme="minorBidi"/>
                <w:sz w:val="20"/>
                <w:szCs w:val="22"/>
                <w:lang w:val="en-US"/>
              </w:rPr>
              <w:fldChar w:fldCharType="end"/>
            </w:r>
          </w:p>
        </w:tc>
        <w:tc>
          <w:tcPr>
            <w:tcW w:w="5179" w:type="dxa"/>
            <w:tcBorders>
              <w:top w:val="single" w:sz="4" w:space="0" w:color="auto"/>
              <w:left w:val="single" w:sz="4" w:space="0" w:color="auto"/>
              <w:bottom w:val="single" w:sz="4" w:space="0" w:color="auto"/>
              <w:right w:val="single" w:sz="4" w:space="0" w:color="auto"/>
            </w:tcBorders>
          </w:tcPr>
          <w:p w14:paraId="394675C3" w14:textId="77777777" w:rsidR="00AE4BF6" w:rsidRDefault="00AE4BF6" w:rsidP="00AE4BF6">
            <w:r w:rsidRPr="008B08E8">
              <w:t>Redactional changes in chapter C. introduction, C.1. and C.1.1.</w:t>
            </w:r>
          </w:p>
          <w:p w14:paraId="5F2096F9" w14:textId="77777777" w:rsidR="00AE4BF6" w:rsidRDefault="00AE4BF6" w:rsidP="00AE4BF6">
            <w:r w:rsidRPr="008B08E8">
              <w:t>Allocation of responsibilities C.3.</w:t>
            </w:r>
          </w:p>
          <w:p w14:paraId="004CC632" w14:textId="77777777" w:rsidR="00AE4BF6" w:rsidRDefault="00AE4BF6" w:rsidP="00AE4BF6">
            <w:r w:rsidRPr="008B08E8">
              <w:t>Chapter about AML Red Flags created C.1.</w:t>
            </w:r>
          </w:p>
          <w:p w14:paraId="1C5C29AF" w14:textId="77777777" w:rsidR="00AE4BF6" w:rsidRDefault="00AE4BF6" w:rsidP="00AE4BF6">
            <w:r w:rsidRPr="008B08E8">
              <w:t>List of AML High Risk Countries included C.1.1.5.</w:t>
            </w:r>
          </w:p>
          <w:p w14:paraId="3CF03448" w14:textId="2BC5460B" w:rsidR="00AA458C" w:rsidRDefault="00AE4BF6" w:rsidP="00C23CFC">
            <w:r w:rsidRPr="008B08E8">
              <w:t>Former separate binding documents for AML Red Flags and AML High Risk Countries abolished</w:t>
            </w:r>
          </w:p>
        </w:tc>
      </w:tr>
      <w:tr w:rsidR="00AA458C" w:rsidRPr="00C53525" w14:paraId="7142A8A4" w14:textId="77777777" w:rsidTr="00316D72">
        <w:trPr>
          <w:trHeight w:val="503"/>
        </w:trPr>
        <w:tc>
          <w:tcPr>
            <w:tcW w:w="2128" w:type="dxa"/>
            <w:vMerge/>
            <w:tcBorders>
              <w:left w:val="single" w:sz="4" w:space="0" w:color="auto"/>
              <w:right w:val="single" w:sz="4" w:space="0" w:color="auto"/>
            </w:tcBorders>
          </w:tcPr>
          <w:p w14:paraId="7EC74525" w14:textId="77777777" w:rsidR="00AA458C" w:rsidRDefault="00AA458C"/>
        </w:tc>
        <w:tc>
          <w:tcPr>
            <w:tcW w:w="3232" w:type="dxa"/>
            <w:tcBorders>
              <w:top w:val="single" w:sz="4" w:space="0" w:color="auto"/>
              <w:left w:val="single" w:sz="4" w:space="0" w:color="auto"/>
              <w:bottom w:val="single" w:sz="4" w:space="0" w:color="auto"/>
              <w:right w:val="single" w:sz="4" w:space="0" w:color="auto"/>
            </w:tcBorders>
          </w:tcPr>
          <w:p w14:paraId="3DB4A6AF" w14:textId="3B6C8D8C" w:rsidR="00AA458C" w:rsidRPr="00AE4BF6" w:rsidRDefault="00CF4ABB" w:rsidP="0076149B">
            <w:pPr>
              <w:pStyle w:val="KeinAbsatzformat"/>
              <w:rPr>
                <w:rFonts w:ascii="Arial" w:hAnsi="Arial" w:cstheme="minorBidi"/>
                <w:color w:val="0000FF" w:themeColor="hyperlink"/>
                <w:sz w:val="20"/>
                <w:szCs w:val="22"/>
                <w:u w:val="single"/>
                <w:lang w:val="en-US"/>
              </w:rPr>
            </w:pPr>
            <w:hyperlink r:id="rId122" w:history="1">
              <w:r w:rsidR="001A1B69" w:rsidRPr="001A1B69">
                <w:rPr>
                  <w:rStyle w:val="Hyperlink"/>
                  <w:rFonts w:ascii="Arial" w:hAnsi="Arial" w:cs="Arial"/>
                  <w:sz w:val="20"/>
                  <w:szCs w:val="20"/>
                  <w:lang w:val="en-US"/>
                </w:rPr>
                <w:t xml:space="preserve">Part 2, </w:t>
              </w:r>
              <w:r w:rsidR="00AE4BF6" w:rsidRPr="00713FD3">
                <w:rPr>
                  <w:rStyle w:val="Hyperlink"/>
                  <w:rFonts w:ascii="Arial" w:hAnsi="Arial" w:cstheme="minorBidi"/>
                  <w:sz w:val="20"/>
                  <w:szCs w:val="22"/>
                  <w:lang w:val="en-US"/>
                </w:rPr>
                <w:t>H.2. Compliance in Procurement</w:t>
              </w:r>
            </w:hyperlink>
          </w:p>
        </w:tc>
        <w:tc>
          <w:tcPr>
            <w:tcW w:w="5179" w:type="dxa"/>
            <w:tcBorders>
              <w:top w:val="single" w:sz="4" w:space="0" w:color="auto"/>
              <w:left w:val="single" w:sz="4" w:space="0" w:color="auto"/>
              <w:bottom w:val="single" w:sz="4" w:space="0" w:color="auto"/>
              <w:right w:val="single" w:sz="4" w:space="0" w:color="auto"/>
            </w:tcBorders>
          </w:tcPr>
          <w:p w14:paraId="566B665C" w14:textId="5A8741E3" w:rsidR="00AA458C" w:rsidRDefault="00AE4BF6" w:rsidP="00AE4BF6">
            <w:r>
              <w:t>Chapter 2.1. Supplier Registration - Anti-Money-Laundering (AML) assessment in case of AML Red Flags</w:t>
            </w:r>
          </w:p>
        </w:tc>
      </w:tr>
      <w:tr w:rsidR="00AA458C" w:rsidRPr="00C53525" w14:paraId="25F7F9A7" w14:textId="77777777" w:rsidTr="00316D72">
        <w:trPr>
          <w:trHeight w:val="503"/>
        </w:trPr>
        <w:tc>
          <w:tcPr>
            <w:tcW w:w="2128" w:type="dxa"/>
            <w:vMerge/>
            <w:tcBorders>
              <w:left w:val="single" w:sz="4" w:space="0" w:color="auto"/>
              <w:right w:val="single" w:sz="4" w:space="0" w:color="auto"/>
            </w:tcBorders>
          </w:tcPr>
          <w:p w14:paraId="72FEA5DA" w14:textId="77777777" w:rsidR="00AA458C" w:rsidRDefault="00AA458C"/>
        </w:tc>
        <w:tc>
          <w:tcPr>
            <w:tcW w:w="3232" w:type="dxa"/>
            <w:tcBorders>
              <w:top w:val="single" w:sz="4" w:space="0" w:color="auto"/>
              <w:left w:val="single" w:sz="4" w:space="0" w:color="auto"/>
              <w:bottom w:val="single" w:sz="4" w:space="0" w:color="auto"/>
              <w:right w:val="single" w:sz="4" w:space="0" w:color="auto"/>
            </w:tcBorders>
          </w:tcPr>
          <w:p w14:paraId="34CCA00A" w14:textId="72B73D50" w:rsidR="00AE4BF6" w:rsidRPr="001A1B69" w:rsidRDefault="00AE4BF6" w:rsidP="00AE4BF6">
            <w:pPr>
              <w:pStyle w:val="KeinAbsatzformat"/>
              <w:rPr>
                <w:rStyle w:val="Hyperlink"/>
                <w:rFonts w:ascii="Arial" w:hAnsi="Arial" w:cs="Arial"/>
                <w:sz w:val="20"/>
                <w:szCs w:val="20"/>
                <w:lang w:val="en-US"/>
              </w:rPr>
            </w:pPr>
            <w:r>
              <w:rPr>
                <w:rFonts w:ascii="Arial" w:hAnsi="Arial" w:cs="Arial"/>
                <w:sz w:val="20"/>
                <w:szCs w:val="20"/>
                <w:u w:val="single"/>
                <w:lang w:val="en-US"/>
              </w:rPr>
              <w:fldChar w:fldCharType="begin"/>
            </w:r>
            <w:r w:rsidRPr="00AE4BF6">
              <w:rPr>
                <w:rFonts w:ascii="Arial" w:hAnsi="Arial" w:cs="Arial"/>
                <w:sz w:val="20"/>
                <w:szCs w:val="20"/>
                <w:u w:val="single"/>
              </w:rPr>
              <w:instrText xml:space="preserve"> HYPERLINK "https://webbooks.siemens.com/public/LC/chen/index.htm?n=Part-2-Business-Perspective,H.-Compliance-in-Business-Processes-and-Projects,4.-High-Risk-Payments" </w:instrText>
            </w:r>
            <w:r>
              <w:rPr>
                <w:rFonts w:ascii="Arial" w:hAnsi="Arial" w:cs="Arial"/>
                <w:sz w:val="20"/>
                <w:szCs w:val="20"/>
                <w:u w:val="single"/>
                <w:lang w:val="en-US"/>
              </w:rPr>
              <w:fldChar w:fldCharType="separate"/>
            </w:r>
            <w:r w:rsidR="001A1B69" w:rsidRPr="001A1B69">
              <w:rPr>
                <w:rStyle w:val="Hyperlink"/>
                <w:rFonts w:ascii="Arial" w:hAnsi="Arial" w:cs="Arial"/>
                <w:sz w:val="20"/>
                <w:szCs w:val="20"/>
                <w:lang w:val="en-US"/>
              </w:rPr>
              <w:t xml:space="preserve">Part 2, </w:t>
            </w:r>
            <w:r w:rsidRPr="001A1B69">
              <w:rPr>
                <w:rStyle w:val="Hyperlink"/>
                <w:rFonts w:ascii="Arial" w:hAnsi="Arial" w:cs="Arial"/>
                <w:sz w:val="20"/>
                <w:szCs w:val="20"/>
                <w:lang w:val="en-US"/>
              </w:rPr>
              <w:t>H.4. High risk Payments</w:t>
            </w:r>
          </w:p>
          <w:p w14:paraId="2E2D85FF" w14:textId="29246E62" w:rsidR="00AA458C" w:rsidRPr="001667E5" w:rsidRDefault="00AE4BF6" w:rsidP="00AE4BF6">
            <w:pPr>
              <w:pStyle w:val="KeinAbsatzformat"/>
              <w:rPr>
                <w:rFonts w:ascii="Arial" w:hAnsi="Arial" w:cs="Arial"/>
                <w:sz w:val="20"/>
                <w:szCs w:val="20"/>
                <w:lang w:val="en-US"/>
              </w:rPr>
            </w:pPr>
            <w:r>
              <w:rPr>
                <w:rFonts w:ascii="Arial" w:hAnsi="Arial" w:cs="Arial"/>
                <w:sz w:val="20"/>
                <w:szCs w:val="20"/>
                <w:u w:val="single"/>
                <w:lang w:val="en-US"/>
              </w:rPr>
              <w:fldChar w:fldCharType="end"/>
            </w:r>
          </w:p>
        </w:tc>
        <w:tc>
          <w:tcPr>
            <w:tcW w:w="5179" w:type="dxa"/>
            <w:tcBorders>
              <w:top w:val="single" w:sz="4" w:space="0" w:color="auto"/>
              <w:left w:val="single" w:sz="4" w:space="0" w:color="auto"/>
              <w:bottom w:val="single" w:sz="4" w:space="0" w:color="auto"/>
              <w:right w:val="single" w:sz="4" w:space="0" w:color="auto"/>
            </w:tcBorders>
          </w:tcPr>
          <w:p w14:paraId="237A4D66" w14:textId="11B32B6A" w:rsidR="00AA458C" w:rsidRDefault="00AE4BF6" w:rsidP="00C23CFC">
            <w:r w:rsidRPr="00AE4BF6">
              <w:t>Deletion of CRB Q 3 references</w:t>
            </w:r>
          </w:p>
        </w:tc>
      </w:tr>
      <w:tr w:rsidR="00AE4BF6" w:rsidRPr="00C53525" w14:paraId="29252F3B" w14:textId="77777777" w:rsidTr="00316D72">
        <w:trPr>
          <w:trHeight w:val="503"/>
        </w:trPr>
        <w:tc>
          <w:tcPr>
            <w:tcW w:w="2128" w:type="dxa"/>
            <w:vMerge/>
            <w:tcBorders>
              <w:left w:val="single" w:sz="4" w:space="0" w:color="auto"/>
              <w:right w:val="single" w:sz="4" w:space="0" w:color="auto"/>
            </w:tcBorders>
          </w:tcPr>
          <w:p w14:paraId="2FFB345D" w14:textId="77777777" w:rsidR="00AE4BF6" w:rsidRDefault="00AE4BF6"/>
        </w:tc>
        <w:tc>
          <w:tcPr>
            <w:tcW w:w="3232" w:type="dxa"/>
            <w:tcBorders>
              <w:top w:val="single" w:sz="4" w:space="0" w:color="auto"/>
              <w:left w:val="single" w:sz="4" w:space="0" w:color="auto"/>
              <w:bottom w:val="single" w:sz="4" w:space="0" w:color="auto"/>
              <w:right w:val="single" w:sz="4" w:space="0" w:color="auto"/>
            </w:tcBorders>
          </w:tcPr>
          <w:p w14:paraId="5314A6F4" w14:textId="7C6AC50E" w:rsidR="00AE4BF6" w:rsidRPr="001A1B69" w:rsidRDefault="00CF4ABB" w:rsidP="0076149B">
            <w:pPr>
              <w:pStyle w:val="KeinAbsatzformat"/>
              <w:rPr>
                <w:rFonts w:ascii="Arial" w:hAnsi="Arial" w:cs="Arial"/>
                <w:sz w:val="20"/>
                <w:szCs w:val="20"/>
                <w:lang w:val="en-US"/>
              </w:rPr>
            </w:pPr>
            <w:hyperlink r:id="rId123" w:history="1">
              <w:r w:rsidR="001A1B69" w:rsidRPr="001A1B69">
                <w:rPr>
                  <w:rStyle w:val="Hyperlink"/>
                  <w:rFonts w:ascii="Arial" w:hAnsi="Arial" w:cs="Arial"/>
                  <w:sz w:val="20"/>
                  <w:szCs w:val="20"/>
                  <w:lang w:val="en-US"/>
                </w:rPr>
                <w:t xml:space="preserve">Part 2, </w:t>
              </w:r>
              <w:r w:rsidR="00AE4BF6" w:rsidRPr="001A1B69">
                <w:rPr>
                  <w:rStyle w:val="Hyperlink"/>
                  <w:rFonts w:ascii="Arial" w:hAnsi="Arial" w:cs="Arial"/>
                  <w:sz w:val="20"/>
                  <w:szCs w:val="20"/>
                  <w:lang w:val="en-US"/>
                </w:rPr>
                <w:t xml:space="preserve">H.5. </w:t>
              </w:r>
              <w:proofErr w:type="spellStart"/>
              <w:r w:rsidR="00AE4BF6" w:rsidRPr="001A1B69">
                <w:rPr>
                  <w:rStyle w:val="Hyperlink"/>
                  <w:rFonts w:ascii="Arial" w:hAnsi="Arial" w:cs="Arial"/>
                  <w:sz w:val="20"/>
                  <w:szCs w:val="20"/>
                  <w:lang w:val="en-US"/>
                </w:rPr>
                <w:t>Compliance@production</w:t>
              </w:r>
              <w:proofErr w:type="spellEnd"/>
              <w:r w:rsidR="00AE4BF6" w:rsidRPr="001A1B69">
                <w:rPr>
                  <w:rStyle w:val="Hyperlink"/>
                  <w:rFonts w:ascii="Arial" w:hAnsi="Arial" w:cs="Arial"/>
                  <w:sz w:val="20"/>
                  <w:szCs w:val="20"/>
                  <w:lang w:val="en-US"/>
                </w:rPr>
                <w:t xml:space="preserve"> facilities</w:t>
              </w:r>
            </w:hyperlink>
          </w:p>
        </w:tc>
        <w:tc>
          <w:tcPr>
            <w:tcW w:w="5179" w:type="dxa"/>
            <w:tcBorders>
              <w:top w:val="single" w:sz="4" w:space="0" w:color="auto"/>
              <w:left w:val="single" w:sz="4" w:space="0" w:color="auto"/>
              <w:bottom w:val="single" w:sz="4" w:space="0" w:color="auto"/>
              <w:right w:val="single" w:sz="4" w:space="0" w:color="auto"/>
            </w:tcBorders>
          </w:tcPr>
          <w:p w14:paraId="5A55D04E" w14:textId="11EE20D1" w:rsidR="00AE4BF6" w:rsidRDefault="0094483E" w:rsidP="00C23CFC">
            <w:r>
              <w:t>Initial Version</w:t>
            </w:r>
          </w:p>
        </w:tc>
      </w:tr>
      <w:tr w:rsidR="00AE4BF6" w:rsidRPr="00C53525" w14:paraId="4E599F74" w14:textId="77777777" w:rsidTr="00316D72">
        <w:trPr>
          <w:trHeight w:val="503"/>
        </w:trPr>
        <w:tc>
          <w:tcPr>
            <w:tcW w:w="2128" w:type="dxa"/>
            <w:vMerge/>
            <w:tcBorders>
              <w:left w:val="single" w:sz="4" w:space="0" w:color="auto"/>
              <w:right w:val="single" w:sz="4" w:space="0" w:color="auto"/>
            </w:tcBorders>
          </w:tcPr>
          <w:p w14:paraId="7FD32F32" w14:textId="77777777" w:rsidR="00AE4BF6" w:rsidRDefault="00AE4BF6"/>
        </w:tc>
        <w:tc>
          <w:tcPr>
            <w:tcW w:w="3232" w:type="dxa"/>
            <w:tcBorders>
              <w:top w:val="single" w:sz="4" w:space="0" w:color="auto"/>
              <w:left w:val="single" w:sz="4" w:space="0" w:color="auto"/>
              <w:bottom w:val="single" w:sz="4" w:space="0" w:color="auto"/>
              <w:right w:val="single" w:sz="4" w:space="0" w:color="auto"/>
            </w:tcBorders>
          </w:tcPr>
          <w:p w14:paraId="3DA97D29" w14:textId="77777777" w:rsidR="0094483E" w:rsidRPr="001A1B69" w:rsidRDefault="00316D72" w:rsidP="0094483E">
            <w:pPr>
              <w:pStyle w:val="KeinAbsatzformat"/>
              <w:rPr>
                <w:rStyle w:val="Hyperlink"/>
                <w:rFonts w:ascii="Arial" w:hAnsi="Arial" w:cs="Arial"/>
                <w:sz w:val="20"/>
                <w:szCs w:val="20"/>
                <w:lang w:val="en-US"/>
              </w:rPr>
            </w:pPr>
            <w:r>
              <w:rPr>
                <w:rFonts w:ascii="Arial" w:hAnsi="Arial" w:cs="Arial"/>
                <w:sz w:val="20"/>
                <w:szCs w:val="20"/>
                <w:lang w:val="en-US"/>
              </w:rPr>
              <w:fldChar w:fldCharType="begin"/>
            </w:r>
            <w:r>
              <w:instrText xml:space="preserve"> HYPERLINK "https://webbooks.siemens.com/public/LC/chen/index.htm?n=Part-2-Business-Perspective,H.-Compliance-in-Business-Processes-and-Projects,6.-Compliance-in-Minorities" </w:instrText>
            </w:r>
            <w:r>
              <w:rPr>
                <w:rFonts w:ascii="Arial" w:hAnsi="Arial" w:cs="Arial"/>
                <w:sz w:val="20"/>
                <w:szCs w:val="20"/>
                <w:lang w:val="en-US"/>
              </w:rPr>
              <w:fldChar w:fldCharType="separate"/>
            </w:r>
            <w:r w:rsidR="001A1B69" w:rsidRPr="001A1B69">
              <w:rPr>
                <w:rStyle w:val="Hyperlink"/>
                <w:rFonts w:ascii="Arial" w:hAnsi="Arial" w:cs="Arial"/>
                <w:sz w:val="20"/>
                <w:szCs w:val="20"/>
                <w:lang w:val="en-US"/>
              </w:rPr>
              <w:t xml:space="preserve">Part 2, </w:t>
            </w:r>
            <w:r w:rsidR="0094483E" w:rsidRPr="001A1B69">
              <w:rPr>
                <w:rStyle w:val="Hyperlink"/>
                <w:rFonts w:ascii="Arial" w:hAnsi="Arial" w:cs="Arial"/>
                <w:sz w:val="20"/>
                <w:szCs w:val="20"/>
                <w:lang w:val="en-US"/>
              </w:rPr>
              <w:t xml:space="preserve">H.6. Compliance </w:t>
            </w:r>
            <w:proofErr w:type="gramStart"/>
            <w:r w:rsidR="0094483E" w:rsidRPr="001A1B69">
              <w:rPr>
                <w:rStyle w:val="Hyperlink"/>
                <w:rFonts w:ascii="Arial" w:hAnsi="Arial" w:cs="Arial"/>
                <w:sz w:val="20"/>
                <w:szCs w:val="20"/>
                <w:lang w:val="en-US"/>
              </w:rPr>
              <w:t>In</w:t>
            </w:r>
            <w:proofErr w:type="gramEnd"/>
            <w:r w:rsidR="0094483E" w:rsidRPr="001A1B69">
              <w:rPr>
                <w:rStyle w:val="Hyperlink"/>
                <w:rFonts w:ascii="Arial" w:hAnsi="Arial" w:cs="Arial"/>
                <w:sz w:val="20"/>
                <w:szCs w:val="20"/>
                <w:lang w:val="en-US"/>
              </w:rPr>
              <w:t xml:space="preserve"> Minorities</w:t>
            </w:r>
          </w:p>
          <w:p w14:paraId="63C68D52" w14:textId="436563DD" w:rsidR="00AE4BF6" w:rsidRPr="001667E5" w:rsidRDefault="00316D72" w:rsidP="0076149B">
            <w:pPr>
              <w:pStyle w:val="KeinAbsatzformat"/>
              <w:rPr>
                <w:rFonts w:ascii="Arial" w:hAnsi="Arial" w:cs="Arial"/>
                <w:sz w:val="20"/>
                <w:szCs w:val="20"/>
                <w:lang w:val="en-US"/>
              </w:rPr>
            </w:pPr>
            <w:r>
              <w:rPr>
                <w:rFonts w:ascii="Arial" w:hAnsi="Arial" w:cs="Arial"/>
                <w:sz w:val="20"/>
                <w:szCs w:val="20"/>
                <w:lang w:val="en-US"/>
              </w:rPr>
              <w:fldChar w:fldCharType="end"/>
            </w:r>
          </w:p>
        </w:tc>
        <w:tc>
          <w:tcPr>
            <w:tcW w:w="5179" w:type="dxa"/>
            <w:tcBorders>
              <w:top w:val="single" w:sz="4" w:space="0" w:color="auto"/>
              <w:left w:val="single" w:sz="4" w:space="0" w:color="auto"/>
              <w:bottom w:val="single" w:sz="4" w:space="0" w:color="auto"/>
              <w:right w:val="single" w:sz="4" w:space="0" w:color="auto"/>
            </w:tcBorders>
          </w:tcPr>
          <w:p w14:paraId="53285BE1" w14:textId="4DE4CC66" w:rsidR="00AE4BF6" w:rsidRDefault="0094483E" w:rsidP="00C23CFC">
            <w:r w:rsidRPr="0094483E">
              <w:t>Initial Version</w:t>
            </w:r>
          </w:p>
        </w:tc>
      </w:tr>
      <w:tr w:rsidR="00AE4BF6" w:rsidRPr="00C53525" w14:paraId="07ECF217" w14:textId="77777777" w:rsidTr="00316D72">
        <w:trPr>
          <w:trHeight w:val="503"/>
        </w:trPr>
        <w:tc>
          <w:tcPr>
            <w:tcW w:w="2128" w:type="dxa"/>
            <w:vMerge/>
            <w:tcBorders>
              <w:left w:val="single" w:sz="4" w:space="0" w:color="auto"/>
              <w:right w:val="single" w:sz="4" w:space="0" w:color="auto"/>
            </w:tcBorders>
          </w:tcPr>
          <w:p w14:paraId="002F54FF" w14:textId="77777777" w:rsidR="00AE4BF6" w:rsidRDefault="00AE4BF6"/>
        </w:tc>
        <w:tc>
          <w:tcPr>
            <w:tcW w:w="3232" w:type="dxa"/>
            <w:tcBorders>
              <w:top w:val="single" w:sz="4" w:space="0" w:color="auto"/>
              <w:left w:val="single" w:sz="4" w:space="0" w:color="auto"/>
              <w:bottom w:val="single" w:sz="4" w:space="0" w:color="auto"/>
              <w:right w:val="single" w:sz="4" w:space="0" w:color="auto"/>
            </w:tcBorders>
          </w:tcPr>
          <w:p w14:paraId="32DC626D" w14:textId="6A598F85" w:rsidR="00AE4BF6" w:rsidRPr="001667E5" w:rsidRDefault="00CF4ABB" w:rsidP="0076149B">
            <w:pPr>
              <w:pStyle w:val="KeinAbsatzformat"/>
              <w:rPr>
                <w:rFonts w:ascii="Arial" w:hAnsi="Arial" w:cs="Arial"/>
                <w:sz w:val="20"/>
                <w:szCs w:val="20"/>
                <w:lang w:val="en-US"/>
              </w:rPr>
            </w:pPr>
            <w:hyperlink r:id="rId124" w:history="1">
              <w:r w:rsidR="001A1B69" w:rsidRPr="001A1B69">
                <w:rPr>
                  <w:rStyle w:val="Hyperlink"/>
                  <w:rFonts w:ascii="Arial" w:hAnsi="Arial" w:cs="Arial"/>
                  <w:sz w:val="20"/>
                  <w:szCs w:val="20"/>
                  <w:lang w:val="en-US"/>
                </w:rPr>
                <w:t xml:space="preserve">Part 2, </w:t>
              </w:r>
              <w:r w:rsidR="0094483E" w:rsidRPr="0094483E">
                <w:rPr>
                  <w:rStyle w:val="Hyperlink"/>
                  <w:rFonts w:ascii="Arial" w:hAnsi="Arial" w:cs="Arial"/>
                  <w:sz w:val="20"/>
                  <w:szCs w:val="20"/>
                  <w:lang w:val="en-US"/>
                </w:rPr>
                <w:t xml:space="preserve">H.7. Compliance </w:t>
              </w:r>
              <w:proofErr w:type="gramStart"/>
              <w:r w:rsidR="0094483E" w:rsidRPr="0094483E">
                <w:rPr>
                  <w:rStyle w:val="Hyperlink"/>
                  <w:rFonts w:ascii="Arial" w:hAnsi="Arial" w:cs="Arial"/>
                  <w:sz w:val="20"/>
                  <w:szCs w:val="20"/>
                  <w:lang w:val="en-US"/>
                </w:rPr>
                <w:t>In</w:t>
              </w:r>
              <w:proofErr w:type="gramEnd"/>
              <w:r w:rsidR="0094483E" w:rsidRPr="0094483E">
                <w:rPr>
                  <w:rStyle w:val="Hyperlink"/>
                  <w:rFonts w:ascii="Arial" w:hAnsi="Arial" w:cs="Arial"/>
                  <w:sz w:val="20"/>
                  <w:szCs w:val="20"/>
                  <w:lang w:val="en-US"/>
                </w:rPr>
                <w:t xml:space="preserve"> Permanent Establishments (PEs)</w:t>
              </w:r>
            </w:hyperlink>
          </w:p>
        </w:tc>
        <w:tc>
          <w:tcPr>
            <w:tcW w:w="5179" w:type="dxa"/>
            <w:tcBorders>
              <w:top w:val="single" w:sz="4" w:space="0" w:color="auto"/>
              <w:left w:val="single" w:sz="4" w:space="0" w:color="auto"/>
              <w:bottom w:val="single" w:sz="4" w:space="0" w:color="auto"/>
              <w:right w:val="single" w:sz="4" w:space="0" w:color="auto"/>
            </w:tcBorders>
          </w:tcPr>
          <w:p w14:paraId="4BB8B462" w14:textId="4F71D067" w:rsidR="00AE4BF6" w:rsidRDefault="0094483E" w:rsidP="00C23CFC">
            <w:r w:rsidRPr="0094483E">
              <w:t xml:space="preserve">Structural switch from </w:t>
            </w:r>
            <w:proofErr w:type="spellStart"/>
            <w:r w:rsidRPr="0094483E">
              <w:t>Capter</w:t>
            </w:r>
            <w:proofErr w:type="spellEnd"/>
            <w:r w:rsidRPr="0094483E">
              <w:t xml:space="preserve"> I.2. to Chapter H.7.</w:t>
            </w:r>
          </w:p>
        </w:tc>
      </w:tr>
      <w:tr w:rsidR="00AE4BF6" w:rsidRPr="00C53525" w14:paraId="1CF167E9" w14:textId="77777777" w:rsidTr="00316D72">
        <w:trPr>
          <w:trHeight w:val="503"/>
        </w:trPr>
        <w:tc>
          <w:tcPr>
            <w:tcW w:w="2128" w:type="dxa"/>
            <w:vMerge/>
            <w:tcBorders>
              <w:left w:val="single" w:sz="4" w:space="0" w:color="auto"/>
              <w:right w:val="single" w:sz="4" w:space="0" w:color="auto"/>
            </w:tcBorders>
          </w:tcPr>
          <w:p w14:paraId="05DEC7D5" w14:textId="77777777" w:rsidR="00AE4BF6" w:rsidRDefault="00AE4BF6"/>
        </w:tc>
        <w:tc>
          <w:tcPr>
            <w:tcW w:w="3232" w:type="dxa"/>
            <w:tcBorders>
              <w:top w:val="single" w:sz="4" w:space="0" w:color="auto"/>
              <w:left w:val="single" w:sz="4" w:space="0" w:color="auto"/>
              <w:bottom w:val="single" w:sz="4" w:space="0" w:color="auto"/>
              <w:right w:val="single" w:sz="4" w:space="0" w:color="auto"/>
            </w:tcBorders>
          </w:tcPr>
          <w:p w14:paraId="4EA4F6D1" w14:textId="73E52EF0" w:rsidR="00AE4BF6" w:rsidRPr="001667E5" w:rsidRDefault="00911327" w:rsidP="0076149B">
            <w:pPr>
              <w:pStyle w:val="KeinAbsatzformat"/>
              <w:rPr>
                <w:rFonts w:ascii="Arial" w:hAnsi="Arial" w:cs="Arial"/>
                <w:sz w:val="20"/>
                <w:szCs w:val="20"/>
                <w:u w:val="single"/>
              </w:rPr>
            </w:pPr>
            <w:hyperlink r:id="rId125" w:history="1">
              <w:r w:rsidR="001A1B69" w:rsidRPr="001A1B69">
                <w:rPr>
                  <w:rStyle w:val="Hyperlink"/>
                  <w:rFonts w:ascii="Arial" w:hAnsi="Arial" w:cs="Arial"/>
                  <w:sz w:val="20"/>
                  <w:szCs w:val="20"/>
                </w:rPr>
                <w:t xml:space="preserve">Part 3, </w:t>
              </w:r>
              <w:r w:rsidR="0094483E" w:rsidRPr="0094483E">
                <w:rPr>
                  <w:rStyle w:val="Hyperlink"/>
                  <w:rFonts w:ascii="Arial" w:hAnsi="Arial" w:cs="Arial"/>
                  <w:sz w:val="20"/>
                  <w:szCs w:val="20"/>
                </w:rPr>
                <w:t>J.1. Training</w:t>
              </w:r>
            </w:hyperlink>
          </w:p>
        </w:tc>
        <w:tc>
          <w:tcPr>
            <w:tcW w:w="5179" w:type="dxa"/>
            <w:tcBorders>
              <w:top w:val="single" w:sz="4" w:space="0" w:color="auto"/>
              <w:left w:val="single" w:sz="4" w:space="0" w:color="auto"/>
              <w:bottom w:val="single" w:sz="4" w:space="0" w:color="auto"/>
              <w:right w:val="single" w:sz="4" w:space="0" w:color="auto"/>
            </w:tcBorders>
          </w:tcPr>
          <w:p w14:paraId="299D91DC" w14:textId="1F987ADC" w:rsidR="00AE4BF6" w:rsidRDefault="0094483E" w:rsidP="00C23CFC">
            <w:r w:rsidRPr="0094483E">
              <w:t xml:space="preserve">Adaptation to </w:t>
            </w:r>
            <w:proofErr w:type="spellStart"/>
            <w:r w:rsidRPr="0094483E">
              <w:t>CTCircle</w:t>
            </w:r>
            <w:proofErr w:type="spellEnd"/>
            <w:r w:rsidRPr="0094483E">
              <w:t xml:space="preserve"> setup and processes</w:t>
            </w:r>
          </w:p>
        </w:tc>
      </w:tr>
      <w:tr w:rsidR="00AE4BF6" w:rsidRPr="00C53525" w14:paraId="6EB0BADA" w14:textId="77777777" w:rsidTr="00316D72">
        <w:trPr>
          <w:trHeight w:val="503"/>
        </w:trPr>
        <w:tc>
          <w:tcPr>
            <w:tcW w:w="2128" w:type="dxa"/>
            <w:vMerge/>
            <w:tcBorders>
              <w:left w:val="single" w:sz="4" w:space="0" w:color="auto"/>
              <w:right w:val="single" w:sz="4" w:space="0" w:color="auto"/>
            </w:tcBorders>
          </w:tcPr>
          <w:p w14:paraId="07BCA95B" w14:textId="77777777" w:rsidR="00AE4BF6" w:rsidRDefault="00AE4BF6"/>
        </w:tc>
        <w:tc>
          <w:tcPr>
            <w:tcW w:w="3232" w:type="dxa"/>
            <w:tcBorders>
              <w:top w:val="single" w:sz="4" w:space="0" w:color="auto"/>
              <w:left w:val="single" w:sz="4" w:space="0" w:color="auto"/>
              <w:bottom w:val="single" w:sz="4" w:space="0" w:color="auto"/>
              <w:right w:val="single" w:sz="4" w:space="0" w:color="auto"/>
            </w:tcBorders>
          </w:tcPr>
          <w:p w14:paraId="6BB9CD11" w14:textId="1E5893B4" w:rsidR="00AE4BF6" w:rsidRPr="001A1B69" w:rsidRDefault="00911327" w:rsidP="0076149B">
            <w:pPr>
              <w:pStyle w:val="KeinAbsatzformat"/>
              <w:rPr>
                <w:rFonts w:ascii="Arial" w:hAnsi="Arial" w:cs="Arial"/>
                <w:sz w:val="20"/>
                <w:szCs w:val="20"/>
                <w:u w:val="single"/>
              </w:rPr>
            </w:pPr>
            <w:hyperlink r:id="rId126" w:history="1">
              <w:r w:rsidR="001A1B69" w:rsidRPr="001A1B69">
                <w:rPr>
                  <w:rStyle w:val="Hyperlink"/>
                  <w:rFonts w:ascii="Arial" w:hAnsi="Arial" w:cs="Arial"/>
                  <w:sz w:val="20"/>
                  <w:szCs w:val="20"/>
                </w:rPr>
                <w:t xml:space="preserve">Part 3, </w:t>
              </w:r>
              <w:r w:rsidR="0094483E" w:rsidRPr="0094483E">
                <w:rPr>
                  <w:rStyle w:val="Hyperlink"/>
                  <w:rFonts w:ascii="Arial" w:hAnsi="Arial" w:cs="Arial"/>
                  <w:sz w:val="20"/>
                  <w:szCs w:val="20"/>
                </w:rPr>
                <w:t>J.3. Ambassador Program</w:t>
              </w:r>
            </w:hyperlink>
          </w:p>
        </w:tc>
        <w:tc>
          <w:tcPr>
            <w:tcW w:w="5179" w:type="dxa"/>
            <w:tcBorders>
              <w:top w:val="single" w:sz="4" w:space="0" w:color="auto"/>
              <w:left w:val="single" w:sz="4" w:space="0" w:color="auto"/>
              <w:bottom w:val="single" w:sz="4" w:space="0" w:color="auto"/>
              <w:right w:val="single" w:sz="4" w:space="0" w:color="auto"/>
            </w:tcBorders>
          </w:tcPr>
          <w:p w14:paraId="51FCEA2E" w14:textId="1D1CE671" w:rsidR="00AE4BF6" w:rsidRDefault="0094483E" w:rsidP="00C23CFC">
            <w:r w:rsidRPr="0094483E">
              <w:t>Chapter 3.6. Compliance Ambassador plus - Inclusion of the Mobility specific Compliance Ambassador plus program as Chapter 3.6. of this guidance</w:t>
            </w:r>
          </w:p>
        </w:tc>
      </w:tr>
      <w:tr w:rsidR="00AE4BF6" w:rsidRPr="00C53525" w14:paraId="0BC71586" w14:textId="77777777" w:rsidTr="00316D72">
        <w:trPr>
          <w:trHeight w:val="503"/>
        </w:trPr>
        <w:tc>
          <w:tcPr>
            <w:tcW w:w="2128" w:type="dxa"/>
            <w:vMerge/>
            <w:tcBorders>
              <w:left w:val="single" w:sz="4" w:space="0" w:color="auto"/>
              <w:right w:val="single" w:sz="4" w:space="0" w:color="auto"/>
            </w:tcBorders>
          </w:tcPr>
          <w:p w14:paraId="1107208D" w14:textId="77777777" w:rsidR="00AE4BF6" w:rsidRDefault="00AE4BF6"/>
        </w:tc>
        <w:tc>
          <w:tcPr>
            <w:tcW w:w="3232" w:type="dxa"/>
            <w:tcBorders>
              <w:top w:val="single" w:sz="4" w:space="0" w:color="auto"/>
              <w:left w:val="single" w:sz="4" w:space="0" w:color="auto"/>
              <w:bottom w:val="single" w:sz="4" w:space="0" w:color="auto"/>
              <w:right w:val="single" w:sz="4" w:space="0" w:color="auto"/>
            </w:tcBorders>
          </w:tcPr>
          <w:p w14:paraId="59788721" w14:textId="20F64C9E" w:rsidR="00AE4BF6" w:rsidRPr="001667E5" w:rsidRDefault="00911327" w:rsidP="0094483E">
            <w:pPr>
              <w:pStyle w:val="KeinAbsatzformat"/>
              <w:rPr>
                <w:rFonts w:ascii="Arial" w:hAnsi="Arial" w:cs="Arial"/>
                <w:sz w:val="20"/>
                <w:szCs w:val="20"/>
                <w:lang w:val="en-US"/>
              </w:rPr>
            </w:pPr>
            <w:hyperlink r:id="rId127" w:history="1">
              <w:r w:rsidR="0094483E" w:rsidRPr="001667E5">
                <w:rPr>
                  <w:rStyle w:val="Hyperlink"/>
                  <w:rFonts w:ascii="Arial" w:hAnsi="Arial" w:cs="Arial"/>
                  <w:sz w:val="20"/>
                  <w:szCs w:val="20"/>
                  <w:lang w:val="en-US"/>
                </w:rPr>
                <w:t>Part 4, M.1. Mobility</w:t>
              </w:r>
            </w:hyperlink>
          </w:p>
        </w:tc>
        <w:tc>
          <w:tcPr>
            <w:tcW w:w="5179" w:type="dxa"/>
            <w:tcBorders>
              <w:top w:val="single" w:sz="4" w:space="0" w:color="auto"/>
              <w:left w:val="single" w:sz="4" w:space="0" w:color="auto"/>
              <w:bottom w:val="single" w:sz="4" w:space="0" w:color="auto"/>
              <w:right w:val="single" w:sz="4" w:space="0" w:color="auto"/>
            </w:tcBorders>
          </w:tcPr>
          <w:p w14:paraId="7FE4E8E2" w14:textId="58B38640" w:rsidR="00AE4BF6" w:rsidRDefault="0094483E" w:rsidP="00C23CFC">
            <w:r w:rsidRPr="0094483E">
              <w:t xml:space="preserve">Chapter M.1. Mobility – Deletion of chapter, as </w:t>
            </w:r>
            <w:proofErr w:type="gramStart"/>
            <w:r w:rsidRPr="0094483E">
              <w:t>there  are</w:t>
            </w:r>
            <w:proofErr w:type="gramEnd"/>
            <w:r w:rsidRPr="0094483E">
              <w:t xml:space="preserve"> no deviations to the ICP EX for Mobility anymore.</w:t>
            </w:r>
          </w:p>
        </w:tc>
      </w:tr>
      <w:tr w:rsidR="000A29C8" w:rsidRPr="00C53525" w14:paraId="3EFFFBDD" w14:textId="77777777" w:rsidTr="000A29C8">
        <w:trPr>
          <w:trHeight w:val="3336"/>
        </w:trPr>
        <w:tc>
          <w:tcPr>
            <w:tcW w:w="2128" w:type="dxa"/>
            <w:tcBorders>
              <w:top w:val="single" w:sz="4" w:space="0" w:color="auto"/>
              <w:left w:val="single" w:sz="4" w:space="0" w:color="auto"/>
              <w:bottom w:val="single" w:sz="4" w:space="0" w:color="auto"/>
              <w:right w:val="single" w:sz="4" w:space="0" w:color="auto"/>
            </w:tcBorders>
          </w:tcPr>
          <w:p w14:paraId="7F6CDF02" w14:textId="2EA39CFE" w:rsidR="000A29C8" w:rsidRDefault="000A29C8" w:rsidP="000A29C8">
            <w:r>
              <w:t>June 1, 2020</w:t>
            </w:r>
          </w:p>
        </w:tc>
        <w:tc>
          <w:tcPr>
            <w:tcW w:w="3232" w:type="dxa"/>
            <w:tcBorders>
              <w:top w:val="single" w:sz="4" w:space="0" w:color="auto"/>
              <w:left w:val="single" w:sz="4" w:space="0" w:color="auto"/>
              <w:bottom w:val="single" w:sz="4" w:space="0" w:color="auto"/>
              <w:right w:val="single" w:sz="4" w:space="0" w:color="auto"/>
            </w:tcBorders>
          </w:tcPr>
          <w:p w14:paraId="10369373" w14:textId="77777777" w:rsidR="000A29C8" w:rsidRPr="001A1B69" w:rsidRDefault="00316D72" w:rsidP="000A29C8">
            <w:pPr>
              <w:pStyle w:val="KeinAbsatzformat"/>
              <w:rPr>
                <w:rStyle w:val="Hyperlink"/>
                <w:rFonts w:ascii="Arial" w:hAnsi="Arial" w:cs="Arial"/>
                <w:sz w:val="20"/>
                <w:szCs w:val="20"/>
                <w:lang w:val="en-US"/>
              </w:rPr>
            </w:pPr>
            <w:r>
              <w:rPr>
                <w:rFonts w:ascii="Arial" w:hAnsi="Arial" w:cs="Arial"/>
                <w:sz w:val="20"/>
                <w:szCs w:val="20"/>
              </w:rPr>
              <w:fldChar w:fldCharType="begin"/>
            </w:r>
            <w:r w:rsidRPr="00316D72">
              <w:rPr>
                <w:lang w:val="en-US"/>
              </w:rPr>
              <w:instrText xml:space="preserve"> HYPERLINK "https://webbooks.siemens.com/public/LC/chen/index.htm?n=Part-1-Activity-Fields,A.-Anti-Corruption,3.-Cooperation-with-Business-Partners,3.3.-Compliance-Due-Diligence-(CDD)" </w:instrText>
            </w:r>
            <w:r>
              <w:rPr>
                <w:rFonts w:ascii="Arial" w:hAnsi="Arial" w:cs="Arial"/>
                <w:sz w:val="20"/>
                <w:szCs w:val="20"/>
              </w:rPr>
              <w:fldChar w:fldCharType="separate"/>
            </w:r>
            <w:r w:rsidR="001A1B69" w:rsidRPr="001A1B69">
              <w:rPr>
                <w:rStyle w:val="Hyperlink"/>
                <w:rFonts w:ascii="Arial" w:hAnsi="Arial" w:cs="Arial"/>
                <w:sz w:val="20"/>
                <w:szCs w:val="20"/>
                <w:lang w:val="en-US"/>
              </w:rPr>
              <w:t xml:space="preserve">Part 1, </w:t>
            </w:r>
            <w:r w:rsidR="000A29C8" w:rsidRPr="00BC672D">
              <w:rPr>
                <w:rStyle w:val="Hyperlink"/>
                <w:rFonts w:ascii="Arial" w:hAnsi="Arial" w:cstheme="minorBidi"/>
                <w:sz w:val="20"/>
                <w:szCs w:val="22"/>
                <w:lang w:val="en-US"/>
              </w:rPr>
              <w:t>A.3.3. Cooperation with Business Partners - CDD</w:t>
            </w:r>
          </w:p>
          <w:p w14:paraId="2457BEAA" w14:textId="0528219C" w:rsidR="00BD3D8D" w:rsidRDefault="00316D72" w:rsidP="000A29C8">
            <w:pPr>
              <w:pStyle w:val="KeinAbsatzformat"/>
              <w:rPr>
                <w:rStyle w:val="Hyperlink"/>
                <w:rFonts w:ascii="Arial" w:hAnsi="Arial" w:cstheme="minorBidi"/>
                <w:sz w:val="20"/>
                <w:szCs w:val="22"/>
                <w:lang w:val="en-US"/>
              </w:rPr>
            </w:pPr>
            <w:r>
              <w:rPr>
                <w:rFonts w:ascii="Arial" w:hAnsi="Arial" w:cs="Arial"/>
                <w:sz w:val="20"/>
                <w:szCs w:val="20"/>
              </w:rPr>
              <w:fldChar w:fldCharType="end"/>
            </w:r>
          </w:p>
          <w:p w14:paraId="50795AE2" w14:textId="5AA07BEC" w:rsidR="00BD3D8D" w:rsidRPr="009533E0" w:rsidRDefault="00BD3D8D" w:rsidP="000A29C8">
            <w:pPr>
              <w:pStyle w:val="KeinAbsatzformat"/>
              <w:rPr>
                <w:rStyle w:val="Hyperlink"/>
                <w:sz w:val="20"/>
                <w:lang w:val="en-US"/>
              </w:rPr>
            </w:pPr>
          </w:p>
          <w:p w14:paraId="59BEF52F" w14:textId="4A7D25AC" w:rsidR="00BD3D8D" w:rsidRPr="0076149B" w:rsidRDefault="00BD3D8D" w:rsidP="000A29C8">
            <w:pPr>
              <w:pStyle w:val="KeinAbsatzformat"/>
              <w:rPr>
                <w:rStyle w:val="Hyperlink"/>
                <w:rFonts w:ascii="Arial" w:hAnsi="Arial" w:cstheme="minorBidi"/>
                <w:sz w:val="20"/>
                <w:szCs w:val="22"/>
                <w:lang w:val="en-US"/>
              </w:rPr>
            </w:pPr>
            <w:r w:rsidRPr="00BD3D8D">
              <w:rPr>
                <w:rStyle w:val="Hyperlink"/>
                <w:rFonts w:ascii="Arial" w:hAnsi="Arial" w:cstheme="minorBidi"/>
                <w:sz w:val="20"/>
                <w:szCs w:val="22"/>
                <w:lang w:val="en-US"/>
              </w:rPr>
              <w:t>No historization of this version 1.5 V.2 in the online archive, because in V.1.6. (</w:t>
            </w:r>
            <w:r>
              <w:rPr>
                <w:rStyle w:val="Hyperlink"/>
                <w:rFonts w:ascii="Arial" w:hAnsi="Arial" w:cstheme="minorBidi"/>
                <w:sz w:val="20"/>
                <w:szCs w:val="22"/>
                <w:lang w:val="en-US"/>
              </w:rPr>
              <w:t xml:space="preserve">July 1, </w:t>
            </w:r>
            <w:r w:rsidRPr="00BD3D8D">
              <w:rPr>
                <w:rStyle w:val="Hyperlink"/>
                <w:rFonts w:ascii="Arial" w:hAnsi="Arial" w:cstheme="minorBidi"/>
                <w:sz w:val="20"/>
                <w:szCs w:val="22"/>
                <w:lang w:val="en-US"/>
              </w:rPr>
              <w:t>2020) no changes in this chapter</w:t>
            </w:r>
          </w:p>
          <w:p w14:paraId="0EB455ED" w14:textId="77777777" w:rsidR="000A29C8" w:rsidRPr="000A29C8" w:rsidRDefault="000A29C8" w:rsidP="000A29C8">
            <w:pPr>
              <w:pStyle w:val="KeinAbsatzformat"/>
              <w:rPr>
                <w:lang w:val="en-US"/>
              </w:rPr>
            </w:pPr>
          </w:p>
        </w:tc>
        <w:tc>
          <w:tcPr>
            <w:tcW w:w="5179" w:type="dxa"/>
            <w:tcBorders>
              <w:top w:val="single" w:sz="4" w:space="0" w:color="auto"/>
              <w:left w:val="single" w:sz="4" w:space="0" w:color="auto"/>
              <w:bottom w:val="single" w:sz="4" w:space="0" w:color="auto"/>
              <w:right w:val="single" w:sz="4" w:space="0" w:color="auto"/>
            </w:tcBorders>
          </w:tcPr>
          <w:p w14:paraId="385FF7EF" w14:textId="77777777" w:rsidR="000A29C8" w:rsidRDefault="000A29C8" w:rsidP="000A29C8">
            <w:r>
              <w:t>Chapter 3.3.1.1: Role description “Monitoring Responsible” deleted due to introduction of new CDD Update Process</w:t>
            </w:r>
          </w:p>
          <w:p w14:paraId="07AE9A6D" w14:textId="77777777" w:rsidR="000A29C8" w:rsidRDefault="000A29C8" w:rsidP="000A29C8">
            <w:r>
              <w:t xml:space="preserve">Chapter 3.3.2.6: </w:t>
            </w:r>
            <w:r w:rsidRPr="006C4829">
              <w:t>Revision due to the introduction of the CDD Update Process</w:t>
            </w:r>
          </w:p>
          <w:p w14:paraId="5066ED23" w14:textId="77777777" w:rsidR="000A29C8" w:rsidRDefault="000A29C8" w:rsidP="000A29C8">
            <w:r>
              <w:t xml:space="preserve">Chapter 3.3.2.6.1: </w:t>
            </w:r>
            <w:r w:rsidRPr="006C4829">
              <w:t>Revision due to the introduction of the CDD Update Process</w:t>
            </w:r>
          </w:p>
          <w:p w14:paraId="375124DD" w14:textId="17A431A2" w:rsidR="000A29C8" w:rsidRDefault="000A29C8" w:rsidP="000A29C8">
            <w:r>
              <w:t xml:space="preserve">Chapter 3.3.2.6.2: chapter deleted due to </w:t>
            </w:r>
            <w:r w:rsidRPr="006C4829">
              <w:t>the introduction of the CDD Update Process</w:t>
            </w:r>
          </w:p>
        </w:tc>
      </w:tr>
      <w:tr w:rsidR="003F7721" w:rsidRPr="00CC631A" w14:paraId="349E360A" w14:textId="77777777" w:rsidTr="003F7721">
        <w:trPr>
          <w:trHeight w:val="1408"/>
        </w:trPr>
        <w:tc>
          <w:tcPr>
            <w:tcW w:w="2128" w:type="dxa"/>
            <w:vMerge w:val="restart"/>
            <w:tcBorders>
              <w:top w:val="single" w:sz="4" w:space="0" w:color="auto"/>
              <w:left w:val="single" w:sz="4" w:space="0" w:color="auto"/>
              <w:right w:val="single" w:sz="4" w:space="0" w:color="auto"/>
            </w:tcBorders>
          </w:tcPr>
          <w:p w14:paraId="619F8B5C" w14:textId="1F94215B" w:rsidR="003F7721" w:rsidRDefault="003F7721" w:rsidP="000A29C8">
            <w:r>
              <w:t>July 1, 2020</w:t>
            </w:r>
          </w:p>
        </w:tc>
        <w:tc>
          <w:tcPr>
            <w:tcW w:w="3232" w:type="dxa"/>
            <w:tcBorders>
              <w:top w:val="single" w:sz="4" w:space="0" w:color="auto"/>
              <w:left w:val="single" w:sz="4" w:space="0" w:color="auto"/>
              <w:bottom w:val="single" w:sz="4" w:space="0" w:color="auto"/>
              <w:right w:val="single" w:sz="4" w:space="0" w:color="auto"/>
            </w:tcBorders>
          </w:tcPr>
          <w:p w14:paraId="237B9872" w14:textId="249E9E69" w:rsidR="003F7721" w:rsidRDefault="00911327" w:rsidP="00CC631A">
            <w:hyperlink r:id="rId128" w:history="1">
              <w:r w:rsidR="003F7721" w:rsidRPr="00A46E3D">
                <w:rPr>
                  <w:rStyle w:val="Hyperlink"/>
                </w:rPr>
                <w:t>Part 3, L. 2. Case Handling</w:t>
              </w:r>
            </w:hyperlink>
          </w:p>
          <w:p w14:paraId="65A508F8" w14:textId="77777777" w:rsidR="003F7721" w:rsidRPr="00E3535B" w:rsidRDefault="003F7721" w:rsidP="00E3535B">
            <w:pPr>
              <w:pStyle w:val="KeinAbsatzformat"/>
              <w:rPr>
                <w:rFonts w:ascii="Arial" w:hAnsi="Arial" w:cstheme="minorBidi"/>
                <w:color w:val="006487" w:themeColor="accent3"/>
                <w:sz w:val="20"/>
                <w:szCs w:val="22"/>
                <w:lang w:val="en-US"/>
              </w:rPr>
            </w:pPr>
          </w:p>
          <w:p w14:paraId="0AB2AEAD" w14:textId="3D2F543B" w:rsidR="003F7721" w:rsidRPr="00E3535B" w:rsidRDefault="003F7721" w:rsidP="00E3535B">
            <w:pPr>
              <w:pStyle w:val="KeinAbsatzformat"/>
              <w:rPr>
                <w:rFonts w:ascii="Arial" w:hAnsi="Arial" w:cstheme="minorBidi"/>
                <w:color w:val="006487" w:themeColor="accent3"/>
                <w:sz w:val="20"/>
                <w:szCs w:val="22"/>
                <w:lang w:val="en-US"/>
              </w:rPr>
            </w:pPr>
          </w:p>
          <w:p w14:paraId="40B239DD" w14:textId="39B1B5D6" w:rsidR="003F7721" w:rsidRPr="00E3535B" w:rsidRDefault="003F7721" w:rsidP="003F7721">
            <w:pPr>
              <w:pStyle w:val="KeinAbsatzformat"/>
              <w:rPr>
                <w:rFonts w:ascii="Arial" w:hAnsi="Arial" w:cstheme="minorBidi"/>
                <w:color w:val="006487" w:themeColor="accent3"/>
                <w:sz w:val="20"/>
                <w:szCs w:val="22"/>
                <w:lang w:val="en-US"/>
              </w:rPr>
            </w:pPr>
          </w:p>
        </w:tc>
        <w:tc>
          <w:tcPr>
            <w:tcW w:w="5179" w:type="dxa"/>
            <w:tcBorders>
              <w:top w:val="single" w:sz="4" w:space="0" w:color="auto"/>
              <w:left w:val="single" w:sz="4" w:space="0" w:color="auto"/>
              <w:bottom w:val="single" w:sz="4" w:space="0" w:color="auto"/>
              <w:right w:val="single" w:sz="4" w:space="0" w:color="auto"/>
            </w:tcBorders>
          </w:tcPr>
          <w:p w14:paraId="302D455F" w14:textId="77777777" w:rsidR="003F7721" w:rsidRDefault="003F7721" w:rsidP="000A29C8">
            <w:r>
              <w:t xml:space="preserve">Chapter 2.2.3 Other Cases </w:t>
            </w:r>
          </w:p>
          <w:p w14:paraId="0E6F5786" w14:textId="47415381" w:rsidR="003F7721" w:rsidRDefault="003F7721" w:rsidP="000A29C8">
            <w:r>
              <w:t xml:space="preserve">Update on handling of DP and EX cases in TRACI. </w:t>
            </w:r>
          </w:p>
          <w:p w14:paraId="1062AD47" w14:textId="12069963" w:rsidR="003F7721" w:rsidRPr="00E3535B" w:rsidRDefault="003F7721" w:rsidP="003F7721">
            <w:r>
              <w:t xml:space="preserve">Update on </w:t>
            </w:r>
            <w:r w:rsidRPr="00CC631A">
              <w:t xml:space="preserve">HR Compliance cases </w:t>
            </w:r>
            <w:r>
              <w:t xml:space="preserve">categorization. </w:t>
            </w:r>
          </w:p>
        </w:tc>
      </w:tr>
      <w:tr w:rsidR="003F7721" w:rsidRPr="00CC631A" w14:paraId="62DE49D2" w14:textId="77777777" w:rsidTr="002D372E">
        <w:trPr>
          <w:trHeight w:val="1351"/>
        </w:trPr>
        <w:tc>
          <w:tcPr>
            <w:tcW w:w="2128" w:type="dxa"/>
            <w:vMerge/>
            <w:tcBorders>
              <w:left w:val="single" w:sz="4" w:space="0" w:color="auto"/>
              <w:bottom w:val="single" w:sz="4" w:space="0" w:color="auto"/>
              <w:right w:val="single" w:sz="4" w:space="0" w:color="auto"/>
            </w:tcBorders>
          </w:tcPr>
          <w:p w14:paraId="3526EF88" w14:textId="77777777" w:rsidR="003F7721" w:rsidRDefault="003F7721" w:rsidP="000A29C8"/>
        </w:tc>
        <w:tc>
          <w:tcPr>
            <w:tcW w:w="3232" w:type="dxa"/>
            <w:tcBorders>
              <w:top w:val="single" w:sz="4" w:space="0" w:color="auto"/>
              <w:left w:val="single" w:sz="4" w:space="0" w:color="auto"/>
              <w:bottom w:val="single" w:sz="4" w:space="0" w:color="auto"/>
              <w:right w:val="single" w:sz="4" w:space="0" w:color="auto"/>
            </w:tcBorders>
          </w:tcPr>
          <w:p w14:paraId="0A0E6E6A" w14:textId="39AA5276" w:rsidR="003F7721" w:rsidRPr="00E3535B" w:rsidRDefault="00911327" w:rsidP="003F7721">
            <w:pPr>
              <w:pStyle w:val="KeinAbsatzformat"/>
              <w:rPr>
                <w:rFonts w:ascii="Arial" w:hAnsi="Arial" w:cstheme="minorBidi"/>
                <w:color w:val="006487" w:themeColor="accent3"/>
                <w:sz w:val="20"/>
                <w:szCs w:val="22"/>
                <w:lang w:val="en-US"/>
              </w:rPr>
            </w:pPr>
            <w:hyperlink r:id="rId129" w:history="1">
              <w:r w:rsidR="003F7721" w:rsidRPr="001667E5">
                <w:rPr>
                  <w:rStyle w:val="Hyperlink"/>
                  <w:rFonts w:ascii="Arial" w:hAnsi="Arial" w:cstheme="minorBidi"/>
                  <w:sz w:val="20"/>
                  <w:szCs w:val="22"/>
                  <w:lang w:val="en-US"/>
                </w:rPr>
                <w:t>Part 4, M. 1. Mobility</w:t>
              </w:r>
            </w:hyperlink>
          </w:p>
          <w:p w14:paraId="31C00B2D" w14:textId="77777777" w:rsidR="003F7721" w:rsidRDefault="003F7721" w:rsidP="00CC631A"/>
        </w:tc>
        <w:tc>
          <w:tcPr>
            <w:tcW w:w="5179" w:type="dxa"/>
            <w:tcBorders>
              <w:top w:val="single" w:sz="4" w:space="0" w:color="auto"/>
              <w:left w:val="single" w:sz="4" w:space="0" w:color="auto"/>
              <w:bottom w:val="single" w:sz="4" w:space="0" w:color="auto"/>
              <w:right w:val="single" w:sz="4" w:space="0" w:color="auto"/>
            </w:tcBorders>
          </w:tcPr>
          <w:p w14:paraId="2F797DDD" w14:textId="509C1B76" w:rsidR="003F7721" w:rsidRDefault="003F7721" w:rsidP="000A29C8">
            <w:r w:rsidRPr="00E3535B">
              <w:t xml:space="preserve">Chapter 1.1.: Cooperation with Business Partners: Deviations for CDD Review </w:t>
            </w:r>
            <w:proofErr w:type="spellStart"/>
            <w:r w:rsidRPr="00E3535B">
              <w:t>und</w:t>
            </w:r>
            <w:proofErr w:type="spellEnd"/>
            <w:r w:rsidRPr="00E3535B">
              <w:t xml:space="preserve"> Approval introduced</w:t>
            </w:r>
          </w:p>
        </w:tc>
      </w:tr>
      <w:tr w:rsidR="008A0501" w:rsidRPr="00CC631A" w14:paraId="3F125C42" w14:textId="77777777" w:rsidTr="002B6909">
        <w:trPr>
          <w:trHeight w:val="3620"/>
        </w:trPr>
        <w:tc>
          <w:tcPr>
            <w:tcW w:w="2128" w:type="dxa"/>
            <w:vMerge w:val="restart"/>
            <w:tcBorders>
              <w:left w:val="single" w:sz="4" w:space="0" w:color="auto"/>
              <w:right w:val="single" w:sz="4" w:space="0" w:color="auto"/>
            </w:tcBorders>
          </w:tcPr>
          <w:p w14:paraId="767965FB" w14:textId="5B7D2141" w:rsidR="008A0501" w:rsidRDefault="008A0501" w:rsidP="000A29C8">
            <w:r>
              <w:lastRenderedPageBreak/>
              <w:t>Oct. 1, 2020</w:t>
            </w:r>
          </w:p>
        </w:tc>
        <w:tc>
          <w:tcPr>
            <w:tcW w:w="3232" w:type="dxa"/>
            <w:tcBorders>
              <w:top w:val="single" w:sz="4" w:space="0" w:color="auto"/>
              <w:left w:val="single" w:sz="4" w:space="0" w:color="auto"/>
              <w:right w:val="single" w:sz="4" w:space="0" w:color="auto"/>
            </w:tcBorders>
          </w:tcPr>
          <w:p w14:paraId="2A4A5355" w14:textId="4A09EFB1" w:rsidR="008A0501" w:rsidRDefault="008A0501" w:rsidP="00CC631A">
            <w:r w:rsidRPr="008A0501">
              <w:t>Structural amendments</w:t>
            </w:r>
          </w:p>
        </w:tc>
        <w:tc>
          <w:tcPr>
            <w:tcW w:w="5179" w:type="dxa"/>
            <w:tcBorders>
              <w:top w:val="single" w:sz="4" w:space="0" w:color="auto"/>
              <w:left w:val="single" w:sz="4" w:space="0" w:color="auto"/>
              <w:right w:val="single" w:sz="4" w:space="0" w:color="auto"/>
            </w:tcBorders>
          </w:tcPr>
          <w:p w14:paraId="74E2ABA9" w14:textId="76799C64" w:rsidR="008A0501" w:rsidRPr="008A0501" w:rsidRDefault="008A0501" w:rsidP="008A0501">
            <w:r w:rsidRPr="008A0501">
              <w:t xml:space="preserve">Due to structural changes in the Compliance Handbook, the following chapters and/or sub-chapters within received new links. </w:t>
            </w:r>
          </w:p>
          <w:p w14:paraId="36E07200" w14:textId="77777777" w:rsidR="008A0501" w:rsidRPr="008A0501" w:rsidRDefault="00911327" w:rsidP="008A0501">
            <w:hyperlink r:id="rId130" w:history="1">
              <w:r w:rsidR="008A0501" w:rsidRPr="008A0501">
                <w:rPr>
                  <w:rStyle w:val="Hyperlink"/>
                  <w:b/>
                  <w:bCs/>
                </w:rPr>
                <w:t>A. 3</w:t>
              </w:r>
              <w:r w:rsidR="008A0501" w:rsidRPr="008A0501">
                <w:rPr>
                  <w:rStyle w:val="Hyperlink"/>
                </w:rPr>
                <w:t xml:space="preserve"> Facilitation Payments</w:t>
              </w:r>
            </w:hyperlink>
          </w:p>
          <w:p w14:paraId="5B822A5D" w14:textId="77777777" w:rsidR="008A0501" w:rsidRPr="008A0501" w:rsidRDefault="00911327" w:rsidP="008A0501">
            <w:hyperlink r:id="rId131" w:history="1">
              <w:r w:rsidR="008A0501" w:rsidRPr="008A0501">
                <w:rPr>
                  <w:rStyle w:val="Hyperlink"/>
                  <w:b/>
                  <w:bCs/>
                </w:rPr>
                <w:t>A. 4</w:t>
              </w:r>
              <w:r w:rsidR="008A0501" w:rsidRPr="008A0501">
                <w:rPr>
                  <w:rStyle w:val="Hyperlink"/>
                </w:rPr>
                <w:t xml:space="preserve"> Cooperation with Business Partners</w:t>
              </w:r>
            </w:hyperlink>
            <w:r w:rsidR="008A0501" w:rsidRPr="008A0501">
              <w:t xml:space="preserve"> </w:t>
            </w:r>
          </w:p>
          <w:p w14:paraId="3615E8DC" w14:textId="77256751" w:rsidR="008A0501" w:rsidRPr="008A0501" w:rsidRDefault="00911327" w:rsidP="008A0501">
            <w:hyperlink r:id="rId132" w:history="1">
              <w:r w:rsidR="008A0501" w:rsidRPr="008A0501">
                <w:rPr>
                  <w:rStyle w:val="Hyperlink"/>
                  <w:b/>
                  <w:bCs/>
                </w:rPr>
                <w:t>A. 5</w:t>
              </w:r>
              <w:r w:rsidR="008A0501" w:rsidRPr="008A0501">
                <w:rPr>
                  <w:rStyle w:val="Hyperlink"/>
                </w:rPr>
                <w:t xml:space="preserve"> Conflict of Interest</w:t>
              </w:r>
            </w:hyperlink>
          </w:p>
          <w:p w14:paraId="7FBB28C3" w14:textId="33A4DCC7" w:rsidR="008A0501" w:rsidRPr="008A0501" w:rsidRDefault="00911327" w:rsidP="008A0501">
            <w:hyperlink r:id="rId133" w:history="1">
              <w:r w:rsidR="008A0501" w:rsidRPr="008A0501">
                <w:rPr>
                  <w:rStyle w:val="Hyperlink"/>
                  <w:b/>
                  <w:bCs/>
                </w:rPr>
                <w:t>G.</w:t>
              </w:r>
              <w:r w:rsidR="008A0501" w:rsidRPr="008A0501">
                <w:rPr>
                  <w:rStyle w:val="Hyperlink"/>
                </w:rPr>
                <w:t xml:space="preserve"> Collective Action</w:t>
              </w:r>
            </w:hyperlink>
          </w:p>
          <w:p w14:paraId="4A17CADC" w14:textId="77777777" w:rsidR="008A0501" w:rsidRPr="008A0501" w:rsidRDefault="00911327" w:rsidP="008A0501">
            <w:hyperlink r:id="rId134" w:history="1">
              <w:r w:rsidR="008A0501" w:rsidRPr="008A0501">
                <w:rPr>
                  <w:rStyle w:val="Hyperlink"/>
                  <w:b/>
                  <w:bCs/>
                </w:rPr>
                <w:t>H. 1</w:t>
              </w:r>
              <w:r w:rsidR="008A0501" w:rsidRPr="008A0501">
                <w:rPr>
                  <w:rStyle w:val="Hyperlink"/>
                </w:rPr>
                <w:t xml:space="preserve"> Compliance in Project Business</w:t>
              </w:r>
            </w:hyperlink>
          </w:p>
          <w:p w14:paraId="006BB52E" w14:textId="1464223F" w:rsidR="008A0501" w:rsidRPr="00A30B64" w:rsidRDefault="00911327" w:rsidP="002B6909">
            <w:hyperlink r:id="rId135" w:history="1">
              <w:r w:rsidR="008A0501" w:rsidRPr="008A0501">
                <w:rPr>
                  <w:rStyle w:val="Hyperlink"/>
                  <w:b/>
                  <w:bCs/>
                </w:rPr>
                <w:t>H. 8</w:t>
              </w:r>
              <w:r w:rsidR="008A0501" w:rsidRPr="008A0501">
                <w:rPr>
                  <w:rStyle w:val="Hyperlink"/>
                </w:rPr>
                <w:t xml:space="preserve"> Compliance Due Diligences and Approvals</w:t>
              </w:r>
            </w:hyperlink>
          </w:p>
        </w:tc>
      </w:tr>
      <w:tr w:rsidR="00887646" w:rsidRPr="00CC631A" w14:paraId="5AA8EFCD" w14:textId="77777777" w:rsidTr="002B6909">
        <w:trPr>
          <w:trHeight w:val="1499"/>
        </w:trPr>
        <w:tc>
          <w:tcPr>
            <w:tcW w:w="2128" w:type="dxa"/>
            <w:vMerge/>
            <w:tcBorders>
              <w:left w:val="single" w:sz="4" w:space="0" w:color="auto"/>
              <w:right w:val="single" w:sz="4" w:space="0" w:color="auto"/>
            </w:tcBorders>
          </w:tcPr>
          <w:p w14:paraId="1837B31F" w14:textId="77777777" w:rsidR="00887646" w:rsidRDefault="00887646" w:rsidP="000A29C8"/>
        </w:tc>
        <w:tc>
          <w:tcPr>
            <w:tcW w:w="3232" w:type="dxa"/>
            <w:tcBorders>
              <w:top w:val="single" w:sz="4" w:space="0" w:color="auto"/>
              <w:left w:val="single" w:sz="4" w:space="0" w:color="auto"/>
              <w:right w:val="single" w:sz="4" w:space="0" w:color="auto"/>
            </w:tcBorders>
          </w:tcPr>
          <w:p w14:paraId="2BDF637C" w14:textId="7867BF8C" w:rsidR="00887646" w:rsidRPr="008A0501" w:rsidRDefault="00911327" w:rsidP="00CC631A">
            <w:hyperlink r:id="rId136" w:history="1">
              <w:r w:rsidR="00086D24">
                <w:t>Part</w:t>
              </w:r>
              <w:r w:rsidR="00887646" w:rsidRPr="00887646">
                <w:rPr>
                  <w:rStyle w:val="Hyperlink"/>
                </w:rPr>
                <w:t xml:space="preserve"> 1 A.2. Sponsoring, Donations, Memberships</w:t>
              </w:r>
            </w:hyperlink>
          </w:p>
        </w:tc>
        <w:tc>
          <w:tcPr>
            <w:tcW w:w="5179" w:type="dxa"/>
            <w:tcBorders>
              <w:top w:val="single" w:sz="4" w:space="0" w:color="auto"/>
              <w:left w:val="single" w:sz="4" w:space="0" w:color="auto"/>
              <w:right w:val="single" w:sz="4" w:space="0" w:color="auto"/>
            </w:tcBorders>
          </w:tcPr>
          <w:p w14:paraId="1E046C6F" w14:textId="77777777" w:rsidR="00887646" w:rsidRDefault="00887646" w:rsidP="00887646">
            <w:r>
              <w:t>Revision of Danger Sign questions</w:t>
            </w:r>
          </w:p>
          <w:p w14:paraId="2AC09373" w14:textId="77777777" w:rsidR="00887646" w:rsidRPr="000D31BE" w:rsidRDefault="00887646" w:rsidP="00887646">
            <w:r w:rsidRPr="000D31BE">
              <w:t>Change of approval sequence</w:t>
            </w:r>
          </w:p>
          <w:p w14:paraId="33F860DE" w14:textId="38E5744D" w:rsidR="00887646" w:rsidRPr="008A0501" w:rsidRDefault="00887646" w:rsidP="00887646">
            <w:r w:rsidRPr="000D31BE">
              <w:t>Responsibility of Compliance in the approval process</w:t>
            </w:r>
          </w:p>
        </w:tc>
      </w:tr>
      <w:tr w:rsidR="00D96DD3" w:rsidRPr="00CC631A" w14:paraId="6463CB8A" w14:textId="77777777" w:rsidTr="00556B73">
        <w:trPr>
          <w:trHeight w:val="3478"/>
        </w:trPr>
        <w:tc>
          <w:tcPr>
            <w:tcW w:w="2128" w:type="dxa"/>
            <w:vMerge/>
            <w:tcBorders>
              <w:left w:val="single" w:sz="4" w:space="0" w:color="auto"/>
              <w:right w:val="single" w:sz="4" w:space="0" w:color="auto"/>
            </w:tcBorders>
          </w:tcPr>
          <w:p w14:paraId="69E958E1" w14:textId="77777777" w:rsidR="00D96DD3" w:rsidRDefault="00D96DD3" w:rsidP="000A29C8"/>
        </w:tc>
        <w:tc>
          <w:tcPr>
            <w:tcW w:w="3232" w:type="dxa"/>
            <w:tcBorders>
              <w:top w:val="single" w:sz="4" w:space="0" w:color="auto"/>
              <w:left w:val="single" w:sz="4" w:space="0" w:color="auto"/>
              <w:right w:val="single" w:sz="4" w:space="0" w:color="auto"/>
            </w:tcBorders>
          </w:tcPr>
          <w:p w14:paraId="38039D22" w14:textId="3776C13F" w:rsidR="00D96DD3" w:rsidRDefault="00911327" w:rsidP="00CC631A">
            <w:hyperlink r:id="rId137" w:history="1">
              <w:r w:rsidR="00D96DD3" w:rsidRPr="00EF6E8B">
                <w:rPr>
                  <w:rStyle w:val="Hyperlink"/>
                </w:rPr>
                <w:t>Part 1, A.4. Cooperation with Business Partners</w:t>
              </w:r>
            </w:hyperlink>
          </w:p>
        </w:tc>
        <w:tc>
          <w:tcPr>
            <w:tcW w:w="5179" w:type="dxa"/>
            <w:tcBorders>
              <w:top w:val="single" w:sz="4" w:space="0" w:color="auto"/>
              <w:left w:val="single" w:sz="4" w:space="0" w:color="auto"/>
              <w:right w:val="single" w:sz="4" w:space="0" w:color="auto"/>
            </w:tcBorders>
          </w:tcPr>
          <w:p w14:paraId="4D1D9D1C" w14:textId="77777777" w:rsidR="00EF6E8B" w:rsidRPr="00EF6E8B" w:rsidRDefault="00EF6E8B" w:rsidP="00EF6E8B">
            <w:pPr>
              <w:autoSpaceDE w:val="0"/>
              <w:autoSpaceDN w:val="0"/>
              <w:spacing w:line="276" w:lineRule="auto"/>
            </w:pPr>
            <w:r w:rsidRPr="003F0C7F">
              <w:t>C</w:t>
            </w:r>
            <w:r w:rsidR="00D96DD3" w:rsidRPr="00EF6E8B">
              <w:t>ompletely revised and restructured</w:t>
            </w:r>
            <w:r w:rsidRPr="003F0C7F">
              <w:t xml:space="preserve"> into </w:t>
            </w:r>
            <w:r w:rsidR="00D96DD3" w:rsidRPr="00EF6E8B">
              <w:t xml:space="preserve">three user-oriented parts </w:t>
            </w:r>
          </w:p>
          <w:p w14:paraId="710AFBD4" w14:textId="0549AB42" w:rsidR="00EF6E8B" w:rsidRPr="003F0C7F" w:rsidRDefault="00D96DD3" w:rsidP="00EF6E8B">
            <w:pPr>
              <w:autoSpaceDE w:val="0"/>
              <w:autoSpaceDN w:val="0"/>
              <w:spacing w:line="276" w:lineRule="auto"/>
              <w:rPr>
                <w:rFonts w:eastAsia="Times New Roman" w:cs="Arial"/>
                <w:szCs w:val="20"/>
              </w:rPr>
            </w:pPr>
            <w:r w:rsidRPr="00EF6E8B">
              <w:rPr>
                <w:rFonts w:eastAsia="Times New Roman" w:cs="Arial"/>
                <w:szCs w:val="20"/>
              </w:rPr>
              <w:t>Chapter: A.1., A.1.3.</w:t>
            </w:r>
            <w:r w:rsidR="00EF6E8B" w:rsidRPr="00EF6E8B">
              <w:rPr>
                <w:rFonts w:eastAsia="Times New Roman" w:cs="Arial"/>
                <w:szCs w:val="20"/>
              </w:rPr>
              <w:t>: D</w:t>
            </w:r>
            <w:r w:rsidRPr="003F0C7F">
              <w:rPr>
                <w:rFonts w:eastAsia="Times New Roman" w:cs="Arial"/>
                <w:szCs w:val="20"/>
              </w:rPr>
              <w:t xml:space="preserve">efinition of "Integrity Concern" among resellers has been rephrased. </w:t>
            </w:r>
          </w:p>
          <w:p w14:paraId="2F538CAA" w14:textId="763BADFC" w:rsidR="00EF6E8B" w:rsidRPr="00EF6E8B" w:rsidRDefault="00D96DD3" w:rsidP="00EF6E8B">
            <w:pPr>
              <w:autoSpaceDE w:val="0"/>
              <w:autoSpaceDN w:val="0"/>
              <w:spacing w:line="276" w:lineRule="auto"/>
              <w:rPr>
                <w:rFonts w:eastAsia="Times New Roman" w:cs="Arial"/>
                <w:szCs w:val="20"/>
              </w:rPr>
            </w:pPr>
            <w:r w:rsidRPr="003F0C7F">
              <w:rPr>
                <w:rFonts w:eastAsia="Times New Roman" w:cs="Arial"/>
                <w:szCs w:val="20"/>
              </w:rPr>
              <w:t>Chapter A.1.2.</w:t>
            </w:r>
            <w:r w:rsidR="00EF6E8B" w:rsidRPr="003F0C7F">
              <w:rPr>
                <w:rFonts w:eastAsia="Times New Roman" w:cs="Arial"/>
                <w:szCs w:val="20"/>
              </w:rPr>
              <w:t>: V</w:t>
            </w:r>
            <w:r w:rsidRPr="003F0C7F">
              <w:rPr>
                <w:rFonts w:eastAsia="Times New Roman" w:cs="Arial"/>
                <w:szCs w:val="20"/>
              </w:rPr>
              <w:t>arious subgroups of Non-sales related Intermediaries</w:t>
            </w:r>
            <w:r w:rsidRPr="00EF6E8B">
              <w:rPr>
                <w:rFonts w:eastAsia="Times New Roman" w:cs="Arial"/>
                <w:szCs w:val="20"/>
              </w:rPr>
              <w:t xml:space="preserve"> removed from the scope of the NextGen too</w:t>
            </w:r>
            <w:r w:rsidR="00EF6E8B" w:rsidRPr="00EF6E8B">
              <w:rPr>
                <w:rFonts w:eastAsia="Times New Roman" w:cs="Arial"/>
                <w:szCs w:val="20"/>
              </w:rPr>
              <w:t xml:space="preserve">l </w:t>
            </w:r>
          </w:p>
          <w:p w14:paraId="76F51F01" w14:textId="77777777" w:rsidR="00EF6E8B" w:rsidRPr="00EF6E8B" w:rsidRDefault="00D96DD3" w:rsidP="00EF6E8B">
            <w:pPr>
              <w:autoSpaceDE w:val="0"/>
              <w:autoSpaceDN w:val="0"/>
              <w:spacing w:line="276" w:lineRule="auto"/>
            </w:pPr>
            <w:r w:rsidRPr="00EF6E8B">
              <w:t>Chapter A.3.2.</w:t>
            </w:r>
            <w:r w:rsidR="00EF6E8B" w:rsidRPr="00EF6E8B">
              <w:t xml:space="preserve">: </w:t>
            </w:r>
            <w:r w:rsidRPr="00EF6E8B">
              <w:t xml:space="preserve">New section with </w:t>
            </w:r>
            <w:r w:rsidRPr="003F0C7F">
              <w:t>recommendation for dealing with value-add reseller</w:t>
            </w:r>
            <w:r w:rsidRPr="00EF6E8B">
              <w:t xml:space="preserve"> </w:t>
            </w:r>
          </w:p>
          <w:p w14:paraId="4A8CAB60" w14:textId="6A8E806D" w:rsidR="00EF6E8B" w:rsidRPr="00EF6E8B" w:rsidRDefault="00D96DD3" w:rsidP="00EF6E8B">
            <w:pPr>
              <w:autoSpaceDE w:val="0"/>
              <w:autoSpaceDN w:val="0"/>
              <w:spacing w:line="276" w:lineRule="auto"/>
            </w:pPr>
            <w:r w:rsidRPr="00EF6E8B">
              <w:t>Chapter: B.3.</w:t>
            </w:r>
            <w:r w:rsidR="00EF6E8B" w:rsidRPr="00EF6E8B">
              <w:t xml:space="preserve">: </w:t>
            </w:r>
            <w:r w:rsidRPr="00EF6E8B">
              <w:t>"</w:t>
            </w:r>
            <w:r w:rsidR="00EF6E8B" w:rsidRPr="00EF6E8B">
              <w:t>W</w:t>
            </w:r>
            <w:r w:rsidRPr="003F0C7F">
              <w:t>hitelisting process</w:t>
            </w:r>
            <w:r w:rsidRPr="00EF6E8B">
              <w:t xml:space="preserve">" for EPCs without Red Flags discontinued. </w:t>
            </w:r>
          </w:p>
          <w:p w14:paraId="229FEF3F" w14:textId="4F78F1CC" w:rsidR="00D96DD3" w:rsidRPr="00EF6E8B" w:rsidRDefault="00D96DD3" w:rsidP="003F0C7F">
            <w:pPr>
              <w:autoSpaceDE w:val="0"/>
              <w:autoSpaceDN w:val="0"/>
              <w:spacing w:line="276" w:lineRule="auto"/>
            </w:pPr>
            <w:r w:rsidRPr="00EF6E8B">
              <w:t>Chapter: C</w:t>
            </w:r>
            <w:r w:rsidR="00EF6E8B" w:rsidRPr="00EF6E8B">
              <w:t xml:space="preserve">: </w:t>
            </w:r>
            <w:r w:rsidRPr="003F0C7F">
              <w:t>Update of tool description</w:t>
            </w:r>
          </w:p>
          <w:p w14:paraId="7DB002AE" w14:textId="02185084" w:rsidR="00D96DD3" w:rsidRDefault="00EF6E8B" w:rsidP="00D96DD3">
            <w:r w:rsidRPr="00EF6E8B">
              <w:t xml:space="preserve">Chapter C.6.: </w:t>
            </w:r>
            <w:r w:rsidR="00D96DD3" w:rsidRPr="00EF6E8B">
              <w:t>Data retention concept added</w:t>
            </w:r>
          </w:p>
        </w:tc>
      </w:tr>
      <w:tr w:rsidR="008A0501" w:rsidRPr="00CC631A" w14:paraId="2B2AD844" w14:textId="77777777" w:rsidTr="005707AF">
        <w:trPr>
          <w:trHeight w:val="3662"/>
        </w:trPr>
        <w:tc>
          <w:tcPr>
            <w:tcW w:w="2128" w:type="dxa"/>
            <w:vMerge/>
            <w:tcBorders>
              <w:left w:val="single" w:sz="4" w:space="0" w:color="auto"/>
              <w:right w:val="single" w:sz="4" w:space="0" w:color="auto"/>
            </w:tcBorders>
          </w:tcPr>
          <w:p w14:paraId="699B74F7" w14:textId="458E2354" w:rsidR="008A0501" w:rsidRDefault="008A0501" w:rsidP="000A29C8"/>
        </w:tc>
        <w:tc>
          <w:tcPr>
            <w:tcW w:w="3232" w:type="dxa"/>
            <w:tcBorders>
              <w:top w:val="single" w:sz="4" w:space="0" w:color="auto"/>
              <w:left w:val="single" w:sz="4" w:space="0" w:color="auto"/>
              <w:right w:val="single" w:sz="4" w:space="0" w:color="auto"/>
            </w:tcBorders>
          </w:tcPr>
          <w:p w14:paraId="0BE3138E" w14:textId="0F911F5A" w:rsidR="008A0501" w:rsidRDefault="00911327" w:rsidP="00CC631A">
            <w:hyperlink r:id="rId138" w:history="1">
              <w:r w:rsidR="008A0501" w:rsidRPr="008F744E">
                <w:rPr>
                  <w:rStyle w:val="Hyperlink"/>
                </w:rPr>
                <w:t>Part 1, C. AML</w:t>
              </w:r>
            </w:hyperlink>
          </w:p>
        </w:tc>
        <w:tc>
          <w:tcPr>
            <w:tcW w:w="5179" w:type="dxa"/>
            <w:tcBorders>
              <w:top w:val="single" w:sz="4" w:space="0" w:color="auto"/>
              <w:left w:val="single" w:sz="4" w:space="0" w:color="auto"/>
              <w:right w:val="single" w:sz="4" w:space="0" w:color="auto"/>
            </w:tcBorders>
          </w:tcPr>
          <w:p w14:paraId="7745F6C2" w14:textId="1715A3C0" w:rsidR="008A0501" w:rsidRPr="00A30B64" w:rsidRDefault="008A0501" w:rsidP="001266FB">
            <w:r w:rsidRPr="00A30B64">
              <w:t xml:space="preserve">Chapter C.2. AML DD: Implementation of Fresh Eyes Project changes, Replacement of KYC-Tool process by AML DD process including direct access of Compliance Officers to ORBIS information and flexible factual clarification and assessment in absence of specific legal requirements. Handling of Red Flags in relation to German AREs by LC CO IR experts due to </w:t>
            </w:r>
            <w:proofErr w:type="gramStart"/>
            <w:r w:rsidRPr="00A30B64">
              <w:t>particular local</w:t>
            </w:r>
            <w:proofErr w:type="gramEnd"/>
            <w:r w:rsidRPr="00A30B64">
              <w:t xml:space="preserve"> law. </w:t>
            </w:r>
          </w:p>
          <w:p w14:paraId="2171F0AD" w14:textId="52185986" w:rsidR="008A0501" w:rsidRPr="00E3535B" w:rsidRDefault="008A0501" w:rsidP="00A30B64">
            <w:r w:rsidRPr="00A30B64">
              <w:t>List of AML High Risk Countries C.1.1.5. adjusted:</w:t>
            </w:r>
            <w:r>
              <w:t xml:space="preserve"> </w:t>
            </w:r>
            <w:r w:rsidRPr="00A30B64">
              <w:t>Added US Virgin Islands</w:t>
            </w:r>
          </w:p>
        </w:tc>
      </w:tr>
      <w:tr w:rsidR="008A0501" w:rsidRPr="00CC631A" w14:paraId="547404AB" w14:textId="77777777" w:rsidTr="0074049D">
        <w:trPr>
          <w:trHeight w:val="388"/>
        </w:trPr>
        <w:tc>
          <w:tcPr>
            <w:tcW w:w="2128" w:type="dxa"/>
            <w:vMerge/>
            <w:tcBorders>
              <w:left w:val="single" w:sz="4" w:space="0" w:color="auto"/>
              <w:right w:val="single" w:sz="4" w:space="0" w:color="auto"/>
            </w:tcBorders>
          </w:tcPr>
          <w:p w14:paraId="07AFC26F" w14:textId="77777777" w:rsidR="008A0501" w:rsidRDefault="008A0501" w:rsidP="000A29C8"/>
        </w:tc>
        <w:tc>
          <w:tcPr>
            <w:tcW w:w="3232" w:type="dxa"/>
            <w:tcBorders>
              <w:top w:val="single" w:sz="4" w:space="0" w:color="auto"/>
              <w:left w:val="single" w:sz="4" w:space="0" w:color="auto"/>
              <w:bottom w:val="single" w:sz="4" w:space="0" w:color="auto"/>
              <w:right w:val="single" w:sz="4" w:space="0" w:color="auto"/>
            </w:tcBorders>
          </w:tcPr>
          <w:p w14:paraId="7CC2D0B2" w14:textId="6B9583BC" w:rsidR="008A0501" w:rsidRDefault="00911327" w:rsidP="00CC631A">
            <w:hyperlink r:id="rId139" w:history="1">
              <w:r w:rsidR="008A0501" w:rsidRPr="001266FB">
                <w:rPr>
                  <w:rStyle w:val="Hyperlink"/>
                </w:rPr>
                <w:t>Part 2</w:t>
              </w:r>
              <w:r w:rsidR="00316D72">
                <w:rPr>
                  <w:rStyle w:val="Hyperlink"/>
                </w:rPr>
                <w:t>,</w:t>
              </w:r>
              <w:r w:rsidR="008A0501" w:rsidRPr="001266FB">
                <w:rPr>
                  <w:rStyle w:val="Hyperlink"/>
                </w:rPr>
                <w:t xml:space="preserve"> H.</w:t>
              </w:r>
              <w:r w:rsidR="008A0501">
                <w:rPr>
                  <w:rStyle w:val="Hyperlink"/>
                </w:rPr>
                <w:t xml:space="preserve"> </w:t>
              </w:r>
              <w:r w:rsidR="008A0501" w:rsidRPr="001266FB">
                <w:rPr>
                  <w:rStyle w:val="Hyperlink"/>
                </w:rPr>
                <w:t xml:space="preserve">1. Compliance </w:t>
              </w:r>
              <w:proofErr w:type="gramStart"/>
              <w:r w:rsidR="008A0501" w:rsidRPr="001266FB">
                <w:rPr>
                  <w:rStyle w:val="Hyperlink"/>
                </w:rPr>
                <w:t>In</w:t>
              </w:r>
              <w:proofErr w:type="gramEnd"/>
              <w:r w:rsidR="008A0501" w:rsidRPr="001266FB">
                <w:rPr>
                  <w:rStyle w:val="Hyperlink"/>
                </w:rPr>
                <w:t xml:space="preserve"> Project Business</w:t>
              </w:r>
            </w:hyperlink>
          </w:p>
        </w:tc>
        <w:tc>
          <w:tcPr>
            <w:tcW w:w="5179" w:type="dxa"/>
            <w:tcBorders>
              <w:top w:val="single" w:sz="4" w:space="0" w:color="auto"/>
              <w:left w:val="single" w:sz="4" w:space="0" w:color="auto"/>
              <w:bottom w:val="single" w:sz="4" w:space="0" w:color="auto"/>
              <w:right w:val="single" w:sz="4" w:space="0" w:color="auto"/>
            </w:tcBorders>
          </w:tcPr>
          <w:p w14:paraId="3865BB2E" w14:textId="77777777" w:rsidR="008A0501" w:rsidRPr="003A0933" w:rsidRDefault="008A0501" w:rsidP="008F744E">
            <w:r w:rsidRPr="003A0933">
              <w:t>Implementation of CMC decision (February 2020/August 2020) regarding Compliance in Project Execution (</w:t>
            </w:r>
            <w:proofErr w:type="spellStart"/>
            <w:r w:rsidRPr="003A0933">
              <w:t>CiPE</w:t>
            </w:r>
            <w:proofErr w:type="spellEnd"/>
            <w:r w:rsidRPr="003A0933">
              <w:t>)</w:t>
            </w:r>
          </w:p>
          <w:p w14:paraId="31CAACA7" w14:textId="77777777" w:rsidR="008A0501" w:rsidRPr="003A0933" w:rsidRDefault="008A0501" w:rsidP="008F744E">
            <w:r w:rsidRPr="003A0933">
              <w:t>Discontinue the mandatory use of the </w:t>
            </w:r>
            <w:hyperlink r:id="rId140" w:tgtFrame="_blank" w:history="1">
              <w:r w:rsidRPr="003A0933">
                <w:t>criteria used to identify projects in scope of the Compliance in Project Execution process</w:t>
              </w:r>
            </w:hyperlink>
            <w:r w:rsidRPr="003A0933">
              <w:t>.</w:t>
            </w:r>
          </w:p>
          <w:p w14:paraId="58CD3B97" w14:textId="3335A162" w:rsidR="008A0501" w:rsidRPr="00A30B64" w:rsidRDefault="008A0501" w:rsidP="00A30B64">
            <w:r w:rsidRPr="003A0933">
              <w:t>Instead, the responsible Compliance Officer selects projects which are relevant for the project execution process as a mandatory risk mitigation measure during the PM070 sign-off or at any point during the project execution lifecycle.</w:t>
            </w:r>
          </w:p>
        </w:tc>
      </w:tr>
      <w:tr w:rsidR="008A0501" w:rsidRPr="00CC631A" w14:paraId="6A1FA192" w14:textId="77777777" w:rsidTr="0074049D">
        <w:trPr>
          <w:trHeight w:val="220"/>
        </w:trPr>
        <w:tc>
          <w:tcPr>
            <w:tcW w:w="2128" w:type="dxa"/>
            <w:vMerge/>
            <w:tcBorders>
              <w:left w:val="single" w:sz="4" w:space="0" w:color="auto"/>
              <w:right w:val="single" w:sz="4" w:space="0" w:color="auto"/>
            </w:tcBorders>
          </w:tcPr>
          <w:p w14:paraId="476BAADC" w14:textId="77777777" w:rsidR="008A0501" w:rsidRDefault="008A0501" w:rsidP="000A29C8"/>
        </w:tc>
        <w:tc>
          <w:tcPr>
            <w:tcW w:w="3232" w:type="dxa"/>
            <w:tcBorders>
              <w:top w:val="single" w:sz="4" w:space="0" w:color="auto"/>
              <w:left w:val="single" w:sz="4" w:space="0" w:color="auto"/>
              <w:bottom w:val="single" w:sz="4" w:space="0" w:color="auto"/>
              <w:right w:val="single" w:sz="4" w:space="0" w:color="auto"/>
            </w:tcBorders>
          </w:tcPr>
          <w:p w14:paraId="0886956A" w14:textId="5A469997" w:rsidR="008A0501" w:rsidRDefault="00911327" w:rsidP="00CC631A">
            <w:hyperlink r:id="rId141" w:history="1">
              <w:r w:rsidR="008A0501" w:rsidRPr="004F219E">
                <w:rPr>
                  <w:rStyle w:val="Hyperlink"/>
                </w:rPr>
                <w:t>Part 2, H.4. Outgoing and Incoming payments</w:t>
              </w:r>
            </w:hyperlink>
          </w:p>
        </w:tc>
        <w:tc>
          <w:tcPr>
            <w:tcW w:w="5179" w:type="dxa"/>
            <w:tcBorders>
              <w:top w:val="single" w:sz="4" w:space="0" w:color="auto"/>
              <w:left w:val="single" w:sz="4" w:space="0" w:color="auto"/>
              <w:bottom w:val="single" w:sz="4" w:space="0" w:color="auto"/>
              <w:right w:val="single" w:sz="4" w:space="0" w:color="auto"/>
            </w:tcBorders>
          </w:tcPr>
          <w:p w14:paraId="2BD12499" w14:textId="77777777" w:rsidR="008A0501" w:rsidRPr="008F744E" w:rsidRDefault="008A0501" w:rsidP="008F744E">
            <w:r w:rsidRPr="008F744E">
              <w:t xml:space="preserve">New title of the Chapter (formerly </w:t>
            </w:r>
            <w:proofErr w:type="gramStart"/>
            <w:r w:rsidRPr="008F744E">
              <w:t>high risk</w:t>
            </w:r>
            <w:proofErr w:type="gramEnd"/>
            <w:r w:rsidRPr="008F744E">
              <w:t xml:space="preserve"> payment) </w:t>
            </w:r>
          </w:p>
          <w:p w14:paraId="2E1EAEAB" w14:textId="35F65142" w:rsidR="008A0501" w:rsidRPr="00A30B64" w:rsidRDefault="008A0501" w:rsidP="00A30B64">
            <w:r w:rsidRPr="008F744E">
              <w:t>New Chapter structure with specific focus on involvement of Corporate Compliance and obligations resp. contribution of Compliance Officers</w:t>
            </w:r>
          </w:p>
        </w:tc>
      </w:tr>
      <w:tr w:rsidR="008A0501" w:rsidRPr="00CC631A" w14:paraId="6B14D559" w14:textId="77777777" w:rsidTr="0074049D">
        <w:trPr>
          <w:trHeight w:val="645"/>
        </w:trPr>
        <w:tc>
          <w:tcPr>
            <w:tcW w:w="2128" w:type="dxa"/>
            <w:vMerge/>
            <w:tcBorders>
              <w:left w:val="single" w:sz="4" w:space="0" w:color="auto"/>
              <w:right w:val="single" w:sz="4" w:space="0" w:color="auto"/>
            </w:tcBorders>
          </w:tcPr>
          <w:p w14:paraId="151D69B1" w14:textId="77777777" w:rsidR="008A0501" w:rsidRDefault="008A0501" w:rsidP="000A29C8"/>
        </w:tc>
        <w:tc>
          <w:tcPr>
            <w:tcW w:w="3232" w:type="dxa"/>
            <w:tcBorders>
              <w:top w:val="single" w:sz="4" w:space="0" w:color="auto"/>
              <w:left w:val="single" w:sz="4" w:space="0" w:color="auto"/>
              <w:bottom w:val="single" w:sz="4" w:space="0" w:color="auto"/>
              <w:right w:val="single" w:sz="4" w:space="0" w:color="auto"/>
            </w:tcBorders>
          </w:tcPr>
          <w:p w14:paraId="246C55B6" w14:textId="06757706" w:rsidR="008A0501" w:rsidRDefault="00911327" w:rsidP="00CC631A">
            <w:hyperlink r:id="rId142" w:history="1">
              <w:r w:rsidR="008A0501" w:rsidRPr="001266FB">
                <w:rPr>
                  <w:rStyle w:val="Hyperlink"/>
                </w:rPr>
                <w:t xml:space="preserve">Part 2, H.6. Compliance </w:t>
              </w:r>
              <w:proofErr w:type="gramStart"/>
              <w:r w:rsidR="008A0501" w:rsidRPr="001266FB">
                <w:rPr>
                  <w:rStyle w:val="Hyperlink"/>
                </w:rPr>
                <w:t>In</w:t>
              </w:r>
              <w:proofErr w:type="gramEnd"/>
              <w:r w:rsidR="008A0501" w:rsidRPr="001266FB">
                <w:rPr>
                  <w:rStyle w:val="Hyperlink"/>
                </w:rPr>
                <w:t xml:space="preserve"> Minorities</w:t>
              </w:r>
            </w:hyperlink>
          </w:p>
        </w:tc>
        <w:tc>
          <w:tcPr>
            <w:tcW w:w="5179" w:type="dxa"/>
            <w:tcBorders>
              <w:top w:val="single" w:sz="4" w:space="0" w:color="auto"/>
              <w:left w:val="single" w:sz="4" w:space="0" w:color="auto"/>
              <w:bottom w:val="single" w:sz="4" w:space="0" w:color="auto"/>
              <w:right w:val="single" w:sz="4" w:space="0" w:color="auto"/>
            </w:tcBorders>
          </w:tcPr>
          <w:p w14:paraId="6B20F99C" w14:textId="0F254BC3" w:rsidR="008A0501" w:rsidRPr="00A30B64" w:rsidRDefault="008A0501" w:rsidP="00A30B64">
            <w:r w:rsidRPr="008F744E">
              <w:t>Responsibilities clarified</w:t>
            </w:r>
          </w:p>
        </w:tc>
      </w:tr>
      <w:tr w:rsidR="008A0501" w:rsidRPr="00CC631A" w14:paraId="1B9E613A" w14:textId="77777777" w:rsidTr="0074049D">
        <w:trPr>
          <w:trHeight w:val="928"/>
        </w:trPr>
        <w:tc>
          <w:tcPr>
            <w:tcW w:w="2128" w:type="dxa"/>
            <w:vMerge/>
            <w:tcBorders>
              <w:left w:val="single" w:sz="4" w:space="0" w:color="auto"/>
              <w:right w:val="single" w:sz="4" w:space="0" w:color="auto"/>
            </w:tcBorders>
          </w:tcPr>
          <w:p w14:paraId="5A4490E1" w14:textId="77777777" w:rsidR="008A0501" w:rsidRDefault="008A0501" w:rsidP="000A29C8"/>
        </w:tc>
        <w:tc>
          <w:tcPr>
            <w:tcW w:w="3232" w:type="dxa"/>
            <w:tcBorders>
              <w:top w:val="single" w:sz="4" w:space="0" w:color="auto"/>
              <w:left w:val="single" w:sz="4" w:space="0" w:color="auto"/>
              <w:bottom w:val="single" w:sz="4" w:space="0" w:color="auto"/>
              <w:right w:val="single" w:sz="4" w:space="0" w:color="auto"/>
            </w:tcBorders>
          </w:tcPr>
          <w:p w14:paraId="1376F13E" w14:textId="01C0F610" w:rsidR="008A0501" w:rsidRDefault="00911327" w:rsidP="00CC631A">
            <w:hyperlink r:id="rId143" w:history="1">
              <w:r w:rsidR="008A0501" w:rsidRPr="001266FB">
                <w:rPr>
                  <w:rStyle w:val="Hyperlink"/>
                </w:rPr>
                <w:t>Part 3, J.1. Training</w:t>
              </w:r>
            </w:hyperlink>
          </w:p>
        </w:tc>
        <w:tc>
          <w:tcPr>
            <w:tcW w:w="5179" w:type="dxa"/>
            <w:tcBorders>
              <w:top w:val="single" w:sz="4" w:space="0" w:color="auto"/>
              <w:left w:val="single" w:sz="4" w:space="0" w:color="auto"/>
              <w:bottom w:val="single" w:sz="4" w:space="0" w:color="auto"/>
              <w:right w:val="single" w:sz="4" w:space="0" w:color="auto"/>
            </w:tcBorders>
          </w:tcPr>
          <w:p w14:paraId="7449862F" w14:textId="77777777" w:rsidR="008A0501" w:rsidRDefault="008A0501" w:rsidP="001266FB">
            <w:r>
              <w:t xml:space="preserve">Adaptation to the structure of the </w:t>
            </w:r>
            <w:proofErr w:type="spellStart"/>
            <w:r>
              <w:t>CTCircle</w:t>
            </w:r>
            <w:proofErr w:type="spellEnd"/>
            <w:r>
              <w:t xml:space="preserve"> and addition of new processes, streamlining of the content</w:t>
            </w:r>
          </w:p>
          <w:p w14:paraId="43ADC198" w14:textId="77777777" w:rsidR="008A0501" w:rsidRPr="006075B0" w:rsidRDefault="008A0501" w:rsidP="00602D92">
            <w:pPr>
              <w:pStyle w:val="Listenabsatz"/>
              <w:numPr>
                <w:ilvl w:val="0"/>
                <w:numId w:val="32"/>
              </w:numPr>
            </w:pPr>
            <w:r w:rsidRPr="006075B0">
              <w:t>Simplification of the training obligation (global/local mandatory, optional), section 1.2.2</w:t>
            </w:r>
          </w:p>
          <w:p w14:paraId="7BE8BC42" w14:textId="77777777" w:rsidR="008A0501" w:rsidRPr="006075B0" w:rsidRDefault="008A0501" w:rsidP="00602D92">
            <w:pPr>
              <w:pStyle w:val="Listenabsatz"/>
              <w:numPr>
                <w:ilvl w:val="0"/>
                <w:numId w:val="32"/>
              </w:numPr>
            </w:pPr>
            <w:r w:rsidRPr="006075B0">
              <w:t>Reduction in CRB requirements, differentiation between Country CRB and Business CRB, section 1.2.4</w:t>
            </w:r>
          </w:p>
          <w:p w14:paraId="2A8B1A3A" w14:textId="77777777" w:rsidR="008A0501" w:rsidRPr="006075B0" w:rsidRDefault="008A0501" w:rsidP="00602D92">
            <w:pPr>
              <w:pStyle w:val="Listenabsatz"/>
              <w:numPr>
                <w:ilvl w:val="0"/>
                <w:numId w:val="32"/>
              </w:numPr>
            </w:pPr>
            <w:r w:rsidRPr="006075B0">
              <w:t>Requirements for regional training products, section 1.2.5.2</w:t>
            </w:r>
          </w:p>
          <w:p w14:paraId="55118168" w14:textId="399B478B" w:rsidR="008A0501" w:rsidRPr="00A30B64" w:rsidRDefault="008A0501" w:rsidP="00602D92">
            <w:pPr>
              <w:pStyle w:val="Listenabsatz"/>
              <w:numPr>
                <w:ilvl w:val="0"/>
                <w:numId w:val="32"/>
              </w:numPr>
            </w:pPr>
            <w:r w:rsidRPr="00B873A8">
              <w:t>Binding documentation in SABA, section 1.2.7.1</w:t>
            </w:r>
          </w:p>
        </w:tc>
      </w:tr>
      <w:tr w:rsidR="008A0501" w:rsidRPr="00CC631A" w14:paraId="5FE8494D" w14:textId="77777777" w:rsidTr="001266FB">
        <w:trPr>
          <w:trHeight w:val="837"/>
        </w:trPr>
        <w:tc>
          <w:tcPr>
            <w:tcW w:w="2128" w:type="dxa"/>
            <w:vMerge/>
            <w:tcBorders>
              <w:left w:val="single" w:sz="4" w:space="0" w:color="auto"/>
              <w:right w:val="single" w:sz="4" w:space="0" w:color="auto"/>
            </w:tcBorders>
          </w:tcPr>
          <w:p w14:paraId="478C2FFB" w14:textId="77777777" w:rsidR="008A0501" w:rsidRDefault="008A0501" w:rsidP="000A29C8"/>
        </w:tc>
        <w:tc>
          <w:tcPr>
            <w:tcW w:w="3232" w:type="dxa"/>
            <w:tcBorders>
              <w:top w:val="single" w:sz="4" w:space="0" w:color="auto"/>
              <w:left w:val="single" w:sz="4" w:space="0" w:color="auto"/>
              <w:bottom w:val="single" w:sz="4" w:space="0" w:color="auto"/>
              <w:right w:val="single" w:sz="4" w:space="0" w:color="auto"/>
            </w:tcBorders>
          </w:tcPr>
          <w:p w14:paraId="44E3CCB6" w14:textId="484F065F" w:rsidR="008A0501" w:rsidRPr="001266FB" w:rsidRDefault="00911327" w:rsidP="001266FB">
            <w:hyperlink r:id="rId144" w:history="1">
              <w:r w:rsidR="008A0501" w:rsidRPr="001266FB">
                <w:rPr>
                  <w:rStyle w:val="Hyperlink"/>
                </w:rPr>
                <w:t>Part 3, K.2. CRB</w:t>
              </w:r>
            </w:hyperlink>
          </w:p>
          <w:p w14:paraId="68198779" w14:textId="77777777" w:rsidR="008A0501" w:rsidRDefault="008A0501" w:rsidP="00CC631A"/>
        </w:tc>
        <w:tc>
          <w:tcPr>
            <w:tcW w:w="5179" w:type="dxa"/>
            <w:tcBorders>
              <w:top w:val="single" w:sz="4" w:space="0" w:color="auto"/>
              <w:left w:val="single" w:sz="4" w:space="0" w:color="auto"/>
              <w:bottom w:val="single" w:sz="4" w:space="0" w:color="auto"/>
              <w:right w:val="single" w:sz="4" w:space="0" w:color="auto"/>
            </w:tcBorders>
          </w:tcPr>
          <w:p w14:paraId="366F1E40" w14:textId="3152EF70" w:rsidR="008A0501" w:rsidRPr="00A30B64" w:rsidRDefault="008A0501" w:rsidP="00A30B64">
            <w:r>
              <w:t>Chapter 2.3. Update of mandatory content and frequency as defined in the Fresh Eyes Project</w:t>
            </w:r>
          </w:p>
        </w:tc>
      </w:tr>
      <w:tr w:rsidR="001266FB" w:rsidRPr="00CC631A" w14:paraId="0A7F6609" w14:textId="77777777" w:rsidTr="001266FB">
        <w:trPr>
          <w:trHeight w:val="837"/>
        </w:trPr>
        <w:tc>
          <w:tcPr>
            <w:tcW w:w="2128" w:type="dxa"/>
            <w:tcBorders>
              <w:left w:val="single" w:sz="4" w:space="0" w:color="auto"/>
              <w:right w:val="single" w:sz="4" w:space="0" w:color="auto"/>
            </w:tcBorders>
          </w:tcPr>
          <w:p w14:paraId="0E26C98D" w14:textId="77777777" w:rsidR="001266FB" w:rsidRDefault="001266FB" w:rsidP="000A29C8"/>
        </w:tc>
        <w:tc>
          <w:tcPr>
            <w:tcW w:w="3232" w:type="dxa"/>
            <w:tcBorders>
              <w:top w:val="single" w:sz="4" w:space="0" w:color="auto"/>
              <w:left w:val="single" w:sz="4" w:space="0" w:color="auto"/>
              <w:bottom w:val="single" w:sz="4" w:space="0" w:color="auto"/>
              <w:right w:val="single" w:sz="4" w:space="0" w:color="auto"/>
            </w:tcBorders>
          </w:tcPr>
          <w:p w14:paraId="0E7CFE44" w14:textId="752E6F93" w:rsidR="001266FB" w:rsidRDefault="00911327" w:rsidP="001266FB">
            <w:hyperlink r:id="rId145" w:history="1">
              <w:r w:rsidR="001266FB" w:rsidRPr="004F219E">
                <w:rPr>
                  <w:rStyle w:val="Hyperlink"/>
                </w:rPr>
                <w:t>Part 4, M.1. Mobility</w:t>
              </w:r>
            </w:hyperlink>
          </w:p>
          <w:p w14:paraId="010EE59E" w14:textId="77777777" w:rsidR="001266FB" w:rsidRPr="001266FB" w:rsidRDefault="001266FB" w:rsidP="001266FB"/>
        </w:tc>
        <w:tc>
          <w:tcPr>
            <w:tcW w:w="5179" w:type="dxa"/>
            <w:tcBorders>
              <w:top w:val="single" w:sz="4" w:space="0" w:color="auto"/>
              <w:left w:val="single" w:sz="4" w:space="0" w:color="auto"/>
              <w:bottom w:val="single" w:sz="4" w:space="0" w:color="auto"/>
              <w:right w:val="single" w:sz="4" w:space="0" w:color="auto"/>
            </w:tcBorders>
          </w:tcPr>
          <w:p w14:paraId="338B8523" w14:textId="2ACC59D5" w:rsidR="001266FB" w:rsidRPr="00A30B64" w:rsidRDefault="001266FB" w:rsidP="00A30B64">
            <w:r>
              <w:t>Chapter 1.2.: Export Control: Information on export control responsibilities added.</w:t>
            </w:r>
          </w:p>
        </w:tc>
      </w:tr>
      <w:tr w:rsidR="001266FB" w:rsidRPr="00CC631A" w14:paraId="154F552D" w14:textId="77777777" w:rsidTr="00FE2693">
        <w:trPr>
          <w:trHeight w:val="837"/>
        </w:trPr>
        <w:tc>
          <w:tcPr>
            <w:tcW w:w="2128" w:type="dxa"/>
            <w:tcBorders>
              <w:left w:val="single" w:sz="4" w:space="0" w:color="auto"/>
              <w:right w:val="single" w:sz="4" w:space="0" w:color="auto"/>
            </w:tcBorders>
          </w:tcPr>
          <w:p w14:paraId="414ABAA0" w14:textId="77777777" w:rsidR="001266FB" w:rsidRDefault="001266FB" w:rsidP="000A29C8"/>
        </w:tc>
        <w:tc>
          <w:tcPr>
            <w:tcW w:w="3232" w:type="dxa"/>
            <w:tcBorders>
              <w:top w:val="single" w:sz="4" w:space="0" w:color="auto"/>
              <w:left w:val="single" w:sz="4" w:space="0" w:color="auto"/>
              <w:bottom w:val="single" w:sz="4" w:space="0" w:color="auto"/>
              <w:right w:val="single" w:sz="4" w:space="0" w:color="auto"/>
            </w:tcBorders>
          </w:tcPr>
          <w:p w14:paraId="6AE65ACC" w14:textId="52BE254C" w:rsidR="001266FB" w:rsidRPr="001266FB" w:rsidRDefault="00911327" w:rsidP="001266FB">
            <w:hyperlink r:id="rId146" w:history="1">
              <w:r w:rsidR="001266FB" w:rsidRPr="004F219E">
                <w:rPr>
                  <w:rStyle w:val="Hyperlink"/>
                </w:rPr>
                <w:t>Part 4, M.2. SRE</w:t>
              </w:r>
            </w:hyperlink>
          </w:p>
        </w:tc>
        <w:tc>
          <w:tcPr>
            <w:tcW w:w="5179" w:type="dxa"/>
            <w:tcBorders>
              <w:top w:val="single" w:sz="4" w:space="0" w:color="auto"/>
              <w:left w:val="single" w:sz="4" w:space="0" w:color="auto"/>
              <w:bottom w:val="single" w:sz="4" w:space="0" w:color="auto"/>
              <w:right w:val="single" w:sz="4" w:space="0" w:color="auto"/>
            </w:tcBorders>
          </w:tcPr>
          <w:p w14:paraId="52D6613F" w14:textId="77777777" w:rsidR="001266FB" w:rsidRDefault="001266FB" w:rsidP="001266FB">
            <w:pPr>
              <w:spacing w:after="0"/>
            </w:pPr>
            <w:r w:rsidRPr="006075B0">
              <w:t xml:space="preserve">New Chapter 2, </w:t>
            </w:r>
          </w:p>
          <w:p w14:paraId="223639AD" w14:textId="055D9A50" w:rsidR="001266FB" w:rsidRPr="00A30B64" w:rsidRDefault="001266FB" w:rsidP="001266FB">
            <w:pPr>
              <w:spacing w:after="0"/>
            </w:pPr>
            <w:r w:rsidRPr="006075B0">
              <w:t>Content comes f</w:t>
            </w:r>
            <w:r>
              <w:t>ro</w:t>
            </w:r>
            <w:r w:rsidRPr="006075B0">
              <w:t xml:space="preserve">m </w:t>
            </w:r>
            <w:r>
              <w:t xml:space="preserve">former </w:t>
            </w:r>
            <w:r w:rsidRPr="006075B0">
              <w:t xml:space="preserve">SRE </w:t>
            </w:r>
            <w:proofErr w:type="spellStart"/>
            <w:r w:rsidRPr="006075B0">
              <w:t>Intranetpage</w:t>
            </w:r>
            <w:proofErr w:type="spellEnd"/>
          </w:p>
        </w:tc>
      </w:tr>
      <w:tr w:rsidR="00AC193D" w:rsidRPr="00CC631A" w14:paraId="3431912A" w14:textId="77777777" w:rsidTr="002B6909">
        <w:trPr>
          <w:trHeight w:val="402"/>
        </w:trPr>
        <w:tc>
          <w:tcPr>
            <w:tcW w:w="2128" w:type="dxa"/>
            <w:tcBorders>
              <w:left w:val="single" w:sz="4" w:space="0" w:color="auto"/>
              <w:right w:val="single" w:sz="4" w:space="0" w:color="auto"/>
            </w:tcBorders>
          </w:tcPr>
          <w:p w14:paraId="3AE23801" w14:textId="7F3679FF" w:rsidR="00AC193D" w:rsidRDefault="00AC193D" w:rsidP="000A29C8">
            <w:r>
              <w:t>Jan. 1, 202</w:t>
            </w:r>
            <w:r w:rsidR="00F74B11">
              <w:t>1</w:t>
            </w:r>
          </w:p>
        </w:tc>
        <w:tc>
          <w:tcPr>
            <w:tcW w:w="3232" w:type="dxa"/>
            <w:tcBorders>
              <w:top w:val="single" w:sz="4" w:space="0" w:color="auto"/>
              <w:left w:val="single" w:sz="4" w:space="0" w:color="auto"/>
              <w:bottom w:val="single" w:sz="4" w:space="0" w:color="auto"/>
              <w:right w:val="single" w:sz="4" w:space="0" w:color="auto"/>
            </w:tcBorders>
          </w:tcPr>
          <w:p w14:paraId="138B4ADE" w14:textId="15E4F985" w:rsidR="00AC193D" w:rsidRDefault="00911327" w:rsidP="001266FB">
            <w:hyperlink r:id="rId147" w:history="1">
              <w:r w:rsidR="00AC193D" w:rsidRPr="00D96DD3">
                <w:rPr>
                  <w:rStyle w:val="Hyperlink"/>
                </w:rPr>
                <w:t>General Introduction</w:t>
              </w:r>
            </w:hyperlink>
          </w:p>
        </w:tc>
        <w:tc>
          <w:tcPr>
            <w:tcW w:w="5179" w:type="dxa"/>
            <w:tcBorders>
              <w:top w:val="single" w:sz="4" w:space="0" w:color="auto"/>
              <w:left w:val="single" w:sz="4" w:space="0" w:color="auto"/>
              <w:bottom w:val="single" w:sz="4" w:space="0" w:color="auto"/>
              <w:right w:val="single" w:sz="4" w:space="0" w:color="auto"/>
            </w:tcBorders>
          </w:tcPr>
          <w:p w14:paraId="61C3EB95" w14:textId="647810C6" w:rsidR="00AC193D" w:rsidRPr="006075B0" w:rsidRDefault="00AC193D" w:rsidP="001266FB">
            <w:pPr>
              <w:spacing w:after="0"/>
            </w:pPr>
            <w:r>
              <w:t>White Book added</w:t>
            </w:r>
          </w:p>
        </w:tc>
      </w:tr>
      <w:tr w:rsidR="00EF6E8B" w:rsidRPr="00CC631A" w14:paraId="248A29FD" w14:textId="77777777" w:rsidTr="00FE2693">
        <w:trPr>
          <w:trHeight w:val="837"/>
        </w:trPr>
        <w:tc>
          <w:tcPr>
            <w:tcW w:w="2128" w:type="dxa"/>
            <w:tcBorders>
              <w:left w:val="single" w:sz="4" w:space="0" w:color="auto"/>
              <w:right w:val="single" w:sz="4" w:space="0" w:color="auto"/>
            </w:tcBorders>
          </w:tcPr>
          <w:p w14:paraId="247FC7CE" w14:textId="77777777" w:rsidR="00EF6E8B" w:rsidRDefault="00EF6E8B" w:rsidP="000A29C8"/>
        </w:tc>
        <w:tc>
          <w:tcPr>
            <w:tcW w:w="3232" w:type="dxa"/>
            <w:tcBorders>
              <w:top w:val="single" w:sz="4" w:space="0" w:color="auto"/>
              <w:left w:val="single" w:sz="4" w:space="0" w:color="auto"/>
              <w:bottom w:val="single" w:sz="4" w:space="0" w:color="auto"/>
              <w:right w:val="single" w:sz="4" w:space="0" w:color="auto"/>
            </w:tcBorders>
          </w:tcPr>
          <w:p w14:paraId="5520E088" w14:textId="2DA5EEF1" w:rsidR="00EF6E8B" w:rsidRDefault="00911327" w:rsidP="001266FB">
            <w:hyperlink r:id="rId148" w:history="1">
              <w:r w:rsidR="00EF6E8B" w:rsidRPr="00EF6E8B">
                <w:rPr>
                  <w:rStyle w:val="Hyperlink"/>
                </w:rPr>
                <w:t>Part 1, A.4 Cooperation with Business Partners</w:t>
              </w:r>
            </w:hyperlink>
          </w:p>
        </w:tc>
        <w:tc>
          <w:tcPr>
            <w:tcW w:w="5179" w:type="dxa"/>
            <w:tcBorders>
              <w:top w:val="single" w:sz="4" w:space="0" w:color="auto"/>
              <w:left w:val="single" w:sz="4" w:space="0" w:color="auto"/>
              <w:bottom w:val="single" w:sz="4" w:space="0" w:color="auto"/>
              <w:right w:val="single" w:sz="4" w:space="0" w:color="auto"/>
            </w:tcBorders>
          </w:tcPr>
          <w:p w14:paraId="6952B22C" w14:textId="32FCE598" w:rsidR="00EF6E8B" w:rsidRDefault="00EF6E8B" w:rsidP="003F0C7F">
            <w:pPr>
              <w:autoSpaceDE w:val="0"/>
              <w:autoSpaceDN w:val="0"/>
              <w:spacing w:line="276" w:lineRule="auto"/>
            </w:pPr>
            <w:r w:rsidRPr="00EF6E8B">
              <w:t xml:space="preserve">List of Global Business Partners added under A.4.3. </w:t>
            </w:r>
          </w:p>
        </w:tc>
      </w:tr>
      <w:tr w:rsidR="00A20ED1" w:rsidRPr="00CC631A" w14:paraId="1FF7EBB3" w14:textId="77777777" w:rsidTr="00FE2693">
        <w:trPr>
          <w:trHeight w:val="837"/>
        </w:trPr>
        <w:tc>
          <w:tcPr>
            <w:tcW w:w="2128" w:type="dxa"/>
            <w:tcBorders>
              <w:left w:val="single" w:sz="4" w:space="0" w:color="auto"/>
              <w:right w:val="single" w:sz="4" w:space="0" w:color="auto"/>
            </w:tcBorders>
          </w:tcPr>
          <w:p w14:paraId="622979AC" w14:textId="77777777" w:rsidR="00A20ED1" w:rsidRDefault="00A20ED1" w:rsidP="000A29C8"/>
        </w:tc>
        <w:tc>
          <w:tcPr>
            <w:tcW w:w="3232" w:type="dxa"/>
            <w:tcBorders>
              <w:top w:val="single" w:sz="4" w:space="0" w:color="auto"/>
              <w:left w:val="single" w:sz="4" w:space="0" w:color="auto"/>
              <w:bottom w:val="single" w:sz="4" w:space="0" w:color="auto"/>
              <w:right w:val="single" w:sz="4" w:space="0" w:color="auto"/>
            </w:tcBorders>
          </w:tcPr>
          <w:p w14:paraId="6C2D9B17" w14:textId="4E80C5C6" w:rsidR="00A20ED1" w:rsidRDefault="00911327" w:rsidP="001266FB">
            <w:hyperlink r:id="rId149" w:history="1">
              <w:r w:rsidR="00FE2693" w:rsidRPr="008F744E">
                <w:rPr>
                  <w:rStyle w:val="Hyperlink"/>
                </w:rPr>
                <w:t>Part 1, C. AML</w:t>
              </w:r>
            </w:hyperlink>
          </w:p>
        </w:tc>
        <w:tc>
          <w:tcPr>
            <w:tcW w:w="5179" w:type="dxa"/>
            <w:tcBorders>
              <w:top w:val="single" w:sz="4" w:space="0" w:color="auto"/>
              <w:left w:val="single" w:sz="4" w:space="0" w:color="auto"/>
              <w:bottom w:val="single" w:sz="4" w:space="0" w:color="auto"/>
              <w:right w:val="single" w:sz="4" w:space="0" w:color="auto"/>
            </w:tcBorders>
          </w:tcPr>
          <w:p w14:paraId="021D5A9A" w14:textId="5B7D25CE" w:rsidR="00A20ED1" w:rsidRDefault="00A20ED1" w:rsidP="00FE2693">
            <w:pPr>
              <w:spacing w:after="0"/>
            </w:pPr>
            <w:r w:rsidRPr="00FE2693">
              <w:t>List of AML High Risk Countries C.1.1.5. adjusted (deleted: Iceland)</w:t>
            </w:r>
          </w:p>
          <w:p w14:paraId="6B203AE8" w14:textId="77777777" w:rsidR="00FE2693" w:rsidRPr="00FE2693" w:rsidRDefault="00FE2693" w:rsidP="00FE2693">
            <w:pPr>
              <w:pStyle w:val="KeinAbsatzformat"/>
              <w:rPr>
                <w:lang w:val="en-US"/>
              </w:rPr>
            </w:pPr>
          </w:p>
          <w:p w14:paraId="2CA3B8DE" w14:textId="3B298051" w:rsidR="00A20ED1" w:rsidRDefault="00A20ED1" w:rsidP="00FE2693">
            <w:pPr>
              <w:spacing w:after="0"/>
            </w:pPr>
            <w:r w:rsidRPr="00FE2693">
              <w:t>Legal requirements for Lawyers and other professionals in Germany only added in German Version</w:t>
            </w:r>
          </w:p>
        </w:tc>
      </w:tr>
      <w:tr w:rsidR="00D24250" w:rsidRPr="00CC631A" w14:paraId="3E7E580E" w14:textId="77777777" w:rsidTr="00FE2693">
        <w:trPr>
          <w:trHeight w:val="837"/>
        </w:trPr>
        <w:tc>
          <w:tcPr>
            <w:tcW w:w="2128" w:type="dxa"/>
            <w:tcBorders>
              <w:left w:val="single" w:sz="4" w:space="0" w:color="auto"/>
              <w:right w:val="single" w:sz="4" w:space="0" w:color="auto"/>
            </w:tcBorders>
          </w:tcPr>
          <w:p w14:paraId="21A50A7D" w14:textId="77777777" w:rsidR="00D24250" w:rsidRDefault="00D24250" w:rsidP="000A29C8"/>
        </w:tc>
        <w:tc>
          <w:tcPr>
            <w:tcW w:w="3232" w:type="dxa"/>
            <w:tcBorders>
              <w:top w:val="single" w:sz="4" w:space="0" w:color="auto"/>
              <w:left w:val="single" w:sz="4" w:space="0" w:color="auto"/>
              <w:bottom w:val="single" w:sz="4" w:space="0" w:color="auto"/>
              <w:right w:val="single" w:sz="4" w:space="0" w:color="auto"/>
            </w:tcBorders>
          </w:tcPr>
          <w:p w14:paraId="53902AF6" w14:textId="7A84429D" w:rsidR="00D24250" w:rsidRDefault="00911327" w:rsidP="001266FB">
            <w:hyperlink r:id="rId150" w:history="1">
              <w:r w:rsidR="00FE2693" w:rsidRPr="001266FB">
                <w:rPr>
                  <w:rStyle w:val="Hyperlink"/>
                </w:rPr>
                <w:t>Part 3, J.1. Training</w:t>
              </w:r>
            </w:hyperlink>
          </w:p>
        </w:tc>
        <w:tc>
          <w:tcPr>
            <w:tcW w:w="5179" w:type="dxa"/>
            <w:tcBorders>
              <w:top w:val="single" w:sz="4" w:space="0" w:color="auto"/>
              <w:left w:val="single" w:sz="4" w:space="0" w:color="auto"/>
              <w:bottom w:val="single" w:sz="4" w:space="0" w:color="auto"/>
              <w:right w:val="single" w:sz="4" w:space="0" w:color="auto"/>
            </w:tcBorders>
          </w:tcPr>
          <w:p w14:paraId="5AFAA89C" w14:textId="77777777" w:rsidR="0081192F" w:rsidRPr="007B5D54" w:rsidRDefault="0081192F" w:rsidP="0081192F">
            <w:r w:rsidRPr="007B5D54">
              <w:t>Consideration of EX Training Audit results:</w:t>
            </w:r>
          </w:p>
          <w:p w14:paraId="5D234FC6" w14:textId="2A021974" w:rsidR="0081192F" w:rsidRPr="007B5D54" w:rsidRDefault="0081192F" w:rsidP="00FE2693">
            <w:pPr>
              <w:ind w:left="720"/>
            </w:pPr>
            <w:r w:rsidRPr="007B5D54">
              <w:t xml:space="preserve">- Invitation of new employees in CO-relevant functions to mandatory training within 3 months, </w:t>
            </w:r>
          </w:p>
          <w:p w14:paraId="2EB8365F" w14:textId="3BFA3AC3" w:rsidR="0081192F" w:rsidRDefault="0081192F" w:rsidP="00FE2693">
            <w:pPr>
              <w:ind w:left="720"/>
            </w:pPr>
            <w:r w:rsidRPr="007B5D54">
              <w:t>- Use of alternative training formats in case of missing language versions of mandatory trainings</w:t>
            </w:r>
          </w:p>
          <w:p w14:paraId="6C0AB360" w14:textId="7AC702AD" w:rsidR="0081192F" w:rsidRPr="00BC331F" w:rsidRDefault="0081192F" w:rsidP="00FE2693">
            <w:pPr>
              <w:ind w:left="720"/>
            </w:pPr>
            <w:r>
              <w:t xml:space="preserve">- </w:t>
            </w:r>
            <w:r w:rsidRPr="007B5D54">
              <w:t xml:space="preserve">Annual review process </w:t>
            </w:r>
          </w:p>
          <w:p w14:paraId="7190540C" w14:textId="788388EC" w:rsidR="0081192F" w:rsidRPr="00FE2693" w:rsidRDefault="0081192F" w:rsidP="0081192F">
            <w:pPr>
              <w:pStyle w:val="KeinAbsatzformat"/>
              <w:ind w:left="4"/>
              <w:rPr>
                <w:rFonts w:ascii="Arial" w:hAnsi="Arial" w:cstheme="minorBidi"/>
                <w:color w:val="006487" w:themeColor="accent3"/>
                <w:sz w:val="20"/>
                <w:szCs w:val="22"/>
                <w:lang w:val="en-US"/>
              </w:rPr>
            </w:pPr>
            <w:r>
              <w:rPr>
                <w:rFonts w:ascii="Arial" w:hAnsi="Arial" w:cstheme="minorBidi"/>
                <w:color w:val="006487" w:themeColor="accent3"/>
                <w:sz w:val="20"/>
                <w:szCs w:val="22"/>
                <w:lang w:val="en-US"/>
              </w:rPr>
              <w:t>C</w:t>
            </w:r>
            <w:r w:rsidRPr="00FE2693">
              <w:rPr>
                <w:rFonts w:ascii="Arial" w:hAnsi="Arial" w:cstheme="minorBidi"/>
                <w:color w:val="006487" w:themeColor="accent3"/>
                <w:sz w:val="20"/>
                <w:szCs w:val="22"/>
                <w:lang w:val="en-US"/>
              </w:rPr>
              <w:t>oncretization of training processes:</w:t>
            </w:r>
          </w:p>
          <w:p w14:paraId="48F53909" w14:textId="77777777" w:rsidR="0081192F" w:rsidRPr="00FE2693" w:rsidRDefault="0081192F" w:rsidP="0081192F">
            <w:pPr>
              <w:pStyle w:val="KeinAbsatzformat"/>
              <w:ind w:left="4"/>
              <w:rPr>
                <w:rFonts w:ascii="Arial" w:hAnsi="Arial" w:cstheme="minorBidi"/>
                <w:color w:val="006487" w:themeColor="accent3"/>
                <w:sz w:val="20"/>
                <w:szCs w:val="22"/>
                <w:lang w:val="en-US"/>
              </w:rPr>
            </w:pPr>
          </w:p>
          <w:p w14:paraId="0299DEAC" w14:textId="41AEBD59" w:rsidR="0081192F" w:rsidRPr="00FE2693" w:rsidRDefault="0081192F" w:rsidP="00FE2693">
            <w:pPr>
              <w:pStyle w:val="KeinAbsatzformat"/>
              <w:ind w:left="720"/>
              <w:rPr>
                <w:rFonts w:ascii="Arial" w:hAnsi="Arial" w:cstheme="minorBidi"/>
                <w:color w:val="006487" w:themeColor="accent3"/>
                <w:sz w:val="20"/>
                <w:szCs w:val="22"/>
                <w:lang w:val="en-US"/>
              </w:rPr>
            </w:pPr>
            <w:r w:rsidRPr="00FE2693">
              <w:rPr>
                <w:rFonts w:ascii="Arial" w:hAnsi="Arial" w:cstheme="minorBidi"/>
                <w:color w:val="006487" w:themeColor="accent3"/>
                <w:sz w:val="20"/>
                <w:szCs w:val="22"/>
                <w:lang w:val="en-US"/>
              </w:rPr>
              <w:t>- Update of the list of training products</w:t>
            </w:r>
          </w:p>
          <w:p w14:paraId="142FCFE1" w14:textId="77777777" w:rsidR="0081192F" w:rsidRDefault="0081192F" w:rsidP="00FE2693">
            <w:pPr>
              <w:pStyle w:val="KeinAbsatzformat"/>
              <w:ind w:left="720"/>
              <w:rPr>
                <w:rFonts w:ascii="Arial" w:hAnsi="Arial" w:cstheme="minorBidi"/>
                <w:color w:val="006487" w:themeColor="accent3"/>
                <w:sz w:val="20"/>
                <w:szCs w:val="22"/>
                <w:lang w:val="en-US"/>
              </w:rPr>
            </w:pPr>
            <w:r w:rsidRPr="00FE2693">
              <w:rPr>
                <w:rFonts w:ascii="Arial" w:hAnsi="Arial" w:cstheme="minorBidi"/>
                <w:color w:val="006487" w:themeColor="accent3"/>
                <w:sz w:val="20"/>
                <w:szCs w:val="22"/>
                <w:lang w:val="en-US"/>
              </w:rPr>
              <w:t>- Connection of technically not integrated employees to SABA within 3 months</w:t>
            </w:r>
          </w:p>
          <w:p w14:paraId="5CCCF921" w14:textId="3A0489E8" w:rsidR="00D24250" w:rsidRPr="00FE2693" w:rsidRDefault="0081192F" w:rsidP="00FE2693">
            <w:pPr>
              <w:pStyle w:val="KeinAbsatzformat"/>
              <w:ind w:left="720"/>
              <w:rPr>
                <w:rFonts w:ascii="Arial" w:hAnsi="Arial" w:cs="Arial"/>
                <w:color w:val="000000" w:themeColor="text1"/>
                <w:spacing w:val="-1"/>
                <w:sz w:val="20"/>
                <w:szCs w:val="20"/>
                <w:lang w:val="en-US"/>
              </w:rPr>
            </w:pPr>
            <w:r w:rsidRPr="00FE2693">
              <w:rPr>
                <w:rFonts w:ascii="Arial" w:hAnsi="Arial" w:cstheme="minorBidi"/>
                <w:color w:val="006487" w:themeColor="accent3"/>
                <w:sz w:val="20"/>
                <w:szCs w:val="22"/>
                <w:lang w:val="en-US"/>
              </w:rPr>
              <w:t>- Inclusion of onboarding checklist and buddy concept for new CO employees</w:t>
            </w:r>
          </w:p>
        </w:tc>
      </w:tr>
      <w:tr w:rsidR="00D24250" w:rsidRPr="00CC631A" w14:paraId="7E75D9F5" w14:textId="77777777" w:rsidTr="00F74B11">
        <w:trPr>
          <w:trHeight w:val="837"/>
        </w:trPr>
        <w:tc>
          <w:tcPr>
            <w:tcW w:w="2128" w:type="dxa"/>
            <w:tcBorders>
              <w:left w:val="single" w:sz="4" w:space="0" w:color="auto"/>
              <w:right w:val="single" w:sz="4" w:space="0" w:color="auto"/>
            </w:tcBorders>
          </w:tcPr>
          <w:p w14:paraId="7B37467B" w14:textId="77777777" w:rsidR="00D24250" w:rsidRDefault="00D24250" w:rsidP="000A29C8"/>
        </w:tc>
        <w:tc>
          <w:tcPr>
            <w:tcW w:w="3232" w:type="dxa"/>
            <w:tcBorders>
              <w:top w:val="single" w:sz="4" w:space="0" w:color="auto"/>
              <w:left w:val="single" w:sz="4" w:space="0" w:color="auto"/>
              <w:bottom w:val="single" w:sz="4" w:space="0" w:color="auto"/>
              <w:right w:val="single" w:sz="4" w:space="0" w:color="auto"/>
            </w:tcBorders>
          </w:tcPr>
          <w:p w14:paraId="1297E668" w14:textId="3EFC6ECE" w:rsidR="00D24250" w:rsidRDefault="00911327" w:rsidP="001266FB">
            <w:hyperlink r:id="rId151" w:history="1">
              <w:r w:rsidR="00FE2693" w:rsidRPr="004F219E">
                <w:rPr>
                  <w:rStyle w:val="Hyperlink"/>
                </w:rPr>
                <w:t>Part 4, M.2. SRE</w:t>
              </w:r>
            </w:hyperlink>
          </w:p>
        </w:tc>
        <w:tc>
          <w:tcPr>
            <w:tcW w:w="5179" w:type="dxa"/>
            <w:tcBorders>
              <w:top w:val="single" w:sz="4" w:space="0" w:color="auto"/>
              <w:left w:val="single" w:sz="4" w:space="0" w:color="auto"/>
              <w:bottom w:val="single" w:sz="4" w:space="0" w:color="auto"/>
              <w:right w:val="single" w:sz="4" w:space="0" w:color="auto"/>
            </w:tcBorders>
          </w:tcPr>
          <w:p w14:paraId="0A378192" w14:textId="77777777" w:rsidR="00D24250" w:rsidRPr="00A30AA2" w:rsidRDefault="00D24250" w:rsidP="00FE2693">
            <w:r w:rsidRPr="00A30AA2">
              <w:t>Revision of the texts and adaptation of the CRE description</w:t>
            </w:r>
          </w:p>
          <w:p w14:paraId="686ED1DC" w14:textId="0E72715E" w:rsidR="00D24250" w:rsidRPr="00694F8F" w:rsidRDefault="00D24250" w:rsidP="00FE2693">
            <w:pPr>
              <w:pStyle w:val="TableParagraph"/>
              <w:spacing w:line="276" w:lineRule="auto"/>
              <w:rPr>
                <w:rFonts w:ascii="Arial" w:hAnsi="Arial" w:cs="Arial"/>
                <w:color w:val="000000" w:themeColor="text1"/>
                <w:spacing w:val="-1"/>
                <w:sz w:val="20"/>
                <w:szCs w:val="20"/>
              </w:rPr>
            </w:pPr>
            <w:r w:rsidRPr="0073037C">
              <w:rPr>
                <w:rFonts w:ascii="Arial" w:hAnsi="Arial"/>
                <w:sz w:val="20"/>
              </w:rPr>
              <w:t>Particularities for the prevention of money laundering (AML) in SRE</w:t>
            </w:r>
          </w:p>
        </w:tc>
      </w:tr>
      <w:tr w:rsidR="00F74B11" w:rsidRPr="00F74B11" w14:paraId="44D7B798" w14:textId="77777777" w:rsidTr="002B6909">
        <w:trPr>
          <w:trHeight w:val="866"/>
        </w:trPr>
        <w:tc>
          <w:tcPr>
            <w:tcW w:w="2128" w:type="dxa"/>
            <w:tcBorders>
              <w:left w:val="single" w:sz="4" w:space="0" w:color="auto"/>
              <w:right w:val="single" w:sz="4" w:space="0" w:color="auto"/>
            </w:tcBorders>
          </w:tcPr>
          <w:p w14:paraId="09D55330" w14:textId="77777777" w:rsidR="00F74B11" w:rsidRDefault="00F74B11" w:rsidP="000A29C8"/>
        </w:tc>
        <w:tc>
          <w:tcPr>
            <w:tcW w:w="3232" w:type="dxa"/>
            <w:tcBorders>
              <w:top w:val="single" w:sz="4" w:space="0" w:color="auto"/>
              <w:left w:val="single" w:sz="4" w:space="0" w:color="auto"/>
              <w:bottom w:val="single" w:sz="4" w:space="0" w:color="auto"/>
              <w:right w:val="single" w:sz="4" w:space="0" w:color="auto"/>
            </w:tcBorders>
          </w:tcPr>
          <w:p w14:paraId="57E50252" w14:textId="5D141D45" w:rsidR="00F74B11" w:rsidRPr="00F74B11" w:rsidRDefault="00911327" w:rsidP="001266FB">
            <w:pPr>
              <w:rPr>
                <w:lang w:val="fr-FR"/>
              </w:rPr>
            </w:pPr>
            <w:hyperlink r:id="rId152" w:history="1">
              <w:r w:rsidR="00F74B11" w:rsidRPr="00F74B11">
                <w:rPr>
                  <w:rStyle w:val="Hyperlink"/>
                  <w:lang w:val="fr-FR"/>
                </w:rPr>
                <w:t>Part 4, M.</w:t>
              </w:r>
              <w:r w:rsidR="00F74B11">
                <w:rPr>
                  <w:rStyle w:val="Hyperlink"/>
                  <w:lang w:val="fr-FR"/>
                </w:rPr>
                <w:t>3</w:t>
              </w:r>
              <w:r w:rsidR="00F74B11" w:rsidRPr="00F74B11">
                <w:rPr>
                  <w:rStyle w:val="Hyperlink"/>
                  <w:lang w:val="fr-FR"/>
                </w:rPr>
                <w:t xml:space="preserve">. Siemens </w:t>
              </w:r>
              <w:proofErr w:type="spellStart"/>
              <w:r w:rsidR="00F74B11" w:rsidRPr="00F74B11">
                <w:rPr>
                  <w:rStyle w:val="Hyperlink"/>
                  <w:lang w:val="fr-FR"/>
                </w:rPr>
                <w:t>Logistics</w:t>
              </w:r>
              <w:proofErr w:type="spellEnd"/>
              <w:r w:rsidR="00F74B11" w:rsidRPr="00F74B11">
                <w:rPr>
                  <w:rStyle w:val="Hyperlink"/>
                  <w:lang w:val="fr-FR"/>
                </w:rPr>
                <w:t xml:space="preserve"> (SL)</w:t>
              </w:r>
            </w:hyperlink>
          </w:p>
        </w:tc>
        <w:tc>
          <w:tcPr>
            <w:tcW w:w="5179" w:type="dxa"/>
            <w:tcBorders>
              <w:top w:val="single" w:sz="4" w:space="0" w:color="auto"/>
              <w:left w:val="single" w:sz="4" w:space="0" w:color="auto"/>
              <w:bottom w:val="single" w:sz="4" w:space="0" w:color="auto"/>
              <w:right w:val="single" w:sz="4" w:space="0" w:color="auto"/>
            </w:tcBorders>
          </w:tcPr>
          <w:p w14:paraId="0796F23D" w14:textId="7FEA5A6B" w:rsidR="00F74B11" w:rsidRPr="00F74B11" w:rsidRDefault="00F74B11" w:rsidP="00FE2693">
            <w:r w:rsidRPr="00F74B11">
              <w:t>Initial Integration of SL s</w:t>
            </w:r>
            <w:r>
              <w:t>pecific instructions.</w:t>
            </w:r>
          </w:p>
        </w:tc>
      </w:tr>
      <w:tr w:rsidR="00EF6E8B" w:rsidRPr="00F74B11" w14:paraId="777B28DD" w14:textId="77777777" w:rsidTr="007E63A5">
        <w:trPr>
          <w:trHeight w:val="837"/>
        </w:trPr>
        <w:tc>
          <w:tcPr>
            <w:tcW w:w="2128" w:type="dxa"/>
            <w:tcBorders>
              <w:left w:val="single" w:sz="4" w:space="0" w:color="auto"/>
              <w:right w:val="single" w:sz="4" w:space="0" w:color="auto"/>
            </w:tcBorders>
          </w:tcPr>
          <w:p w14:paraId="154BD529" w14:textId="0C6AACD9" w:rsidR="00EF6E8B" w:rsidRDefault="003F0C7F" w:rsidP="000A29C8">
            <w:r>
              <w:t>April 1, 2021</w:t>
            </w:r>
          </w:p>
        </w:tc>
        <w:tc>
          <w:tcPr>
            <w:tcW w:w="3232" w:type="dxa"/>
            <w:tcBorders>
              <w:top w:val="single" w:sz="4" w:space="0" w:color="auto"/>
              <w:left w:val="single" w:sz="4" w:space="0" w:color="auto"/>
              <w:bottom w:val="single" w:sz="4" w:space="0" w:color="auto"/>
              <w:right w:val="single" w:sz="4" w:space="0" w:color="auto"/>
            </w:tcBorders>
          </w:tcPr>
          <w:p w14:paraId="193D32EE" w14:textId="7049214D" w:rsidR="00EF6E8B" w:rsidRDefault="00911327" w:rsidP="001266FB">
            <w:hyperlink r:id="rId153" w:history="1">
              <w:r w:rsidR="00EF6E8B" w:rsidRPr="00EF6E8B">
                <w:rPr>
                  <w:rStyle w:val="Hyperlink"/>
                </w:rPr>
                <w:t>Part 1, A.4 Cooperation with Business Partners</w:t>
              </w:r>
            </w:hyperlink>
          </w:p>
        </w:tc>
        <w:tc>
          <w:tcPr>
            <w:tcW w:w="5179" w:type="dxa"/>
            <w:tcBorders>
              <w:top w:val="single" w:sz="4" w:space="0" w:color="auto"/>
              <w:left w:val="single" w:sz="4" w:space="0" w:color="auto"/>
              <w:bottom w:val="single" w:sz="4" w:space="0" w:color="auto"/>
              <w:right w:val="single" w:sz="4" w:space="0" w:color="auto"/>
            </w:tcBorders>
          </w:tcPr>
          <w:p w14:paraId="5BD78E4E" w14:textId="799629B9" w:rsidR="00EF6E8B" w:rsidRPr="00F74B11" w:rsidRDefault="00EF6E8B" w:rsidP="00EF6E8B">
            <w:r w:rsidRPr="00EF6E8B">
              <w:t xml:space="preserve">A.4.3. </w:t>
            </w:r>
            <w:r w:rsidR="002B6909">
              <w:t xml:space="preserve">List of </w:t>
            </w:r>
            <w:r w:rsidRPr="00EF6E8B">
              <w:t xml:space="preserve">Global Business Partner </w:t>
            </w:r>
            <w:r w:rsidR="002B6909">
              <w:t>updated</w:t>
            </w:r>
          </w:p>
        </w:tc>
      </w:tr>
      <w:tr w:rsidR="007E63A5" w:rsidRPr="00F74B11" w14:paraId="21A9263F" w14:textId="77777777" w:rsidTr="003F0C7F">
        <w:trPr>
          <w:trHeight w:val="837"/>
        </w:trPr>
        <w:tc>
          <w:tcPr>
            <w:tcW w:w="2128" w:type="dxa"/>
            <w:tcBorders>
              <w:left w:val="single" w:sz="4" w:space="0" w:color="auto"/>
              <w:right w:val="single" w:sz="4" w:space="0" w:color="auto"/>
            </w:tcBorders>
          </w:tcPr>
          <w:p w14:paraId="1CA5D1B4" w14:textId="56865969" w:rsidR="007E63A5" w:rsidRDefault="007E63A5" w:rsidP="000A29C8"/>
        </w:tc>
        <w:tc>
          <w:tcPr>
            <w:tcW w:w="3232" w:type="dxa"/>
            <w:tcBorders>
              <w:top w:val="single" w:sz="4" w:space="0" w:color="auto"/>
              <w:left w:val="single" w:sz="4" w:space="0" w:color="auto"/>
              <w:bottom w:val="single" w:sz="4" w:space="0" w:color="auto"/>
              <w:right w:val="single" w:sz="4" w:space="0" w:color="auto"/>
            </w:tcBorders>
          </w:tcPr>
          <w:p w14:paraId="206A9C91" w14:textId="3712B334" w:rsidR="007E63A5" w:rsidRDefault="00911327" w:rsidP="001266FB">
            <w:hyperlink r:id="rId154" w:history="1">
              <w:r w:rsidR="00D96DD3" w:rsidRPr="008F744E">
                <w:rPr>
                  <w:rStyle w:val="Hyperlink"/>
                </w:rPr>
                <w:t>Part 1, C. AML</w:t>
              </w:r>
            </w:hyperlink>
          </w:p>
        </w:tc>
        <w:tc>
          <w:tcPr>
            <w:tcW w:w="5179" w:type="dxa"/>
            <w:tcBorders>
              <w:top w:val="single" w:sz="4" w:space="0" w:color="auto"/>
              <w:left w:val="single" w:sz="4" w:space="0" w:color="auto"/>
              <w:bottom w:val="single" w:sz="4" w:space="0" w:color="auto"/>
              <w:right w:val="single" w:sz="4" w:space="0" w:color="auto"/>
            </w:tcBorders>
          </w:tcPr>
          <w:p w14:paraId="350526AA" w14:textId="1B974EA1" w:rsidR="007E63A5" w:rsidRPr="00F74B11" w:rsidRDefault="00D96DD3" w:rsidP="003F0C7F">
            <w:pPr>
              <w:spacing w:after="0"/>
            </w:pPr>
            <w:r w:rsidRPr="00FE2693">
              <w:t xml:space="preserve">List of AML High Risk Countries C.1.1.5. adjusted (deleted: </w:t>
            </w:r>
            <w:r>
              <w:t>Mongolia</w:t>
            </w:r>
            <w:r w:rsidRPr="00FE2693">
              <w:t>)</w:t>
            </w:r>
          </w:p>
        </w:tc>
      </w:tr>
      <w:tr w:rsidR="007E63A5" w:rsidRPr="00F74B11" w14:paraId="6B558245" w14:textId="77777777" w:rsidTr="0074049D">
        <w:trPr>
          <w:trHeight w:val="837"/>
        </w:trPr>
        <w:tc>
          <w:tcPr>
            <w:tcW w:w="2128" w:type="dxa"/>
            <w:tcBorders>
              <w:left w:val="single" w:sz="4" w:space="0" w:color="auto"/>
              <w:bottom w:val="single" w:sz="4" w:space="0" w:color="auto"/>
              <w:right w:val="single" w:sz="4" w:space="0" w:color="auto"/>
            </w:tcBorders>
          </w:tcPr>
          <w:p w14:paraId="124BDFB5" w14:textId="77777777" w:rsidR="007E63A5" w:rsidRDefault="007E63A5" w:rsidP="000A29C8"/>
        </w:tc>
        <w:tc>
          <w:tcPr>
            <w:tcW w:w="3232" w:type="dxa"/>
            <w:tcBorders>
              <w:top w:val="single" w:sz="4" w:space="0" w:color="auto"/>
              <w:left w:val="single" w:sz="4" w:space="0" w:color="auto"/>
              <w:bottom w:val="single" w:sz="4" w:space="0" w:color="auto"/>
              <w:right w:val="single" w:sz="4" w:space="0" w:color="auto"/>
            </w:tcBorders>
          </w:tcPr>
          <w:p w14:paraId="03D1CB38" w14:textId="47A33852" w:rsidR="007E63A5" w:rsidRDefault="00911327" w:rsidP="001266FB">
            <w:hyperlink r:id="rId155" w:history="1">
              <w:r w:rsidR="007E63A5" w:rsidRPr="00BC53E3">
                <w:rPr>
                  <w:rStyle w:val="Hyperlink"/>
                </w:rPr>
                <w:t>Part 3, L.8 Data deletion and retention</w:t>
              </w:r>
            </w:hyperlink>
          </w:p>
        </w:tc>
        <w:tc>
          <w:tcPr>
            <w:tcW w:w="5179" w:type="dxa"/>
            <w:tcBorders>
              <w:top w:val="single" w:sz="4" w:space="0" w:color="auto"/>
              <w:left w:val="single" w:sz="4" w:space="0" w:color="auto"/>
              <w:bottom w:val="single" w:sz="4" w:space="0" w:color="auto"/>
              <w:right w:val="single" w:sz="4" w:space="0" w:color="auto"/>
            </w:tcBorders>
          </w:tcPr>
          <w:p w14:paraId="226DDA1E" w14:textId="28151628" w:rsidR="007E63A5" w:rsidRPr="00F74B11" w:rsidRDefault="007E63A5" w:rsidP="00FE2693">
            <w:r w:rsidRPr="00CA1820">
              <w:rPr>
                <w:rFonts w:cs="Arial"/>
              </w:rPr>
              <w:t>New Chapter L.8: Transition and consolidation of key Compliance Case handling regulations from the "Data deletion and retention policy"; concurrently: repeal of th</w:t>
            </w:r>
            <w:r w:rsidR="00002900">
              <w:rPr>
                <w:rFonts w:cs="Arial"/>
              </w:rPr>
              <w:t xml:space="preserve">is </w:t>
            </w:r>
            <w:r w:rsidRPr="00CA1820">
              <w:rPr>
                <w:rFonts w:cs="Arial"/>
              </w:rPr>
              <w:t>policy</w:t>
            </w:r>
          </w:p>
        </w:tc>
      </w:tr>
    </w:tbl>
    <w:p w14:paraId="49EA51C8" w14:textId="77777777" w:rsidR="004439DB" w:rsidRPr="00F74B11" w:rsidRDefault="004439DB" w:rsidP="004E5844"/>
    <w:p w14:paraId="44F3F33D" w14:textId="2F9571D1" w:rsidR="004439DB" w:rsidRPr="00F74B11" w:rsidRDefault="004439DB" w:rsidP="004E5844">
      <w:pPr>
        <w:spacing w:after="200" w:line="276" w:lineRule="auto"/>
        <w:rPr>
          <w:rFonts w:ascii="MinionPro-Regular" w:hAnsi="MinionPro-Regular" w:cs="MinionPro-Regular"/>
          <w:color w:val="000000"/>
          <w:sz w:val="24"/>
          <w:szCs w:val="24"/>
        </w:rPr>
      </w:pPr>
      <w:r w:rsidRPr="00F74B11">
        <w:br w:type="page"/>
      </w:r>
    </w:p>
    <w:p w14:paraId="49B5076A" w14:textId="5A570B72" w:rsidR="004439DB" w:rsidRPr="004E5844" w:rsidRDefault="00550C2E" w:rsidP="00BE15C9">
      <w:pPr>
        <w:pStyle w:val="berschrift2"/>
        <w:numPr>
          <w:ilvl w:val="0"/>
          <w:numId w:val="0"/>
        </w:numPr>
        <w:spacing w:after="120"/>
        <w:rPr>
          <w:sz w:val="52"/>
        </w:rPr>
      </w:pPr>
      <w:r>
        <w:rPr>
          <w:sz w:val="52"/>
        </w:rPr>
        <w:lastRenderedPageBreak/>
        <w:t>3</w:t>
      </w:r>
      <w:r w:rsidR="004439DB" w:rsidRPr="004E5844">
        <w:rPr>
          <w:sz w:val="52"/>
        </w:rPr>
        <w:t>.2. Instructions for authors</w:t>
      </w:r>
    </w:p>
    <w:p w14:paraId="746B311A" w14:textId="77777777" w:rsidR="00AC193D" w:rsidRDefault="004439DB" w:rsidP="00FE2693">
      <w:pPr>
        <w:pStyle w:val="Textkrper"/>
      </w:pPr>
      <w:r w:rsidRPr="006566CF">
        <w:t>The Compli</w:t>
      </w:r>
      <w:r>
        <w:t>a</w:t>
      </w:r>
      <w:r w:rsidRPr="006566CF">
        <w:t>nce Handbook includes a</w:t>
      </w:r>
      <w:r>
        <w:t xml:space="preserve">ll regulatory direction with view to our Siemens Compliance System. </w:t>
      </w:r>
    </w:p>
    <w:p w14:paraId="0C0502FC" w14:textId="77777777" w:rsidR="00AC193D" w:rsidRDefault="004439DB" w:rsidP="00FE2693">
      <w:pPr>
        <w:pStyle w:val="Textkrper"/>
      </w:pPr>
      <w:r>
        <w:t xml:space="preserve">Due to the changing environment and emerging risks, we need to update and adjust our regulations continuously to fit the new requirements and cover the risks. </w:t>
      </w:r>
    </w:p>
    <w:p w14:paraId="1AB7A1E1" w14:textId="77777777" w:rsidR="00AC193D" w:rsidRDefault="004439DB" w:rsidP="00FE2693">
      <w:pPr>
        <w:pStyle w:val="Textkrper"/>
      </w:pPr>
      <w:r>
        <w:t xml:space="preserve">A Change Management Process for adjustments in the regulations contained In the Compliance Handbook has been established. All content owners and authors are required to adhere to the instructions given in the following section. </w:t>
      </w:r>
    </w:p>
    <w:p w14:paraId="2098BEEE" w14:textId="4D29224F" w:rsidR="004439DB" w:rsidRPr="00E36E93" w:rsidRDefault="00550C2E" w:rsidP="004E5844">
      <w:pPr>
        <w:pStyle w:val="berschrift4"/>
      </w:pPr>
      <w:r>
        <w:t>3</w:t>
      </w:r>
      <w:r w:rsidR="004439DB">
        <w:t xml:space="preserve">.2.1. Change Management </w:t>
      </w:r>
    </w:p>
    <w:p w14:paraId="0CD81562" w14:textId="77777777" w:rsidR="00AC193D" w:rsidRDefault="004439DB" w:rsidP="00FE2693">
      <w:pPr>
        <w:pStyle w:val="Listenfortsetzung"/>
      </w:pPr>
      <w:r w:rsidRPr="00C768BC">
        <w:t xml:space="preserve">All change requests and / or development proposals to Siemens Compliance System must undergo the </w:t>
      </w:r>
      <w:hyperlink r:id="rId156" w:history="1">
        <w:r w:rsidRPr="003047FB">
          <w:rPr>
            <w:rStyle w:val="Hyperlink"/>
          </w:rPr>
          <w:t>Compliance Portfolio Management process</w:t>
        </w:r>
      </w:hyperlink>
      <w:r w:rsidRPr="00C768BC">
        <w:t>.</w:t>
      </w:r>
    </w:p>
    <w:p w14:paraId="4FDDC268" w14:textId="77777777" w:rsidR="00AC193D" w:rsidRDefault="004439DB" w:rsidP="00FE2693">
      <w:pPr>
        <w:pStyle w:val="Listenfortsetzung"/>
      </w:pPr>
      <w:r w:rsidRPr="00C768BC">
        <w:t xml:space="preserve">Certain change requests may be approved for release </w:t>
      </w:r>
      <w:r>
        <w:t>by the respective coordinator</w:t>
      </w:r>
      <w:r w:rsidRPr="00C768BC">
        <w:t xml:space="preserve"> if they have a minor impact to the Siemens Compliance System, whereas significant</w:t>
      </w:r>
      <w:r>
        <w:rPr>
          <w:rStyle w:val="Funotenzeichen"/>
        </w:rPr>
        <w:footnoteReference w:id="4"/>
      </w:r>
      <w:r w:rsidRPr="00C768BC">
        <w:t xml:space="preserve"> changes must always be approved at the </w:t>
      </w:r>
      <w:r>
        <w:t>Decision Board Meeting</w:t>
      </w:r>
      <w:r w:rsidRPr="00C768BC">
        <w:t xml:space="preserve"> by the Decision Board</w:t>
      </w:r>
      <w:r>
        <w:t xml:space="preserve"> (</w:t>
      </w:r>
      <w:hyperlink r:id="rId157" w:history="1">
        <w:r w:rsidRPr="003047FB">
          <w:rPr>
            <w:rStyle w:val="Hyperlink"/>
          </w:rPr>
          <w:t>Decision Board Charter</w:t>
        </w:r>
      </w:hyperlink>
      <w:r>
        <w:t>)</w:t>
      </w:r>
      <w:r w:rsidRPr="00C768BC">
        <w:t>.</w:t>
      </w:r>
    </w:p>
    <w:p w14:paraId="5A0D9621" w14:textId="77777777" w:rsidR="00AC193D" w:rsidRDefault="004439DB" w:rsidP="00FE2693">
      <w:pPr>
        <w:pStyle w:val="Listenfortsetzung"/>
      </w:pPr>
      <w:r w:rsidRPr="00C768BC">
        <w:t>Upon decision of the Chief Compliance Officer, major development activities that are performed in a</w:t>
      </w:r>
      <w:r>
        <w:t xml:space="preserve"> </w:t>
      </w:r>
      <w:r w:rsidRPr="00C768BC">
        <w:t>project structure do not have to undergo the Compliance Portfolio Management process.</w:t>
      </w:r>
    </w:p>
    <w:p w14:paraId="11A2F4D4" w14:textId="77777777" w:rsidR="004439DB" w:rsidRDefault="004439DB" w:rsidP="004E5844">
      <w:pPr>
        <w:rPr>
          <w:lang w:val="de-DE"/>
        </w:rPr>
      </w:pPr>
      <w:r>
        <w:rPr>
          <w:noProof/>
          <w:lang w:val="de-DE" w:eastAsia="de-DE"/>
        </w:rPr>
        <w:lastRenderedPageBreak/>
        <w:drawing>
          <wp:inline distT="0" distB="0" distL="0" distR="0" wp14:anchorId="6EE492C8" wp14:editId="51E0040F">
            <wp:extent cx="6468395" cy="2800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8" cstate="print">
                      <a:extLst>
                        <a:ext uri="{28A0092B-C50C-407E-A947-70E740481C1C}">
                          <a14:useLocalDpi xmlns:a14="http://schemas.microsoft.com/office/drawing/2010/main" val="0"/>
                        </a:ext>
                      </a:extLst>
                    </a:blip>
                    <a:srcRect l="5057"/>
                    <a:stretch/>
                  </pic:blipFill>
                  <pic:spPr bwMode="auto">
                    <a:xfrm>
                      <a:off x="0" y="0"/>
                      <a:ext cx="6470968" cy="2801464"/>
                    </a:xfrm>
                    <a:prstGeom prst="rect">
                      <a:avLst/>
                    </a:prstGeom>
                    <a:noFill/>
                    <a:ln>
                      <a:noFill/>
                    </a:ln>
                    <a:extLst>
                      <a:ext uri="{53640926-AAD7-44D8-BBD7-CCE9431645EC}">
                        <a14:shadowObscured xmlns:a14="http://schemas.microsoft.com/office/drawing/2010/main"/>
                      </a:ext>
                    </a:extLst>
                  </pic:spPr>
                </pic:pic>
              </a:graphicData>
            </a:graphic>
          </wp:inline>
        </w:drawing>
      </w:r>
    </w:p>
    <w:p w14:paraId="3BE3338A" w14:textId="77777777" w:rsidR="00AC193D" w:rsidRDefault="004439DB" w:rsidP="00FE2693">
      <w:pPr>
        <w:pStyle w:val="Textkrper"/>
      </w:pPr>
      <w:r w:rsidRPr="00C768BC">
        <w:t>Changes that have been a</w:t>
      </w:r>
      <w:r>
        <w:t xml:space="preserve">pproved by the Compliance Decision Board or in the respective project structure through a Steering Committee or similar can be integrated into the Compliance Handbook. </w:t>
      </w:r>
    </w:p>
    <w:p w14:paraId="49C201B3" w14:textId="1E274312" w:rsidR="004439DB" w:rsidRDefault="004439DB" w:rsidP="004E5844">
      <w:pPr>
        <w:pStyle w:val="Listenabsatz"/>
        <w:numPr>
          <w:ilvl w:val="0"/>
          <w:numId w:val="21"/>
        </w:numPr>
      </w:pPr>
      <w:r>
        <w:t xml:space="preserve">The Changes have to be integrated into the respective chapter in the Word template uploaded In the </w:t>
      </w:r>
      <w:hyperlink r:id="rId159" w:history="1">
        <w:r w:rsidRPr="00C22EF8">
          <w:rPr>
            <w:rStyle w:val="Hyperlink"/>
            <w:rFonts w:cs="Arial"/>
          </w:rPr>
          <w:t>Compliance Handbook SharePoint</w:t>
        </w:r>
      </w:hyperlink>
      <w:r w:rsidRPr="00C22EF8">
        <w:rPr>
          <w:rFonts w:cs="Arial"/>
        </w:rPr>
        <w:t>.</w:t>
      </w:r>
      <w:r>
        <w:t xml:space="preserve"> The </w:t>
      </w:r>
      <w:r w:rsidR="00AC193D">
        <w:t>“</w:t>
      </w:r>
      <w:r>
        <w:t>Track Changes</w:t>
      </w:r>
      <w:r w:rsidR="00AC193D">
        <w:t>”</w:t>
      </w:r>
      <w:r>
        <w:t xml:space="preserve"> modus of Word must be used for the integration of changes. The changes will only be visible in the Compliance Handbook Preview Version</w:t>
      </w:r>
      <w:r w:rsidR="00667AC2">
        <w:t xml:space="preserve"> after creation of a new Preview Version.</w:t>
      </w:r>
      <w:r>
        <w:rPr>
          <w:rStyle w:val="Funotenzeichen"/>
        </w:rPr>
        <w:footnoteReference w:id="5"/>
      </w:r>
    </w:p>
    <w:p w14:paraId="32C814A8" w14:textId="61CBB4D4" w:rsidR="004439DB" w:rsidRDefault="004439DB" w:rsidP="004E5844">
      <w:pPr>
        <w:pStyle w:val="Listenabsatz"/>
        <w:numPr>
          <w:ilvl w:val="0"/>
          <w:numId w:val="21"/>
        </w:numPr>
      </w:pPr>
      <w:r>
        <w:t xml:space="preserve">A short summary of the changes should be included in the section </w:t>
      </w:r>
      <w:r w:rsidR="00AC193D">
        <w:t>“</w:t>
      </w:r>
      <w:r>
        <w:t>History of Changes</w:t>
      </w:r>
      <w:r w:rsidR="00AC193D">
        <w:t>”</w:t>
      </w:r>
      <w:r>
        <w:t xml:space="preserve"> of the respective Chapter. </w:t>
      </w:r>
    </w:p>
    <w:p w14:paraId="40CD48B3" w14:textId="77777777" w:rsidR="004439DB" w:rsidRDefault="004439DB" w:rsidP="004E5844">
      <w:pPr>
        <w:pStyle w:val="Listenabsatz"/>
        <w:numPr>
          <w:ilvl w:val="0"/>
          <w:numId w:val="21"/>
        </w:numPr>
      </w:pPr>
      <w:r>
        <w:t xml:space="preserve">The Editor of the Compliance Handbook should be informed about the changes implemented. The Editor has the final approval authority and decides in close collaboration with the authors and topic owners about the release of the updated contents. </w:t>
      </w:r>
    </w:p>
    <w:p w14:paraId="1E6AC270" w14:textId="1142808F" w:rsidR="004439DB" w:rsidRDefault="004439DB" w:rsidP="004E5844">
      <w:pPr>
        <w:pStyle w:val="Listenabsatz"/>
        <w:numPr>
          <w:ilvl w:val="0"/>
          <w:numId w:val="21"/>
        </w:numPr>
      </w:pPr>
      <w:r>
        <w:t xml:space="preserve">For major changes in the Compliance Handbook we recommend a communication through the quarterly Compliance Bus. (Contact: Ines Zins, LC CO </w:t>
      </w:r>
      <w:r w:rsidR="00B97E09">
        <w:t>RFC CA</w:t>
      </w:r>
      <w:r>
        <w:t xml:space="preserve">, </w:t>
      </w:r>
      <w:hyperlink r:id="rId160" w:history="1">
        <w:r w:rsidRPr="00E06189">
          <w:rPr>
            <w:rStyle w:val="Hyperlink"/>
          </w:rPr>
          <w:t>ines.zins@siemens.com</w:t>
        </w:r>
      </w:hyperlink>
      <w:r>
        <w:t>)</w:t>
      </w:r>
    </w:p>
    <w:p w14:paraId="729CCDEC" w14:textId="77777777" w:rsidR="00AC193D" w:rsidRDefault="004439DB" w:rsidP="00FE2693">
      <w:pPr>
        <w:pStyle w:val="Textkrper"/>
      </w:pPr>
      <w:r>
        <w:t xml:space="preserve">The Compliance Handbook will be updated on a quarterly </w:t>
      </w:r>
      <w:r w:rsidR="00667AC2">
        <w:t>b</w:t>
      </w:r>
      <w:r>
        <w:t xml:space="preserve">asis. </w:t>
      </w:r>
      <w:r w:rsidR="00667AC2">
        <w:t>Updated Versions of t</w:t>
      </w:r>
      <w:r>
        <w:t xml:space="preserve">he Compliance Handbook </w:t>
      </w:r>
      <w:r w:rsidR="00667AC2">
        <w:t xml:space="preserve">will be published by the </w:t>
      </w:r>
      <w:r>
        <w:t xml:space="preserve">editor in the so-called Web-book format and additionally as PDF version. </w:t>
      </w:r>
    </w:p>
    <w:p w14:paraId="1435C20F" w14:textId="7198DF88" w:rsidR="004439DB" w:rsidRPr="007E6DB6" w:rsidRDefault="00550C2E" w:rsidP="004E5844">
      <w:pPr>
        <w:pStyle w:val="berschrift4"/>
      </w:pPr>
      <w:r>
        <w:t>3</w:t>
      </w:r>
      <w:r w:rsidR="004439DB">
        <w:t>.2.2. Style Guide and Templates</w:t>
      </w:r>
    </w:p>
    <w:p w14:paraId="596EB051" w14:textId="77777777" w:rsidR="00AC193D" w:rsidRDefault="004439DB" w:rsidP="00FE2693">
      <w:pPr>
        <w:pStyle w:val="Listenfortsetzung"/>
      </w:pPr>
      <w:r w:rsidRPr="00A479D9">
        <w:t xml:space="preserve">In order to ensure that wording is consistent throughout the </w:t>
      </w:r>
      <w:proofErr w:type="gramStart"/>
      <w:r w:rsidRPr="00A479D9">
        <w:t>Web-Book</w:t>
      </w:r>
      <w:proofErr w:type="gramEnd"/>
      <w:r w:rsidRPr="00A479D9">
        <w:t xml:space="preserve"> and even more crucial, that the content is widely understood by employees, please use the following examples:</w:t>
      </w:r>
    </w:p>
    <w:p w14:paraId="76ED8FC1" w14:textId="77777777" w:rsidR="004439DB" w:rsidRPr="00271C29" w:rsidRDefault="004439DB" w:rsidP="004439DB">
      <w:pPr>
        <w:pStyle w:val="Listenabsatz"/>
        <w:numPr>
          <w:ilvl w:val="0"/>
          <w:numId w:val="20"/>
        </w:numPr>
        <w:spacing w:after="200" w:line="276" w:lineRule="auto"/>
        <w:rPr>
          <w:szCs w:val="20"/>
        </w:rPr>
      </w:pPr>
      <w:r w:rsidRPr="00271C29">
        <w:rPr>
          <w:szCs w:val="20"/>
        </w:rPr>
        <w:t xml:space="preserve">For </w:t>
      </w:r>
      <w:r w:rsidRPr="00271C29">
        <w:rPr>
          <w:b/>
          <w:szCs w:val="20"/>
          <w:u w:val="single"/>
        </w:rPr>
        <w:t>binding regulations</w:t>
      </w:r>
      <w:r w:rsidRPr="00271C29">
        <w:rPr>
          <w:szCs w:val="20"/>
        </w:rPr>
        <w:t xml:space="preserve">, please use expressions: </w:t>
      </w:r>
      <w:r w:rsidRPr="00271C29">
        <w:rPr>
          <w:b/>
          <w:i/>
          <w:iCs/>
          <w:color w:val="006487" w:themeColor="accent3"/>
          <w:szCs w:val="20"/>
        </w:rPr>
        <w:t>must, is/are prohibited</w:t>
      </w:r>
      <w:r w:rsidRPr="00271C29">
        <w:rPr>
          <w:b/>
          <w:color w:val="006487" w:themeColor="accent3"/>
          <w:szCs w:val="20"/>
        </w:rPr>
        <w:t xml:space="preserve"> and </w:t>
      </w:r>
      <w:r w:rsidRPr="00271C29">
        <w:rPr>
          <w:b/>
          <w:i/>
          <w:iCs/>
          <w:color w:val="006487" w:themeColor="accent3"/>
          <w:szCs w:val="20"/>
        </w:rPr>
        <w:t>is/are not permitted</w:t>
      </w:r>
      <w:r w:rsidRPr="00271C29">
        <w:rPr>
          <w:i/>
          <w:iCs/>
          <w:szCs w:val="20"/>
        </w:rPr>
        <w:t xml:space="preserve">. These are </w:t>
      </w:r>
      <w:r w:rsidRPr="00271C29">
        <w:rPr>
          <w:szCs w:val="20"/>
        </w:rPr>
        <w:t xml:space="preserve">probably most easily understood. Depending on the context, however, you can also use </w:t>
      </w:r>
      <w:r w:rsidRPr="00271C29">
        <w:rPr>
          <w:b/>
          <w:i/>
          <w:iCs/>
          <w:color w:val="006487" w:themeColor="accent3"/>
          <w:szCs w:val="20"/>
        </w:rPr>
        <w:t>is/are binding, is/are mandatory, is/are to be complied with, is/are necessary</w:t>
      </w:r>
      <w:r w:rsidRPr="00271C29">
        <w:rPr>
          <w:i/>
          <w:iCs/>
          <w:szCs w:val="20"/>
        </w:rPr>
        <w:t xml:space="preserve">, </w:t>
      </w:r>
      <w:r w:rsidRPr="00271C29">
        <w:rPr>
          <w:szCs w:val="20"/>
        </w:rPr>
        <w:t xml:space="preserve">and </w:t>
      </w:r>
      <w:r w:rsidRPr="00271C29">
        <w:rPr>
          <w:i/>
          <w:iCs/>
          <w:szCs w:val="20"/>
        </w:rPr>
        <w:t>may not.</w:t>
      </w:r>
      <w:r w:rsidRPr="00271C29">
        <w:rPr>
          <w:szCs w:val="20"/>
        </w:rPr>
        <w:t xml:space="preserve"> </w:t>
      </w:r>
    </w:p>
    <w:p w14:paraId="12B0D547" w14:textId="77777777" w:rsidR="004439DB" w:rsidRPr="00271C29" w:rsidRDefault="004439DB" w:rsidP="004439DB">
      <w:pPr>
        <w:pStyle w:val="Listenabsatz"/>
        <w:spacing w:after="200" w:line="276" w:lineRule="auto"/>
        <w:rPr>
          <w:szCs w:val="20"/>
        </w:rPr>
      </w:pPr>
      <w:r w:rsidRPr="00271C29">
        <w:rPr>
          <w:szCs w:val="20"/>
        </w:rPr>
        <w:lastRenderedPageBreak/>
        <w:t xml:space="preserve">Constructions with </w:t>
      </w:r>
      <w:r w:rsidRPr="00271C29">
        <w:rPr>
          <w:i/>
          <w:iCs/>
          <w:szCs w:val="20"/>
        </w:rPr>
        <w:t>have to</w:t>
      </w:r>
      <w:r w:rsidRPr="00271C29">
        <w:rPr>
          <w:szCs w:val="20"/>
        </w:rPr>
        <w:t xml:space="preserve">, </w:t>
      </w:r>
      <w:r w:rsidRPr="00271C29">
        <w:rPr>
          <w:i/>
          <w:iCs/>
          <w:szCs w:val="20"/>
        </w:rPr>
        <w:t>shall</w:t>
      </w:r>
      <w:r w:rsidRPr="00271C29">
        <w:rPr>
          <w:szCs w:val="20"/>
        </w:rPr>
        <w:t xml:space="preserve">, </w:t>
      </w:r>
      <w:r w:rsidRPr="00271C29">
        <w:rPr>
          <w:i/>
          <w:iCs/>
          <w:szCs w:val="20"/>
        </w:rPr>
        <w:t>ought to</w:t>
      </w:r>
      <w:r w:rsidRPr="00271C29">
        <w:rPr>
          <w:szCs w:val="20"/>
        </w:rPr>
        <w:t xml:space="preserve"> or </w:t>
      </w:r>
      <w:proofErr w:type="gramStart"/>
      <w:r w:rsidRPr="00271C29">
        <w:rPr>
          <w:i/>
          <w:iCs/>
          <w:szCs w:val="20"/>
        </w:rPr>
        <w:t>must not</w:t>
      </w:r>
      <w:r w:rsidRPr="00271C29">
        <w:rPr>
          <w:szCs w:val="20"/>
        </w:rPr>
        <w:t xml:space="preserve"> should</w:t>
      </w:r>
      <w:proofErr w:type="gramEnd"/>
      <w:r w:rsidRPr="00271C29">
        <w:rPr>
          <w:szCs w:val="20"/>
        </w:rPr>
        <w:t xml:space="preserve"> be </w:t>
      </w:r>
      <w:r w:rsidRPr="00271C29">
        <w:rPr>
          <w:szCs w:val="20"/>
          <w:u w:val="single"/>
        </w:rPr>
        <w:t>avoided</w:t>
      </w:r>
      <w:r w:rsidRPr="00271C29">
        <w:rPr>
          <w:szCs w:val="20"/>
        </w:rPr>
        <w:t xml:space="preserve"> since they’re not really appropriate for regulations.</w:t>
      </w:r>
    </w:p>
    <w:p w14:paraId="24F2C981" w14:textId="77777777" w:rsidR="004439DB" w:rsidRPr="00271C29" w:rsidRDefault="004439DB" w:rsidP="004439DB">
      <w:pPr>
        <w:pStyle w:val="Listenabsatz"/>
        <w:numPr>
          <w:ilvl w:val="0"/>
          <w:numId w:val="20"/>
        </w:numPr>
        <w:spacing w:after="200" w:line="276" w:lineRule="auto"/>
        <w:rPr>
          <w:szCs w:val="20"/>
        </w:rPr>
      </w:pPr>
      <w:r w:rsidRPr="00271C29">
        <w:rPr>
          <w:szCs w:val="20"/>
        </w:rPr>
        <w:t xml:space="preserve">To express the idea that </w:t>
      </w:r>
      <w:r w:rsidRPr="00271C29">
        <w:rPr>
          <w:b/>
          <w:szCs w:val="20"/>
          <w:u w:val="single"/>
        </w:rPr>
        <w:t>exceptions</w:t>
      </w:r>
      <w:r w:rsidRPr="00271C29">
        <w:rPr>
          <w:szCs w:val="20"/>
        </w:rPr>
        <w:t xml:space="preserve"> are possible, you can use, for example, </w:t>
      </w:r>
      <w:r w:rsidRPr="00271C29">
        <w:rPr>
          <w:i/>
          <w:iCs/>
          <w:szCs w:val="20"/>
        </w:rPr>
        <w:t xml:space="preserve">is </w:t>
      </w:r>
      <w:r w:rsidRPr="00271C29">
        <w:rPr>
          <w:b/>
          <w:i/>
          <w:iCs/>
          <w:color w:val="006487" w:themeColor="accent3"/>
          <w:szCs w:val="20"/>
        </w:rPr>
        <w:t>permitted if</w:t>
      </w:r>
      <w:r w:rsidRPr="00271C29">
        <w:rPr>
          <w:b/>
          <w:color w:val="006487" w:themeColor="accent3"/>
          <w:szCs w:val="20"/>
        </w:rPr>
        <w:t xml:space="preserve">, </w:t>
      </w:r>
      <w:r w:rsidRPr="00271C29">
        <w:rPr>
          <w:b/>
          <w:i/>
          <w:iCs/>
          <w:color w:val="006487" w:themeColor="accent3"/>
          <w:szCs w:val="20"/>
        </w:rPr>
        <w:t>is permitted provided that</w:t>
      </w:r>
      <w:r w:rsidRPr="00271C29">
        <w:rPr>
          <w:i/>
          <w:iCs/>
          <w:szCs w:val="20"/>
        </w:rPr>
        <w:t xml:space="preserve"> </w:t>
      </w:r>
      <w:r w:rsidRPr="00271C29">
        <w:rPr>
          <w:szCs w:val="20"/>
        </w:rPr>
        <w:t>and</w:t>
      </w:r>
      <w:r w:rsidRPr="00271C29">
        <w:rPr>
          <w:i/>
          <w:iCs/>
          <w:szCs w:val="20"/>
        </w:rPr>
        <w:t xml:space="preserve"> </w:t>
      </w:r>
      <w:r w:rsidRPr="00271C29">
        <w:rPr>
          <w:b/>
          <w:i/>
          <w:iCs/>
          <w:color w:val="006487" w:themeColor="accent3"/>
          <w:szCs w:val="20"/>
        </w:rPr>
        <w:t>is prohibited unless</w:t>
      </w:r>
      <w:r w:rsidRPr="00271C29">
        <w:rPr>
          <w:szCs w:val="20"/>
        </w:rPr>
        <w:t>.</w:t>
      </w:r>
    </w:p>
    <w:p w14:paraId="112922FF" w14:textId="77777777" w:rsidR="004439DB" w:rsidRPr="00271C29" w:rsidRDefault="004439DB" w:rsidP="004439DB">
      <w:pPr>
        <w:pStyle w:val="Listenabsatz"/>
        <w:numPr>
          <w:ilvl w:val="0"/>
          <w:numId w:val="20"/>
        </w:numPr>
        <w:spacing w:after="200" w:line="276" w:lineRule="auto"/>
        <w:rPr>
          <w:szCs w:val="20"/>
        </w:rPr>
      </w:pPr>
      <w:r w:rsidRPr="00271C29">
        <w:rPr>
          <w:szCs w:val="20"/>
        </w:rPr>
        <w:t xml:space="preserve">For </w:t>
      </w:r>
      <w:r w:rsidRPr="00271C29">
        <w:rPr>
          <w:b/>
          <w:szCs w:val="20"/>
          <w:u w:val="single"/>
        </w:rPr>
        <w:t>recommendations</w:t>
      </w:r>
      <w:r w:rsidRPr="00271C29">
        <w:rPr>
          <w:szCs w:val="20"/>
        </w:rPr>
        <w:t xml:space="preserve">, </w:t>
      </w:r>
      <w:r w:rsidRPr="00271C29">
        <w:rPr>
          <w:i/>
          <w:iCs/>
          <w:szCs w:val="20"/>
        </w:rPr>
        <w:t>should</w:t>
      </w:r>
      <w:r w:rsidRPr="00271C29">
        <w:rPr>
          <w:szCs w:val="20"/>
        </w:rPr>
        <w:t xml:space="preserve"> is generally OK. But you can also use </w:t>
      </w:r>
      <w:r w:rsidRPr="00271C29">
        <w:rPr>
          <w:b/>
          <w:i/>
          <w:iCs/>
          <w:color w:val="006487" w:themeColor="accent3"/>
          <w:szCs w:val="20"/>
        </w:rPr>
        <w:t xml:space="preserve">is/are recommended, is/are suggested </w:t>
      </w:r>
      <w:r w:rsidRPr="00271C29">
        <w:rPr>
          <w:b/>
          <w:color w:val="006487" w:themeColor="accent3"/>
          <w:szCs w:val="20"/>
        </w:rPr>
        <w:t xml:space="preserve">and </w:t>
      </w:r>
      <w:r w:rsidRPr="00271C29">
        <w:rPr>
          <w:b/>
          <w:i/>
          <w:iCs/>
          <w:color w:val="006487" w:themeColor="accent3"/>
          <w:szCs w:val="20"/>
        </w:rPr>
        <w:t>is/are advisable</w:t>
      </w:r>
      <w:r w:rsidRPr="00271C29">
        <w:rPr>
          <w:szCs w:val="20"/>
        </w:rPr>
        <w:t xml:space="preserve">. </w:t>
      </w:r>
    </w:p>
    <w:p w14:paraId="212F151C" w14:textId="2388043F" w:rsidR="004439DB" w:rsidRPr="00B962A3" w:rsidRDefault="004439DB" w:rsidP="004439DB">
      <w:pPr>
        <w:pStyle w:val="Listenabsatz"/>
        <w:numPr>
          <w:ilvl w:val="0"/>
          <w:numId w:val="20"/>
        </w:numPr>
        <w:spacing w:after="200" w:line="276" w:lineRule="auto"/>
        <w:rPr>
          <w:szCs w:val="20"/>
        </w:rPr>
      </w:pPr>
      <w:r w:rsidRPr="00271C29">
        <w:rPr>
          <w:szCs w:val="20"/>
        </w:rPr>
        <w:t xml:space="preserve">For </w:t>
      </w:r>
      <w:r w:rsidRPr="00271C29">
        <w:rPr>
          <w:b/>
          <w:szCs w:val="20"/>
          <w:u w:val="single"/>
        </w:rPr>
        <w:t>voluntary</w:t>
      </w:r>
      <w:r w:rsidRPr="00271C29">
        <w:rPr>
          <w:szCs w:val="20"/>
        </w:rPr>
        <w:t xml:space="preserve"> actions, </w:t>
      </w:r>
      <w:r w:rsidRPr="00271C29">
        <w:rPr>
          <w:b/>
          <w:i/>
          <w:iCs/>
          <w:color w:val="006487" w:themeColor="accent3"/>
          <w:szCs w:val="20"/>
        </w:rPr>
        <w:t>is permitted</w:t>
      </w:r>
      <w:r w:rsidRPr="00271C29">
        <w:rPr>
          <w:szCs w:val="20"/>
        </w:rPr>
        <w:t xml:space="preserve"> and </w:t>
      </w:r>
      <w:r w:rsidRPr="00271C29">
        <w:rPr>
          <w:b/>
          <w:i/>
          <w:iCs/>
          <w:color w:val="006487" w:themeColor="accent3"/>
          <w:szCs w:val="20"/>
        </w:rPr>
        <w:t>may</w:t>
      </w:r>
      <w:r w:rsidRPr="00271C29">
        <w:rPr>
          <w:szCs w:val="20"/>
        </w:rPr>
        <w:t xml:space="preserve"> are often used. But you can also use simply </w:t>
      </w:r>
      <w:r w:rsidRPr="00271C29">
        <w:rPr>
          <w:b/>
          <w:i/>
          <w:iCs/>
          <w:color w:val="006487" w:themeColor="accent3"/>
          <w:szCs w:val="20"/>
        </w:rPr>
        <w:t>is/are possible</w:t>
      </w:r>
      <w:r w:rsidRPr="00271C29">
        <w:rPr>
          <w:szCs w:val="20"/>
        </w:rPr>
        <w:t xml:space="preserve">. </w:t>
      </w:r>
    </w:p>
    <w:p w14:paraId="1EAF2459" w14:textId="77777777" w:rsidR="004571D2" w:rsidRPr="009533E0" w:rsidRDefault="004439DB" w:rsidP="004439DB">
      <w:pPr>
        <w:pStyle w:val="KeinAbsatzformat"/>
        <w:rPr>
          <w:rFonts w:ascii="Arial" w:hAnsi="Arial" w:cs="Arial"/>
          <w:sz w:val="20"/>
          <w:szCs w:val="20"/>
          <w:lang w:val="en-US"/>
        </w:rPr>
      </w:pPr>
      <w:r w:rsidRPr="009533E0">
        <w:rPr>
          <w:rFonts w:ascii="Arial" w:hAnsi="Arial" w:cs="Arial"/>
          <w:sz w:val="20"/>
          <w:szCs w:val="20"/>
          <w:lang w:val="en-US"/>
        </w:rPr>
        <w:t xml:space="preserve">The template that </w:t>
      </w:r>
      <w:proofErr w:type="gramStart"/>
      <w:r w:rsidRPr="009533E0">
        <w:rPr>
          <w:rFonts w:ascii="Arial" w:hAnsi="Arial" w:cs="Arial"/>
          <w:sz w:val="20"/>
          <w:szCs w:val="20"/>
          <w:lang w:val="en-US"/>
        </w:rPr>
        <w:t>has to</w:t>
      </w:r>
      <w:proofErr w:type="gramEnd"/>
      <w:r w:rsidRPr="009533E0">
        <w:rPr>
          <w:rFonts w:ascii="Arial" w:hAnsi="Arial" w:cs="Arial"/>
          <w:sz w:val="20"/>
          <w:szCs w:val="20"/>
          <w:lang w:val="en-US"/>
        </w:rPr>
        <w:t xml:space="preserve"> be used for the Compliance Handbook can be found here: </w:t>
      </w:r>
    </w:p>
    <w:p w14:paraId="26498E4B" w14:textId="721A4F27" w:rsidR="004439DB" w:rsidRPr="009533E0" w:rsidRDefault="00911327" w:rsidP="004439DB">
      <w:pPr>
        <w:pStyle w:val="KeinAbsatzformat"/>
        <w:rPr>
          <w:rFonts w:ascii="Arial" w:hAnsi="Arial" w:cs="Arial"/>
          <w:sz w:val="20"/>
          <w:szCs w:val="20"/>
          <w:lang w:val="en-US"/>
        </w:rPr>
      </w:pPr>
      <w:hyperlink r:id="rId161" w:history="1">
        <w:r w:rsidR="004571D2" w:rsidRPr="009533E0">
          <w:rPr>
            <w:rStyle w:val="Hyperlink"/>
            <w:rFonts w:ascii="Arial" w:hAnsi="Arial" w:cs="Arial"/>
            <w:sz w:val="20"/>
            <w:szCs w:val="20"/>
            <w:lang w:val="en-US"/>
          </w:rPr>
          <w:t>General Template for authors</w:t>
        </w:r>
      </w:hyperlink>
    </w:p>
    <w:bookmarkEnd w:id="29"/>
    <w:p w14:paraId="659C4B9C" w14:textId="77777777" w:rsidR="00F62EE9" w:rsidRPr="00181F74" w:rsidRDefault="00F62EE9">
      <w:pPr>
        <w:pStyle w:val="KeinAbsatzformat"/>
        <w:rPr>
          <w:lang w:val="en-US"/>
        </w:rPr>
      </w:pPr>
    </w:p>
    <w:p w14:paraId="659C4B9D" w14:textId="77777777" w:rsidR="00F62EE9" w:rsidRDefault="00F62EE9">
      <w:pPr>
        <w:pStyle w:val="KeinAbsatzformat"/>
        <w:rPr>
          <w:lang w:val="en-GB"/>
        </w:rPr>
      </w:pPr>
    </w:p>
    <w:sectPr w:rsidR="00F62EE9">
      <w:headerReference w:type="even" r:id="rId162"/>
      <w:headerReference w:type="default" r:id="rId163"/>
      <w:footerReference w:type="even" r:id="rId164"/>
      <w:footerReference w:type="default" r:id="rId165"/>
      <w:headerReference w:type="first" r:id="rId166"/>
      <w:footerReference w:type="first" r:id="rId167"/>
      <w:type w:val="continuous"/>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73443" w14:textId="77777777" w:rsidR="00D96DD3" w:rsidRDefault="00D96DD3">
      <w:pPr>
        <w:spacing w:after="0" w:line="240" w:lineRule="auto"/>
      </w:pPr>
      <w:r>
        <w:separator/>
      </w:r>
    </w:p>
  </w:endnote>
  <w:endnote w:type="continuationSeparator" w:id="0">
    <w:p w14:paraId="698E6497" w14:textId="77777777" w:rsidR="00D96DD3" w:rsidRDefault="00D96DD3">
      <w:pPr>
        <w:spacing w:after="0" w:line="240" w:lineRule="auto"/>
      </w:pPr>
      <w:r>
        <w:continuationSeparator/>
      </w:r>
    </w:p>
  </w:endnote>
  <w:endnote w:type="continuationNotice" w:id="1">
    <w:p w14:paraId="589C0AC4" w14:textId="77777777" w:rsidR="00D96DD3" w:rsidRDefault="00D96D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BF7EA" w14:textId="77777777" w:rsidR="00D96DD3" w:rsidRDefault="00D96DD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C4BB0" w14:textId="77777777" w:rsidR="00D96DD3" w:rsidRDefault="00911327">
    <w:pPr>
      <w:pStyle w:val="Fuzeile"/>
    </w:pPr>
    <w:r>
      <w:fldChar w:fldCharType="begin"/>
    </w:r>
    <w:r>
      <w:instrText xml:space="preserve"> DOCPROPERTY sodocoClasLang \* MERGEFORMAT </w:instrText>
    </w:r>
    <w:r>
      <w:fldChar w:fldCharType="separate"/>
    </w:r>
    <w:r w:rsidR="00D96DD3">
      <w:t>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B9EE8" w14:textId="77777777" w:rsidR="00D96DD3" w:rsidRDefault="00D96D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AA012" w14:textId="77777777" w:rsidR="00D96DD3" w:rsidRDefault="00D96DD3">
      <w:pPr>
        <w:spacing w:after="0" w:line="240" w:lineRule="auto"/>
      </w:pPr>
      <w:r>
        <w:separator/>
      </w:r>
    </w:p>
  </w:footnote>
  <w:footnote w:type="continuationSeparator" w:id="0">
    <w:p w14:paraId="50256221" w14:textId="77777777" w:rsidR="00D96DD3" w:rsidRDefault="00D96DD3">
      <w:pPr>
        <w:spacing w:after="0" w:line="240" w:lineRule="auto"/>
      </w:pPr>
      <w:r>
        <w:continuationSeparator/>
      </w:r>
    </w:p>
  </w:footnote>
  <w:footnote w:type="continuationNotice" w:id="1">
    <w:p w14:paraId="3856F4C0" w14:textId="77777777" w:rsidR="00D96DD3" w:rsidRDefault="00D96DD3">
      <w:pPr>
        <w:spacing w:after="0" w:line="240" w:lineRule="auto"/>
      </w:pPr>
    </w:p>
  </w:footnote>
  <w:footnote w:id="2">
    <w:p w14:paraId="6CC0AB7D" w14:textId="77777777" w:rsidR="00D96DD3" w:rsidRDefault="00D96DD3" w:rsidP="006B3AB1">
      <w:pPr>
        <w:pStyle w:val="Funotentext"/>
        <w:tabs>
          <w:tab w:val="left" w:pos="8647"/>
        </w:tabs>
        <w:ind w:left="142" w:right="567" w:hanging="142"/>
        <w:contextualSpacing/>
        <w:jc w:val="both"/>
        <w:rPr>
          <w:rFonts w:cs="Arial"/>
          <w:sz w:val="16"/>
          <w:szCs w:val="16"/>
        </w:rPr>
      </w:pPr>
      <w:r>
        <w:rPr>
          <w:rStyle w:val="Funotenzeichen"/>
          <w:rFonts w:cs="Arial"/>
          <w:sz w:val="16"/>
          <w:szCs w:val="16"/>
        </w:rPr>
        <w:footnoteRef/>
      </w:r>
      <w:r>
        <w:rPr>
          <w:rFonts w:cs="Arial"/>
          <w:sz w:val="16"/>
          <w:szCs w:val="16"/>
        </w:rPr>
        <w:t xml:space="preserve"> </w:t>
      </w:r>
      <w:r>
        <w:rPr>
          <w:rFonts w:cs="Arial"/>
          <w:bCs/>
          <w:color w:val="000000"/>
          <w:sz w:val="16"/>
          <w:szCs w:val="16"/>
        </w:rPr>
        <w:t>In conjunction with LC M&amp;A CMP.</w:t>
      </w:r>
    </w:p>
  </w:footnote>
  <w:footnote w:id="3">
    <w:p w14:paraId="367FBCB8" w14:textId="77777777" w:rsidR="00D96DD3" w:rsidRPr="00F23D51" w:rsidRDefault="00D96DD3" w:rsidP="006B3AB1">
      <w:pPr>
        <w:pStyle w:val="Funotentext"/>
        <w:rPr>
          <w:sz w:val="16"/>
          <w:szCs w:val="16"/>
        </w:rPr>
      </w:pPr>
      <w:r w:rsidRPr="00072930">
        <w:rPr>
          <w:rStyle w:val="Funotenzeichen"/>
          <w:sz w:val="16"/>
          <w:szCs w:val="16"/>
        </w:rPr>
        <w:footnoteRef/>
      </w:r>
      <w:r w:rsidRPr="00072930">
        <w:rPr>
          <w:sz w:val="16"/>
          <w:szCs w:val="16"/>
        </w:rPr>
        <w:t xml:space="preserve"> </w:t>
      </w:r>
      <w:r w:rsidRPr="00F23D51">
        <w:rPr>
          <w:sz w:val="16"/>
          <w:szCs w:val="16"/>
        </w:rPr>
        <w:t>In conjunction with SU</w:t>
      </w:r>
      <w:r>
        <w:rPr>
          <w:sz w:val="16"/>
          <w:szCs w:val="16"/>
        </w:rPr>
        <w:t>.</w:t>
      </w:r>
    </w:p>
  </w:footnote>
  <w:footnote w:id="4">
    <w:p w14:paraId="1A08819A" w14:textId="77777777" w:rsidR="00D96DD3" w:rsidRPr="00C768BC" w:rsidRDefault="00D96DD3" w:rsidP="004439DB">
      <w:r>
        <w:rPr>
          <w:rStyle w:val="Funotenzeichen"/>
        </w:rPr>
        <w:footnoteRef/>
      </w:r>
      <w:r>
        <w:t xml:space="preserve"> Significant change means, but is not limited to: </w:t>
      </w:r>
      <w:r>
        <w:br/>
        <w:t xml:space="preserve">1. Any new topic area or approach,  </w:t>
      </w:r>
      <w:r>
        <w:br/>
        <w:t xml:space="preserve">2. Change that has a major impact on the implementation of the Compliance System (and affects the operational work),  </w:t>
      </w:r>
      <w:r>
        <w:br/>
        <w:t xml:space="preserve">3. Change that affects several departments (e.g. a regulatory change affecting tools),  </w:t>
      </w:r>
      <w:r>
        <w:br/>
        <w:t xml:space="preserve">4. In case none of the above mentioned criteria is fulfilled and the change requires an investment of more than 30.000, 00 EUR.  </w:t>
      </w:r>
      <w:r>
        <w:br/>
        <w:t>In case of ambiguity whether a topic shall be approved by the Decision Board, final decision is made by the respective Coordinator. The Coordinator can also decide to escalate a minor topic to the Decision Board at its own discretion.</w:t>
      </w:r>
    </w:p>
  </w:footnote>
  <w:footnote w:id="5">
    <w:p w14:paraId="5360B5BB" w14:textId="443A2388" w:rsidR="00D96DD3" w:rsidRPr="00C22EF8" w:rsidRDefault="00D96DD3" w:rsidP="004439DB">
      <w:pPr>
        <w:pStyle w:val="Funotentext"/>
      </w:pPr>
      <w:r>
        <w:rPr>
          <w:rStyle w:val="Funotenzeichen"/>
        </w:rPr>
        <w:footnoteRef/>
      </w:r>
      <w:r>
        <w:t xml:space="preserve"> </w:t>
      </w:r>
      <w:hyperlink r:id="rId1" w:history="1">
        <w:r w:rsidRPr="004A5896">
          <w:rPr>
            <w:rStyle w:val="Hyperlink"/>
          </w:rPr>
          <w:t>How to create an updated Preview Version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13521" w14:textId="77777777" w:rsidR="00D96DD3" w:rsidRDefault="00D96DD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D96DD3" w14:paraId="659C4BA9" w14:textId="77777777" w:rsidTr="00F62EE9">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659C4BA5" w14:textId="77777777" w:rsidR="00D96DD3" w:rsidRDefault="00D96DD3">
          <w:pPr>
            <w:pStyle w:val="Kopfzeile"/>
            <w:ind w:left="-426"/>
          </w:pPr>
          <w:r>
            <w:t>z</w:t>
          </w:r>
        </w:p>
      </w:tc>
      <w:tc>
        <w:tcPr>
          <w:tcW w:w="624" w:type="dxa"/>
        </w:tcPr>
        <w:p w14:paraId="659C4BA6" w14:textId="77777777" w:rsidR="00D96DD3" w:rsidRDefault="00D96DD3">
          <w:pPr>
            <w:pStyle w:val="Kopfzeile"/>
            <w:ind w:left="-641"/>
          </w:pPr>
        </w:p>
      </w:tc>
      <w:tc>
        <w:tcPr>
          <w:tcW w:w="9752" w:type="dxa"/>
        </w:tcPr>
        <w:p w14:paraId="659C4BA7" w14:textId="77777777" w:rsidR="00D96DD3" w:rsidRDefault="00D96DD3">
          <w:pPr>
            <w:pStyle w:val="Kopfzeile"/>
          </w:pPr>
        </w:p>
      </w:tc>
      <w:tc>
        <w:tcPr>
          <w:tcW w:w="1173" w:type="dxa"/>
        </w:tcPr>
        <w:p w14:paraId="659C4BA8" w14:textId="77777777" w:rsidR="00D96DD3" w:rsidRDefault="00D96DD3">
          <w:pPr>
            <w:pStyle w:val="Kopfzeile"/>
          </w:pPr>
        </w:p>
      </w:tc>
    </w:tr>
    <w:tr w:rsidR="00D96DD3" w14:paraId="659C4BAE" w14:textId="77777777" w:rsidTr="00F62EE9">
      <w:trPr>
        <w:cantSplit/>
        <w:trHeight w:hRule="exact" w:val="575"/>
      </w:trPr>
      <w:tc>
        <w:tcPr>
          <w:tcW w:w="1020" w:type="dxa"/>
        </w:tcPr>
        <w:p w14:paraId="659C4BAA" w14:textId="77777777" w:rsidR="00D96DD3" w:rsidRDefault="00D96DD3">
          <w:pPr>
            <w:pStyle w:val="Fuzeile"/>
          </w:pPr>
        </w:p>
      </w:tc>
      <w:tc>
        <w:tcPr>
          <w:tcW w:w="624" w:type="dxa"/>
          <w:vAlign w:val="bottom"/>
        </w:tcPr>
        <w:p w14:paraId="659C4BAB" w14:textId="77777777" w:rsidR="00D96DD3" w:rsidRDefault="00D96DD3">
          <w:pPr>
            <w:pStyle w:val="Fuzeile"/>
            <w:jc w:val="center"/>
          </w:pPr>
          <w:r>
            <w:rPr>
              <w:noProof/>
              <w:lang w:val="de-DE" w:eastAsia="de-DE"/>
            </w:rPr>
            <w:drawing>
              <wp:inline distT="0" distB="0" distL="0" distR="0" wp14:anchorId="659C4BB1" wp14:editId="659C4BB2">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659C4BAC" w14:textId="065BAE7A" w:rsidR="00D96DD3" w:rsidRDefault="00D96DD3" w:rsidP="002877DF">
          <w:pPr>
            <w:pStyle w:val="Header"/>
          </w:pPr>
          <w:r>
            <w:t>Compliance Handbook | General Introduction</w:t>
          </w:r>
        </w:p>
      </w:tc>
      <w:tc>
        <w:tcPr>
          <w:tcW w:w="1173" w:type="dxa"/>
        </w:tcPr>
        <w:p w14:paraId="659C4BAD" w14:textId="77777777" w:rsidR="00D96DD3" w:rsidRDefault="00D96DD3">
          <w:pPr>
            <w:pStyle w:val="Header"/>
          </w:pPr>
        </w:p>
      </w:tc>
    </w:tr>
  </w:tbl>
  <w:p w14:paraId="659C4BAF" w14:textId="77777777" w:rsidR="00D96DD3" w:rsidRDefault="00D96DD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3F5B7" w14:textId="77777777" w:rsidR="00D96DD3" w:rsidRDefault="00D96D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F3377"/>
    <w:multiLevelType w:val="hybridMultilevel"/>
    <w:tmpl w:val="5194150A"/>
    <w:lvl w:ilvl="0" w:tplc="4B4AE896">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215E2"/>
    <w:multiLevelType w:val="hybridMultilevel"/>
    <w:tmpl w:val="6A603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63665B"/>
    <w:multiLevelType w:val="hybridMultilevel"/>
    <w:tmpl w:val="14765070"/>
    <w:lvl w:ilvl="0" w:tplc="3A901892">
      <w:start w:val="1"/>
      <w:numFmt w:val="upperRoman"/>
      <w:lvlText w:val="%1."/>
      <w:lvlJc w:val="left"/>
      <w:pPr>
        <w:ind w:left="720" w:hanging="72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3" w15:restartNumberingAfterBreak="0">
    <w:nsid w:val="0A07554C"/>
    <w:multiLevelType w:val="hybridMultilevel"/>
    <w:tmpl w:val="4A10C3D4"/>
    <w:lvl w:ilvl="0" w:tplc="7764A51A">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812D66"/>
    <w:multiLevelType w:val="hybridMultilevel"/>
    <w:tmpl w:val="D61A47A2"/>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A67848"/>
    <w:multiLevelType w:val="hybridMultilevel"/>
    <w:tmpl w:val="6408FB3C"/>
    <w:lvl w:ilvl="0" w:tplc="2B748DE0">
      <w:start w:val="1"/>
      <w:numFmt w:val="decimal"/>
      <w:pStyle w:val="berschrift2"/>
      <w:lvlText w:val="%1. "/>
      <w:lvlJc w:val="left"/>
      <w:pPr>
        <w:ind w:left="360" w:hanging="360"/>
      </w:pPr>
      <w:rPr>
        <w:rFonts w:ascii="Times New Roman" w:hAnsi="Times New Roman" w:hint="default"/>
        <w:b w:val="0"/>
        <w:i w:val="0"/>
        <w:color w:val="879BAA"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857F67"/>
    <w:multiLevelType w:val="hybridMultilevel"/>
    <w:tmpl w:val="5824EF12"/>
    <w:lvl w:ilvl="0" w:tplc="1E587150">
      <w:start w:val="1"/>
      <w:numFmt w:val="bullet"/>
      <w:pStyle w:val="CopyBulletpoints"/>
      <w:lvlText w:val=""/>
      <w:lvlJc w:val="left"/>
      <w:pPr>
        <w:ind w:left="36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567B94"/>
    <w:multiLevelType w:val="multilevel"/>
    <w:tmpl w:val="706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45A51"/>
    <w:multiLevelType w:val="hybridMultilevel"/>
    <w:tmpl w:val="44387DF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55A1D3B"/>
    <w:multiLevelType w:val="hybridMultilevel"/>
    <w:tmpl w:val="2056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8D3C23"/>
    <w:multiLevelType w:val="multilevel"/>
    <w:tmpl w:val="9E326460"/>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A3C699D"/>
    <w:multiLevelType w:val="multilevel"/>
    <w:tmpl w:val="196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F3B32"/>
    <w:multiLevelType w:val="hybridMultilevel"/>
    <w:tmpl w:val="77AA5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804313"/>
    <w:multiLevelType w:val="hybridMultilevel"/>
    <w:tmpl w:val="0686908C"/>
    <w:lvl w:ilvl="0" w:tplc="1DB405FA">
      <w:numFmt w:val="bullet"/>
      <w:lvlText w:val="-"/>
      <w:lvlJc w:val="left"/>
      <w:pPr>
        <w:ind w:left="720" w:hanging="360"/>
      </w:pPr>
      <w:rPr>
        <w:rFonts w:ascii="MinionPro-Regular" w:eastAsiaTheme="minorHAnsi" w:hAnsi="MinionPro-Regular" w:cs="MinionPro-Regula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7E543A"/>
    <w:multiLevelType w:val="hybridMultilevel"/>
    <w:tmpl w:val="137A7338"/>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001CF"/>
    <w:multiLevelType w:val="hybridMultilevel"/>
    <w:tmpl w:val="8AEAD5D6"/>
    <w:lvl w:ilvl="0" w:tplc="B91841E0">
      <w:start w:val="2"/>
      <w:numFmt w:val="upperLetter"/>
      <w:lvlText w:val="%1."/>
      <w:lvlJc w:val="left"/>
      <w:pPr>
        <w:ind w:left="360" w:hanging="360"/>
      </w:pPr>
      <w:rPr>
        <w:rFonts w:ascii="Times New Roman" w:hAnsi="Times New Roman" w:hint="default"/>
        <w:b w:val="0"/>
        <w:i w:val="0"/>
        <w:color w:val="BECDD7" w:themeColor="background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ECB3A57"/>
    <w:multiLevelType w:val="hybridMultilevel"/>
    <w:tmpl w:val="E0FCCA3A"/>
    <w:lvl w:ilvl="0" w:tplc="575E1AE4">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405B9F"/>
    <w:multiLevelType w:val="hybridMultilevel"/>
    <w:tmpl w:val="6C00C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4D4367"/>
    <w:multiLevelType w:val="hybridMultilevel"/>
    <w:tmpl w:val="1B7A5BF2"/>
    <w:lvl w:ilvl="0" w:tplc="7764A51A">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06303B"/>
    <w:multiLevelType w:val="hybridMultilevel"/>
    <w:tmpl w:val="10FCDE76"/>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2" w15:restartNumberingAfterBreak="0">
    <w:nsid w:val="55BB41B7"/>
    <w:multiLevelType w:val="hybridMultilevel"/>
    <w:tmpl w:val="F3220D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F588D26">
      <w:numFmt w:val="bullet"/>
      <w:lvlText w:val="•"/>
      <w:lvlJc w:val="left"/>
      <w:pPr>
        <w:ind w:left="2160" w:hanging="360"/>
      </w:pPr>
      <w:rPr>
        <w:rFonts w:ascii="Arial" w:eastAsia="Times New Roman"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95C573A"/>
    <w:multiLevelType w:val="multilevel"/>
    <w:tmpl w:val="FC04ACFC"/>
    <w:lvl w:ilvl="0">
      <w:start w:val="1"/>
      <w:numFmt w:val="decimal"/>
      <w:lvlText w:val="%1."/>
      <w:lvlJc w:val="left"/>
      <w:pPr>
        <w:ind w:left="360" w:hanging="360"/>
      </w:pPr>
      <w:rPr>
        <w:rFonts w:hint="default"/>
      </w:rPr>
    </w:lvl>
    <w:lvl w:ilvl="1">
      <w:start w:val="1"/>
      <w:numFmt w:val="decimal"/>
      <w:lvlRestart w:val="0"/>
      <w:lvlText w:val="3.%2"/>
      <w:lvlJc w:val="left"/>
      <w:pPr>
        <w:ind w:left="992" w:hanging="9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D166700"/>
    <w:multiLevelType w:val="hybridMultilevel"/>
    <w:tmpl w:val="5C36D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25805BE"/>
    <w:multiLevelType w:val="multilevel"/>
    <w:tmpl w:val="148820B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463308"/>
    <w:multiLevelType w:val="hybridMultilevel"/>
    <w:tmpl w:val="A510FB0E"/>
    <w:lvl w:ilvl="0" w:tplc="1DB405FA">
      <w:numFmt w:val="bullet"/>
      <w:lvlText w:val="-"/>
      <w:lvlJc w:val="left"/>
      <w:pPr>
        <w:ind w:left="720" w:hanging="360"/>
      </w:pPr>
      <w:rPr>
        <w:rFonts w:ascii="MinionPro-Regular" w:eastAsiaTheme="minorHAnsi" w:hAnsi="MinionPro-Regular" w:cs="MinionPro-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774EC"/>
    <w:multiLevelType w:val="multilevel"/>
    <w:tmpl w:val="8E9C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46FC6"/>
    <w:multiLevelType w:val="hybridMultilevel"/>
    <w:tmpl w:val="1004D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A8480F"/>
    <w:multiLevelType w:val="hybridMultilevel"/>
    <w:tmpl w:val="C3ECD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0E25D42"/>
    <w:multiLevelType w:val="hybridMultilevel"/>
    <w:tmpl w:val="2B34F7BA"/>
    <w:lvl w:ilvl="0" w:tplc="3F54EE9C">
      <w:start w:val="1"/>
      <w:numFmt w:val="bullet"/>
      <w:lvlText w:val="▌"/>
      <w:lvlJc w:val="left"/>
      <w:pPr>
        <w:ind w:left="360" w:hanging="360"/>
      </w:pPr>
      <w:rPr>
        <w:rFonts w:ascii="Arial" w:hAnsi="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716468DD"/>
    <w:multiLevelType w:val="hybridMultilevel"/>
    <w:tmpl w:val="556EC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9E637C9"/>
    <w:multiLevelType w:val="multilevel"/>
    <w:tmpl w:val="BB0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0F51CE"/>
    <w:multiLevelType w:val="hybridMultilevel"/>
    <w:tmpl w:val="43961DCE"/>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1"/>
  </w:num>
  <w:num w:numId="4">
    <w:abstractNumId w:val="16"/>
  </w:num>
  <w:num w:numId="5">
    <w:abstractNumId w:val="5"/>
  </w:num>
  <w:num w:numId="6">
    <w:abstractNumId w:val="23"/>
  </w:num>
  <w:num w:numId="7">
    <w:abstractNumId w:val="18"/>
  </w:num>
  <w:num w:numId="8">
    <w:abstractNumId w:val="23"/>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92" w:hanging="432"/>
        </w:pPr>
        <w:rPr>
          <w:rFonts w:hint="default"/>
        </w:rPr>
      </w:lvl>
    </w:lvlOverride>
    <w:lvlOverride w:ilvl="2">
      <w:lvl w:ilvl="2">
        <w:start w:val="1"/>
        <w:numFmt w:val="none"/>
        <w:lvlText w:val="4.4.1"/>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23"/>
    <w:lvlOverride w:ilvl="0">
      <w:lvl w:ilvl="0">
        <w:start w:val="1"/>
        <w:numFmt w:val="decimal"/>
        <w:lvlText w:val="%1."/>
        <w:lvlJc w:val="left"/>
        <w:pPr>
          <w:ind w:left="360" w:hanging="360"/>
        </w:pPr>
        <w:rPr>
          <w:rFonts w:hint="default"/>
        </w:rPr>
      </w:lvl>
    </w:lvlOverride>
    <w:lvlOverride w:ilvl="1">
      <w:lvl w:ilvl="1">
        <w:start w:val="1"/>
        <w:numFmt w:val="decimal"/>
        <w:lvlRestart w:val="0"/>
        <w:lvlText w:val="3.%2"/>
        <w:lvlJc w:val="left"/>
        <w:pPr>
          <w:ind w:left="992" w:hanging="992"/>
        </w:pPr>
        <w:rPr>
          <w:rFonts w:hint="default"/>
        </w:rPr>
      </w:lvl>
    </w:lvlOverride>
    <w:lvlOverride w:ilvl="2">
      <w:lvl w:ilvl="2">
        <w:start w:val="1"/>
        <w:numFmt w:val="decimal"/>
        <w:lvlText w:val="3.%2.%3"/>
        <w:lvlJc w:val="left"/>
        <w:pPr>
          <w:ind w:left="1224" w:hanging="504"/>
        </w:pPr>
        <w:rPr>
          <w:rFonts w:hint="default"/>
        </w:rPr>
      </w:lvl>
    </w:lvlOverride>
    <w:lvlOverride w:ilvl="3">
      <w:lvl w:ilvl="3">
        <w:start w:val="1"/>
        <w:numFmt w:val="decimal"/>
        <w:lvlText w:val="4.4.1.%4"/>
        <w:lvlJc w:val="left"/>
        <w:pPr>
          <w:ind w:left="1728" w:hanging="648"/>
        </w:pPr>
        <w:rPr>
          <w:rFonts w:hint="default"/>
        </w:rPr>
      </w:lvl>
    </w:lvlOverride>
    <w:lvlOverride w:ilvl="4">
      <w:lvl w:ilvl="4">
        <w:start w:val="1"/>
        <w:numFmt w:val="decimal"/>
        <w:lvlText w:val="3.%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0"/>
  </w:num>
  <w:num w:numId="11">
    <w:abstractNumId w:val="25"/>
  </w:num>
  <w:num w:numId="12">
    <w:abstractNumId w:val="3"/>
  </w:num>
  <w:num w:numId="13">
    <w:abstractNumId w:val="11"/>
  </w:num>
  <w:num w:numId="14">
    <w:abstractNumId w:val="19"/>
  </w:num>
  <w:num w:numId="15">
    <w:abstractNumId w:val="1"/>
  </w:num>
  <w:num w:numId="16">
    <w:abstractNumId w:val="31"/>
  </w:num>
  <w:num w:numId="17">
    <w:abstractNumId w:val="31"/>
  </w:num>
  <w:num w:numId="18">
    <w:abstractNumId w:val="29"/>
  </w:num>
  <w:num w:numId="19">
    <w:abstractNumId w:val="28"/>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5"/>
  </w:num>
  <w:num w:numId="23">
    <w:abstractNumId w:val="4"/>
  </w:num>
  <w:num w:numId="24">
    <w:abstractNumId w:val="13"/>
  </w:num>
  <w:num w:numId="25">
    <w:abstractNumId w:val="9"/>
  </w:num>
  <w:num w:numId="26">
    <w:abstractNumId w:val="26"/>
  </w:num>
  <w:num w:numId="27">
    <w:abstractNumId w:val="22"/>
  </w:num>
  <w:num w:numId="28">
    <w:abstractNumId w:val="15"/>
  </w:num>
  <w:num w:numId="29">
    <w:abstractNumId w:val="8"/>
  </w:num>
  <w:num w:numId="30">
    <w:abstractNumId w:val="27"/>
  </w:num>
  <w:num w:numId="31">
    <w:abstractNumId w:val="33"/>
  </w:num>
  <w:num w:numId="32">
    <w:abstractNumId w:val="14"/>
  </w:num>
  <w:num w:numId="33">
    <w:abstractNumId w:val="32"/>
  </w:num>
  <w:num w:numId="34">
    <w:abstractNumId w:val="20"/>
  </w:num>
  <w:num w:numId="35">
    <w:abstractNumId w:val="12"/>
  </w:num>
  <w:num w:numId="36">
    <w:abstractNumId w:val="24"/>
  </w:num>
  <w:num w:numId="37">
    <w:abstractNumId w:val="34"/>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attachedTemplate r:id="rId1"/>
  <w:trackRevisions/>
  <w:defaultTabStop w:val="720"/>
  <w:hyphenationZone w:val="425"/>
  <w:characterSpacingControl w:val="doNotCompress"/>
  <w:hdrShapeDefaults>
    <o:shapedefaults v:ext="edit" spidmax="212993"/>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62EE9"/>
    <w:rsid w:val="00002900"/>
    <w:rsid w:val="00004244"/>
    <w:rsid w:val="000069EC"/>
    <w:rsid w:val="0001498F"/>
    <w:rsid w:val="000240BF"/>
    <w:rsid w:val="00031003"/>
    <w:rsid w:val="000319E8"/>
    <w:rsid w:val="00040BC5"/>
    <w:rsid w:val="00041668"/>
    <w:rsid w:val="00086D24"/>
    <w:rsid w:val="000A29C8"/>
    <w:rsid w:val="000B5142"/>
    <w:rsid w:val="000C1E3A"/>
    <w:rsid w:val="000C5551"/>
    <w:rsid w:val="000D0207"/>
    <w:rsid w:val="00101040"/>
    <w:rsid w:val="001266FB"/>
    <w:rsid w:val="00130BE1"/>
    <w:rsid w:val="0013128E"/>
    <w:rsid w:val="001320E1"/>
    <w:rsid w:val="001667E5"/>
    <w:rsid w:val="001727E1"/>
    <w:rsid w:val="00181F74"/>
    <w:rsid w:val="00194B7F"/>
    <w:rsid w:val="00197D10"/>
    <w:rsid w:val="001A1B69"/>
    <w:rsid w:val="001C7AAD"/>
    <w:rsid w:val="001E1C9F"/>
    <w:rsid w:val="001E27AD"/>
    <w:rsid w:val="00200DFD"/>
    <w:rsid w:val="00203BA9"/>
    <w:rsid w:val="0020617D"/>
    <w:rsid w:val="00206ABA"/>
    <w:rsid w:val="002103BF"/>
    <w:rsid w:val="00217EBB"/>
    <w:rsid w:val="0022777B"/>
    <w:rsid w:val="00247072"/>
    <w:rsid w:val="00260BE2"/>
    <w:rsid w:val="00280E98"/>
    <w:rsid w:val="002877DF"/>
    <w:rsid w:val="002A1E87"/>
    <w:rsid w:val="002B6909"/>
    <w:rsid w:val="002D372E"/>
    <w:rsid w:val="002E25FD"/>
    <w:rsid w:val="00300379"/>
    <w:rsid w:val="00302F90"/>
    <w:rsid w:val="00313E5F"/>
    <w:rsid w:val="00316D72"/>
    <w:rsid w:val="00323FCB"/>
    <w:rsid w:val="003452C9"/>
    <w:rsid w:val="00355A28"/>
    <w:rsid w:val="003813C8"/>
    <w:rsid w:val="003870ED"/>
    <w:rsid w:val="003904AC"/>
    <w:rsid w:val="003A0933"/>
    <w:rsid w:val="003B5C98"/>
    <w:rsid w:val="003E7A06"/>
    <w:rsid w:val="003F02A4"/>
    <w:rsid w:val="003F0C7F"/>
    <w:rsid w:val="003F3788"/>
    <w:rsid w:val="003F7721"/>
    <w:rsid w:val="00415B53"/>
    <w:rsid w:val="00425A3B"/>
    <w:rsid w:val="004439DB"/>
    <w:rsid w:val="00444A6E"/>
    <w:rsid w:val="00453B2E"/>
    <w:rsid w:val="004571D2"/>
    <w:rsid w:val="00457B26"/>
    <w:rsid w:val="004648F4"/>
    <w:rsid w:val="00480A8B"/>
    <w:rsid w:val="004A15A8"/>
    <w:rsid w:val="004A5896"/>
    <w:rsid w:val="004B7D1D"/>
    <w:rsid w:val="004C0CC7"/>
    <w:rsid w:val="004C52B8"/>
    <w:rsid w:val="004E5844"/>
    <w:rsid w:val="004F1FBD"/>
    <w:rsid w:val="004F219E"/>
    <w:rsid w:val="004F6FDA"/>
    <w:rsid w:val="005169D2"/>
    <w:rsid w:val="00522DCF"/>
    <w:rsid w:val="00523812"/>
    <w:rsid w:val="00530B00"/>
    <w:rsid w:val="00545EFE"/>
    <w:rsid w:val="00550C2E"/>
    <w:rsid w:val="00552153"/>
    <w:rsid w:val="00556B73"/>
    <w:rsid w:val="00565BDC"/>
    <w:rsid w:val="005707AF"/>
    <w:rsid w:val="005728C7"/>
    <w:rsid w:val="00575CE5"/>
    <w:rsid w:val="00581F32"/>
    <w:rsid w:val="005845E4"/>
    <w:rsid w:val="005A11DE"/>
    <w:rsid w:val="005A5C94"/>
    <w:rsid w:val="005B5019"/>
    <w:rsid w:val="005C7C0B"/>
    <w:rsid w:val="005E0F2B"/>
    <w:rsid w:val="00602D92"/>
    <w:rsid w:val="006075B0"/>
    <w:rsid w:val="00617E92"/>
    <w:rsid w:val="0063484F"/>
    <w:rsid w:val="00667AC2"/>
    <w:rsid w:val="00680B58"/>
    <w:rsid w:val="00680B94"/>
    <w:rsid w:val="00685278"/>
    <w:rsid w:val="006863B0"/>
    <w:rsid w:val="006A1706"/>
    <w:rsid w:val="006A4362"/>
    <w:rsid w:val="006A7526"/>
    <w:rsid w:val="006B3AB1"/>
    <w:rsid w:val="006B41C3"/>
    <w:rsid w:val="006C0594"/>
    <w:rsid w:val="00713FD3"/>
    <w:rsid w:val="00715299"/>
    <w:rsid w:val="007224DD"/>
    <w:rsid w:val="0074049D"/>
    <w:rsid w:val="00751CAE"/>
    <w:rsid w:val="00752C4C"/>
    <w:rsid w:val="00757783"/>
    <w:rsid w:val="0076149B"/>
    <w:rsid w:val="00761CAC"/>
    <w:rsid w:val="007729FB"/>
    <w:rsid w:val="00782350"/>
    <w:rsid w:val="00785E0D"/>
    <w:rsid w:val="007870F4"/>
    <w:rsid w:val="00795C13"/>
    <w:rsid w:val="007A3739"/>
    <w:rsid w:val="007B234D"/>
    <w:rsid w:val="007C7728"/>
    <w:rsid w:val="007E63A5"/>
    <w:rsid w:val="007F7AD3"/>
    <w:rsid w:val="00801C12"/>
    <w:rsid w:val="0081192F"/>
    <w:rsid w:val="0084180D"/>
    <w:rsid w:val="00861860"/>
    <w:rsid w:val="00863208"/>
    <w:rsid w:val="00876ECF"/>
    <w:rsid w:val="008804A0"/>
    <w:rsid w:val="00887646"/>
    <w:rsid w:val="008A0501"/>
    <w:rsid w:val="008B08E8"/>
    <w:rsid w:val="008B390B"/>
    <w:rsid w:val="008D3C31"/>
    <w:rsid w:val="008D64D2"/>
    <w:rsid w:val="008E1EC6"/>
    <w:rsid w:val="008E2D04"/>
    <w:rsid w:val="008E55D9"/>
    <w:rsid w:val="008F72F8"/>
    <w:rsid w:val="008F744E"/>
    <w:rsid w:val="00911327"/>
    <w:rsid w:val="0094483E"/>
    <w:rsid w:val="009533E0"/>
    <w:rsid w:val="00953B4D"/>
    <w:rsid w:val="0096392A"/>
    <w:rsid w:val="00967517"/>
    <w:rsid w:val="00973210"/>
    <w:rsid w:val="0097424C"/>
    <w:rsid w:val="00975D21"/>
    <w:rsid w:val="00980740"/>
    <w:rsid w:val="009851FE"/>
    <w:rsid w:val="00995F86"/>
    <w:rsid w:val="009A005D"/>
    <w:rsid w:val="009B03AA"/>
    <w:rsid w:val="009E66F8"/>
    <w:rsid w:val="009E6F12"/>
    <w:rsid w:val="009F0685"/>
    <w:rsid w:val="00A115D0"/>
    <w:rsid w:val="00A12C92"/>
    <w:rsid w:val="00A206FB"/>
    <w:rsid w:val="00A20ED1"/>
    <w:rsid w:val="00A23121"/>
    <w:rsid w:val="00A2682E"/>
    <w:rsid w:val="00A306E9"/>
    <w:rsid w:val="00A30AA2"/>
    <w:rsid w:val="00A30B64"/>
    <w:rsid w:val="00A36999"/>
    <w:rsid w:val="00A46E3D"/>
    <w:rsid w:val="00A65072"/>
    <w:rsid w:val="00A766BD"/>
    <w:rsid w:val="00A859A6"/>
    <w:rsid w:val="00AA454A"/>
    <w:rsid w:val="00AA458C"/>
    <w:rsid w:val="00AB4AAB"/>
    <w:rsid w:val="00AC193D"/>
    <w:rsid w:val="00AD0F71"/>
    <w:rsid w:val="00AD201C"/>
    <w:rsid w:val="00AE3E17"/>
    <w:rsid w:val="00AE4BF6"/>
    <w:rsid w:val="00B017DF"/>
    <w:rsid w:val="00B01C71"/>
    <w:rsid w:val="00B14FA3"/>
    <w:rsid w:val="00B748E9"/>
    <w:rsid w:val="00B84C92"/>
    <w:rsid w:val="00B924DA"/>
    <w:rsid w:val="00B962A3"/>
    <w:rsid w:val="00B97E09"/>
    <w:rsid w:val="00BC0D40"/>
    <w:rsid w:val="00BC2065"/>
    <w:rsid w:val="00BC3CD5"/>
    <w:rsid w:val="00BC53E3"/>
    <w:rsid w:val="00BC672D"/>
    <w:rsid w:val="00BD3D8D"/>
    <w:rsid w:val="00BE15C9"/>
    <w:rsid w:val="00BE55A5"/>
    <w:rsid w:val="00BE762A"/>
    <w:rsid w:val="00C07AC0"/>
    <w:rsid w:val="00C133CD"/>
    <w:rsid w:val="00C23CFC"/>
    <w:rsid w:val="00C24952"/>
    <w:rsid w:val="00C27C7A"/>
    <w:rsid w:val="00C32170"/>
    <w:rsid w:val="00C459B2"/>
    <w:rsid w:val="00C467A4"/>
    <w:rsid w:val="00C5207F"/>
    <w:rsid w:val="00C53525"/>
    <w:rsid w:val="00C81870"/>
    <w:rsid w:val="00C82477"/>
    <w:rsid w:val="00C87C49"/>
    <w:rsid w:val="00CA0FE7"/>
    <w:rsid w:val="00CC631A"/>
    <w:rsid w:val="00CF4ABB"/>
    <w:rsid w:val="00CF7F4F"/>
    <w:rsid w:val="00D0291A"/>
    <w:rsid w:val="00D24250"/>
    <w:rsid w:val="00D25D19"/>
    <w:rsid w:val="00D36B94"/>
    <w:rsid w:val="00D67337"/>
    <w:rsid w:val="00D80EB6"/>
    <w:rsid w:val="00D83098"/>
    <w:rsid w:val="00D91995"/>
    <w:rsid w:val="00D91F6D"/>
    <w:rsid w:val="00D96DD3"/>
    <w:rsid w:val="00DB569C"/>
    <w:rsid w:val="00DC5DAE"/>
    <w:rsid w:val="00DD6076"/>
    <w:rsid w:val="00E3535B"/>
    <w:rsid w:val="00E47015"/>
    <w:rsid w:val="00E50658"/>
    <w:rsid w:val="00E56FC7"/>
    <w:rsid w:val="00E575FA"/>
    <w:rsid w:val="00E80F9B"/>
    <w:rsid w:val="00E825EA"/>
    <w:rsid w:val="00E92801"/>
    <w:rsid w:val="00E932A0"/>
    <w:rsid w:val="00EB0C15"/>
    <w:rsid w:val="00EE747B"/>
    <w:rsid w:val="00EF074D"/>
    <w:rsid w:val="00EF0796"/>
    <w:rsid w:val="00EF308B"/>
    <w:rsid w:val="00EF6E8B"/>
    <w:rsid w:val="00F00958"/>
    <w:rsid w:val="00F1231C"/>
    <w:rsid w:val="00F366E9"/>
    <w:rsid w:val="00F62B34"/>
    <w:rsid w:val="00F62EE9"/>
    <w:rsid w:val="00F654E9"/>
    <w:rsid w:val="00F74B11"/>
    <w:rsid w:val="00F81E85"/>
    <w:rsid w:val="00F91AA9"/>
    <w:rsid w:val="00FC4ECA"/>
    <w:rsid w:val="00FD11D6"/>
    <w:rsid w:val="00FE2693"/>
    <w:rsid w:val="00FE5B93"/>
    <w:rsid w:val="00FF48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2993"/>
    <o:shapelayout v:ext="edit">
      <o:idmap v:ext="edit" data="1"/>
    </o:shapelayout>
  </w:shapeDefaults>
  <w:decimalSymbol w:val=","/>
  <w:listSeparator w:val=";"/>
  <w14:docId w14:val="659C4B90"/>
  <w15:docId w15:val="{AF5C5575-7133-498E-864E-913B416D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spacing w:after="600"/>
      <w:outlineLvl w:val="0"/>
    </w:pPr>
    <w:rPr>
      <w:rFonts w:ascii="Times New Roman" w:eastAsiaTheme="majorEastAsia" w:hAnsi="Times New Roman" w:cstheme="majorBidi"/>
      <w:bCs/>
      <w:color w:val="BECDD7" w:themeColor="background2"/>
      <w:sz w:val="36"/>
      <w:szCs w:val="28"/>
    </w:rPr>
  </w:style>
  <w:style w:type="paragraph" w:styleId="berschrift2">
    <w:name w:val="heading 2"/>
    <w:aliases w:val="_Headline Times 30 pt"/>
    <w:next w:val="Standard"/>
    <w:link w:val="berschrift2Zchn"/>
    <w:uiPriority w:val="9"/>
    <w:unhideWhenUsed/>
    <w:qFormat/>
    <w:pPr>
      <w:keepNext/>
      <w:keepLines/>
      <w:numPr>
        <w:numId w:val="5"/>
      </w:numPr>
      <w:spacing w:before="360" w:after="480"/>
      <w:outlineLvl w:val="1"/>
    </w:pPr>
    <w:rPr>
      <w:rFonts w:ascii="Times New Roman" w:eastAsiaTheme="majorEastAsia" w:hAnsi="Times New Roman" w:cstheme="majorBidi"/>
      <w:bCs/>
      <w:color w:val="879BAA" w:themeColor="text2"/>
      <w:sz w:val="60"/>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36"/>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60"/>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6"/>
      <w:szCs w:val="24"/>
    </w:rPr>
  </w:style>
  <w:style w:type="character" w:customStyle="1" w:styleId="UntertitelZchn">
    <w:name w:val="Untertitel Zchn"/>
    <w:basedOn w:val="Absatz-Standardschriftart"/>
    <w:link w:val="Untertitel"/>
    <w:uiPriority w:val="11"/>
    <w:rPr>
      <w:rFonts w:eastAsiaTheme="majorEastAsia" w:cstheme="majorBidi"/>
      <w:b/>
      <w:iCs/>
      <w:color w:val="879BAA" w:themeColor="text2"/>
      <w:sz w:val="26"/>
      <w:szCs w:val="24"/>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uiPriority w:val="99"/>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link w:val="ListenabsatzZchn"/>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pPr>
    <w:rPr>
      <w:color w:val="006487" w:themeColor="accent3"/>
    </w:rPr>
  </w:style>
  <w:style w:type="paragraph" w:customStyle="1" w:styleId="DoDontBulletpoints">
    <w:name w:val="_Do/Don't Bulletpoints"/>
    <w:basedOn w:val="Standard"/>
    <w:qFormat/>
    <w:pPr>
      <w:spacing w:line="240" w:lineRule="auto"/>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7"/>
      </w:numPr>
    </w:pPr>
  </w:style>
  <w:style w:type="character" w:customStyle="1" w:styleId="ListenabsatzZchn">
    <w:name w:val="Listenabsatz Zchn"/>
    <w:basedOn w:val="Absatz-Standardschriftart"/>
    <w:link w:val="Listenabsatz"/>
    <w:uiPriority w:val="34"/>
    <w:rPr>
      <w:sz w:val="20"/>
    </w:rPr>
  </w:style>
  <w:style w:type="character" w:styleId="BesuchterLink">
    <w:name w:val="FollowedHyperlink"/>
    <w:basedOn w:val="Absatz-Standardschriftart"/>
    <w:uiPriority w:val="99"/>
    <w:semiHidden/>
    <w:unhideWhenUsed/>
    <w:rPr>
      <w:color w:val="800080" w:themeColor="followedHyperlink"/>
      <w:u w:val="single"/>
    </w:rPr>
  </w:style>
  <w:style w:type="character" w:styleId="Hyperlink">
    <w:name w:val="Hyperlink"/>
    <w:basedOn w:val="Absatz-Standardschriftart"/>
    <w:uiPriority w:val="99"/>
    <w:unhideWhenUsed/>
    <w:rPr>
      <w:color w:val="0000FF" w:themeColor="hyperlink"/>
      <w:u w:val="single"/>
    </w:rPr>
  </w:style>
  <w:style w:type="paragraph" w:styleId="Verzeichnis4">
    <w:name w:val="toc 4"/>
    <w:basedOn w:val="Standard"/>
    <w:next w:val="Standard"/>
    <w:autoRedefine/>
    <w:uiPriority w:val="39"/>
    <w:unhideWhenUsed/>
    <w:pPr>
      <w:spacing w:after="100" w:line="360" w:lineRule="auto"/>
      <w:ind w:left="660"/>
      <w:jc w:val="both"/>
    </w:pPr>
    <w:rPr>
      <w:rFonts w:eastAsia="Times New Roman" w:cs="Arial"/>
      <w:color w:val="000000"/>
      <w:kern w:val="28"/>
      <w:sz w:val="22"/>
      <w:lang w:val="de-DE" w:eastAsia="de-DE"/>
    </w:r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paragraph" w:customStyle="1" w:styleId="scfbrieftext">
    <w:name w:val="scfbrieftext"/>
    <w:basedOn w:val="Standard"/>
    <w:qFormat/>
    <w:rsid w:val="00552153"/>
    <w:pPr>
      <w:spacing w:after="0" w:line="280" w:lineRule="exact"/>
      <w:ind w:right="567"/>
    </w:pPr>
    <w:rPr>
      <w:rFonts w:eastAsia="Times New Roman" w:cs="Times New Roman"/>
      <w:szCs w:val="20"/>
      <w:lang w:eastAsia="de-DE"/>
    </w:rPr>
  </w:style>
  <w:style w:type="paragraph" w:styleId="Funotentext">
    <w:name w:val="footnote text"/>
    <w:basedOn w:val="Standard"/>
    <w:link w:val="FunotentextZchn"/>
    <w:uiPriority w:val="99"/>
    <w:rsid w:val="004439DB"/>
    <w:pPr>
      <w:spacing w:after="200" w:line="276" w:lineRule="auto"/>
    </w:pPr>
    <w:rPr>
      <w:sz w:val="22"/>
    </w:rPr>
  </w:style>
  <w:style w:type="character" w:customStyle="1" w:styleId="FunotentextZchn">
    <w:name w:val="Fußnotentext Zchn"/>
    <w:basedOn w:val="Absatz-Standardschriftart"/>
    <w:link w:val="Funotentext"/>
    <w:uiPriority w:val="99"/>
    <w:rsid w:val="004439DB"/>
  </w:style>
  <w:style w:type="character" w:styleId="Funotenzeichen">
    <w:name w:val="footnote reference"/>
    <w:basedOn w:val="Absatz-Standardschriftart"/>
    <w:uiPriority w:val="99"/>
    <w:unhideWhenUsed/>
    <w:rsid w:val="004439DB"/>
    <w:rPr>
      <w:vertAlign w:val="superscript"/>
    </w:rPr>
  </w:style>
  <w:style w:type="character" w:customStyle="1" w:styleId="NichtaufgelsteErwhnung1">
    <w:name w:val="Nicht aufgelöste Erwähnung1"/>
    <w:basedOn w:val="Absatz-Standardschriftart"/>
    <w:uiPriority w:val="99"/>
    <w:semiHidden/>
    <w:unhideWhenUsed/>
    <w:rsid w:val="004C52B8"/>
    <w:rPr>
      <w:color w:val="605E5C"/>
      <w:shd w:val="clear" w:color="auto" w:fill="E1DFDD"/>
    </w:rPr>
  </w:style>
  <w:style w:type="character" w:customStyle="1" w:styleId="NichtaufgelsteErwhnung2">
    <w:name w:val="Nicht aufgelöste Erwähnung2"/>
    <w:basedOn w:val="Absatz-Standardschriftart"/>
    <w:uiPriority w:val="99"/>
    <w:semiHidden/>
    <w:unhideWhenUsed/>
    <w:rsid w:val="004571D2"/>
    <w:rPr>
      <w:color w:val="605E5C"/>
      <w:shd w:val="clear" w:color="auto" w:fill="E1DFDD"/>
    </w:rPr>
  </w:style>
  <w:style w:type="character" w:styleId="NichtaufgelsteErwhnung">
    <w:name w:val="Unresolved Mention"/>
    <w:basedOn w:val="Absatz-Standardschriftart"/>
    <w:uiPriority w:val="99"/>
    <w:semiHidden/>
    <w:unhideWhenUsed/>
    <w:rsid w:val="00523812"/>
    <w:rPr>
      <w:color w:val="605E5C"/>
      <w:shd w:val="clear" w:color="auto" w:fill="E1DFDD"/>
    </w:rPr>
  </w:style>
  <w:style w:type="paragraph" w:customStyle="1" w:styleId="TableParagraph">
    <w:name w:val="Table Paragraph"/>
    <w:basedOn w:val="Standard"/>
    <w:uiPriority w:val="1"/>
    <w:qFormat/>
    <w:rsid w:val="008B08E8"/>
    <w:pPr>
      <w:widowControl w:val="0"/>
      <w:spacing w:after="0" w:line="240" w:lineRule="auto"/>
    </w:pPr>
    <w:rPr>
      <w:rFonts w:asciiTheme="minorHAnsi" w:hAnsiTheme="minorHAnsi"/>
      <w:sz w:val="22"/>
    </w:rPr>
  </w:style>
  <w:style w:type="paragraph" w:customStyle="1" w:styleId="Default">
    <w:name w:val="Default"/>
    <w:rsid w:val="008B08E8"/>
    <w:pPr>
      <w:autoSpaceDE w:val="0"/>
      <w:autoSpaceDN w:val="0"/>
      <w:adjustRightInd w:val="0"/>
      <w:spacing w:after="0" w:line="240" w:lineRule="auto"/>
    </w:pPr>
    <w:rPr>
      <w:rFonts w:cs="Arial"/>
      <w:color w:val="000000"/>
      <w:sz w:val="24"/>
      <w:szCs w:val="24"/>
    </w:rPr>
  </w:style>
  <w:style w:type="paragraph" w:customStyle="1" w:styleId="list-item">
    <w:name w:val="list-item"/>
    <w:basedOn w:val="Standard"/>
    <w:rsid w:val="003A09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text">
    <w:name w:val="list-text"/>
    <w:basedOn w:val="Absatz-Standardschriftart"/>
    <w:rsid w:val="003A0933"/>
  </w:style>
  <w:style w:type="character" w:customStyle="1" w:styleId="oforegroundcolor000000">
    <w:name w:val="o_foregroundcolor000000"/>
    <w:basedOn w:val="Absatz-Standardschriftart"/>
    <w:rsid w:val="003A0933"/>
  </w:style>
  <w:style w:type="paragraph" w:styleId="Anrede">
    <w:name w:val="Salutation"/>
    <w:basedOn w:val="Standard"/>
    <w:next w:val="Standard"/>
    <w:link w:val="AnredeZchn"/>
    <w:uiPriority w:val="99"/>
    <w:unhideWhenUsed/>
    <w:rsid w:val="00AC193D"/>
  </w:style>
  <w:style w:type="character" w:customStyle="1" w:styleId="AnredeZchn">
    <w:name w:val="Anrede Zchn"/>
    <w:basedOn w:val="Absatz-Standardschriftart"/>
    <w:link w:val="Anrede"/>
    <w:uiPriority w:val="99"/>
    <w:rsid w:val="00AC193D"/>
    <w:rPr>
      <w:sz w:val="20"/>
    </w:rPr>
  </w:style>
  <w:style w:type="paragraph" w:styleId="Listenfortsetzung">
    <w:name w:val="List Continue"/>
    <w:basedOn w:val="Standard"/>
    <w:uiPriority w:val="99"/>
    <w:unhideWhenUsed/>
    <w:rsid w:val="00AC193D"/>
    <w:pPr>
      <w:spacing w:after="120"/>
      <w:ind w:left="283"/>
      <w:contextualSpacing/>
    </w:pPr>
  </w:style>
  <w:style w:type="paragraph" w:styleId="Textkrper">
    <w:name w:val="Body Text"/>
    <w:basedOn w:val="Standard"/>
    <w:link w:val="TextkrperZchn"/>
    <w:uiPriority w:val="99"/>
    <w:unhideWhenUsed/>
    <w:rsid w:val="00AC193D"/>
    <w:pPr>
      <w:spacing w:after="120"/>
    </w:pPr>
  </w:style>
  <w:style w:type="character" w:customStyle="1" w:styleId="TextkrperZchn">
    <w:name w:val="Textkörper Zchn"/>
    <w:basedOn w:val="Absatz-Standardschriftart"/>
    <w:link w:val="Textkrper"/>
    <w:uiPriority w:val="99"/>
    <w:rsid w:val="00AC193D"/>
    <w:rPr>
      <w:sz w:val="20"/>
    </w:rPr>
  </w:style>
  <w:style w:type="paragraph" w:styleId="Textkrper-Zeileneinzug">
    <w:name w:val="Body Text Indent"/>
    <w:basedOn w:val="Standard"/>
    <w:link w:val="Textkrper-ZeileneinzugZchn"/>
    <w:uiPriority w:val="99"/>
    <w:semiHidden/>
    <w:unhideWhenUsed/>
    <w:rsid w:val="00AC193D"/>
    <w:pPr>
      <w:spacing w:after="120"/>
      <w:ind w:left="283"/>
    </w:pPr>
  </w:style>
  <w:style w:type="character" w:customStyle="1" w:styleId="Textkrper-ZeileneinzugZchn">
    <w:name w:val="Textkörper-Zeileneinzug Zchn"/>
    <w:basedOn w:val="Absatz-Standardschriftart"/>
    <w:link w:val="Textkrper-Zeileneinzug"/>
    <w:uiPriority w:val="99"/>
    <w:semiHidden/>
    <w:rsid w:val="00AC193D"/>
    <w:rPr>
      <w:sz w:val="20"/>
    </w:rPr>
  </w:style>
  <w:style w:type="paragraph" w:styleId="Textkrper-Erstzeileneinzug2">
    <w:name w:val="Body Text First Indent 2"/>
    <w:basedOn w:val="Textkrper-Zeileneinzug"/>
    <w:link w:val="Textkrper-Erstzeileneinzug2Zchn"/>
    <w:uiPriority w:val="99"/>
    <w:unhideWhenUsed/>
    <w:rsid w:val="00AC193D"/>
    <w:pPr>
      <w:spacing w:after="140"/>
      <w:ind w:left="360" w:firstLine="360"/>
    </w:pPr>
  </w:style>
  <w:style w:type="character" w:customStyle="1" w:styleId="Textkrper-Erstzeileneinzug2Zchn">
    <w:name w:val="Textkörper-Erstzeileneinzug 2 Zchn"/>
    <w:basedOn w:val="Textkrper-ZeileneinzugZchn"/>
    <w:link w:val="Textkrper-Erstzeileneinzug2"/>
    <w:uiPriority w:val="99"/>
    <w:rsid w:val="00AC193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30781">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71137327">
      <w:bodyDiv w:val="1"/>
      <w:marLeft w:val="0"/>
      <w:marRight w:val="0"/>
      <w:marTop w:val="0"/>
      <w:marBottom w:val="0"/>
      <w:divBdr>
        <w:top w:val="none" w:sz="0" w:space="0" w:color="auto"/>
        <w:left w:val="none" w:sz="0" w:space="0" w:color="auto"/>
        <w:bottom w:val="none" w:sz="0" w:space="0" w:color="auto"/>
        <w:right w:val="none" w:sz="0" w:space="0" w:color="auto"/>
      </w:divBdr>
    </w:div>
    <w:div w:id="316886376">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840852664">
      <w:bodyDiv w:val="1"/>
      <w:marLeft w:val="0"/>
      <w:marRight w:val="0"/>
      <w:marTop w:val="0"/>
      <w:marBottom w:val="0"/>
      <w:divBdr>
        <w:top w:val="none" w:sz="0" w:space="0" w:color="auto"/>
        <w:left w:val="none" w:sz="0" w:space="0" w:color="auto"/>
        <w:bottom w:val="none" w:sz="0" w:space="0" w:color="auto"/>
        <w:right w:val="none" w:sz="0" w:space="0" w:color="auto"/>
      </w:divBdr>
    </w:div>
    <w:div w:id="1032801346">
      <w:bodyDiv w:val="1"/>
      <w:marLeft w:val="0"/>
      <w:marRight w:val="0"/>
      <w:marTop w:val="0"/>
      <w:marBottom w:val="0"/>
      <w:divBdr>
        <w:top w:val="none" w:sz="0" w:space="0" w:color="auto"/>
        <w:left w:val="none" w:sz="0" w:space="0" w:color="auto"/>
        <w:bottom w:val="none" w:sz="0" w:space="0" w:color="auto"/>
        <w:right w:val="none" w:sz="0" w:space="0" w:color="auto"/>
      </w:divBdr>
    </w:div>
    <w:div w:id="1103037999">
      <w:bodyDiv w:val="1"/>
      <w:marLeft w:val="0"/>
      <w:marRight w:val="0"/>
      <w:marTop w:val="0"/>
      <w:marBottom w:val="0"/>
      <w:divBdr>
        <w:top w:val="none" w:sz="0" w:space="0" w:color="auto"/>
        <w:left w:val="none" w:sz="0" w:space="0" w:color="auto"/>
        <w:bottom w:val="none" w:sz="0" w:space="0" w:color="auto"/>
        <w:right w:val="none" w:sz="0" w:space="0" w:color="auto"/>
      </w:divBdr>
    </w:div>
    <w:div w:id="1423914563">
      <w:bodyDiv w:val="1"/>
      <w:marLeft w:val="0"/>
      <w:marRight w:val="0"/>
      <w:marTop w:val="0"/>
      <w:marBottom w:val="0"/>
      <w:divBdr>
        <w:top w:val="none" w:sz="0" w:space="0" w:color="auto"/>
        <w:left w:val="none" w:sz="0" w:space="0" w:color="auto"/>
        <w:bottom w:val="none" w:sz="0" w:space="0" w:color="auto"/>
        <w:right w:val="none" w:sz="0" w:space="0" w:color="auto"/>
      </w:divBdr>
    </w:div>
    <w:div w:id="2058845880">
      <w:bodyDiv w:val="1"/>
      <w:marLeft w:val="0"/>
      <w:marRight w:val="0"/>
      <w:marTop w:val="0"/>
      <w:marBottom w:val="0"/>
      <w:divBdr>
        <w:top w:val="none" w:sz="0" w:space="0" w:color="auto"/>
        <w:left w:val="none" w:sz="0" w:space="0" w:color="auto"/>
        <w:bottom w:val="none" w:sz="0" w:space="0" w:color="auto"/>
        <w:right w:val="none" w:sz="0" w:space="0" w:color="auto"/>
      </w:divBdr>
      <w:divsChild>
        <w:div w:id="1914850676">
          <w:marLeft w:val="0"/>
          <w:marRight w:val="0"/>
          <w:marTop w:val="0"/>
          <w:marBottom w:val="0"/>
          <w:divBdr>
            <w:top w:val="none" w:sz="0" w:space="0" w:color="auto"/>
            <w:left w:val="none" w:sz="0" w:space="0" w:color="auto"/>
            <w:bottom w:val="none" w:sz="0" w:space="0" w:color="auto"/>
            <w:right w:val="none" w:sz="0" w:space="0" w:color="auto"/>
          </w:divBdr>
        </w:div>
        <w:div w:id="2073691930">
          <w:marLeft w:val="0"/>
          <w:marRight w:val="0"/>
          <w:marTop w:val="0"/>
          <w:marBottom w:val="0"/>
          <w:divBdr>
            <w:top w:val="none" w:sz="0" w:space="0" w:color="auto"/>
            <w:left w:val="none" w:sz="0" w:space="0" w:color="auto"/>
            <w:bottom w:val="none" w:sz="0" w:space="0" w:color="auto"/>
            <w:right w:val="none" w:sz="0" w:space="0" w:color="auto"/>
          </w:divBdr>
        </w:div>
        <w:div w:id="1621916497">
          <w:marLeft w:val="0"/>
          <w:marRight w:val="0"/>
          <w:marTop w:val="0"/>
          <w:marBottom w:val="0"/>
          <w:divBdr>
            <w:top w:val="none" w:sz="0" w:space="0" w:color="auto"/>
            <w:left w:val="none" w:sz="0" w:space="0" w:color="auto"/>
            <w:bottom w:val="none" w:sz="0" w:space="0" w:color="auto"/>
            <w:right w:val="none" w:sz="0" w:space="0" w:color="auto"/>
          </w:divBdr>
        </w:div>
      </w:divsChild>
    </w:div>
    <w:div w:id="2097290153">
      <w:bodyDiv w:val="1"/>
      <w:marLeft w:val="0"/>
      <w:marRight w:val="0"/>
      <w:marTop w:val="0"/>
      <w:marBottom w:val="0"/>
      <w:divBdr>
        <w:top w:val="none" w:sz="0" w:space="0" w:color="auto"/>
        <w:left w:val="none" w:sz="0" w:space="0" w:color="auto"/>
        <w:bottom w:val="none" w:sz="0" w:space="0" w:color="auto"/>
        <w:right w:val="none" w:sz="0" w:space="0" w:color="auto"/>
      </w:divBdr>
    </w:div>
    <w:div w:id="210764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books.siemens.com/public/LC/chen/index.htm?n=Part-3-Compliance-Internal-Tasks,L.-Case-Handling,-Discipline-and-Remediation,2.-Case-Handling,2.3.-Case-tracking-tool-%E2%80%93-TRACI/TreuInfo" TargetMode="External"/><Relationship Id="rId117" Type="http://schemas.openxmlformats.org/officeDocument/2006/relationships/hyperlink" Target="_layouts/15/hypernet/custom/link.aspx?bid=00010023&amp;pt=2._x0020Permanent_x0020Establishments" TargetMode="External"/><Relationship Id="rId21" Type="http://schemas.openxmlformats.org/officeDocument/2006/relationships/hyperlink" Target="https://webbooks.siemens.com/public/LC/chen/index.htm?n=Part-2-Business-Perspective,G.-Compliance-Due-Diligences-and-Approvals,1.-Due-Diligences" TargetMode="External"/><Relationship Id="rId42" Type="http://schemas.openxmlformats.org/officeDocument/2006/relationships/hyperlink" Target="https://webbooks.siemens.com/public/LC/chen/index.htm?n=Part-1-Activity-Fields,C.-Anti-Money-Laundering" TargetMode="External"/><Relationship Id="rId47" Type="http://schemas.openxmlformats.org/officeDocument/2006/relationships/hyperlink" Target="https://webbooks.siemens.com/public/LC/chen/index.htm?n=Part-3-Compliance-Internal-Tasks,L.-Case-Handling,-Discipline-and-Remediation,4.-Disciplinary-Measures" TargetMode="External"/><Relationship Id="rId63" Type="http://schemas.openxmlformats.org/officeDocument/2006/relationships/hyperlink" Target="https://webbooks.siemens.com/public/LC/chen/index.htm?n=Part-3-Compliance-Internal-Tasks,K.-Compliance-Risk-Management-and-Reviews,2.-Compliance-Review-Board" TargetMode="External"/><Relationship Id="rId68" Type="http://schemas.openxmlformats.org/officeDocument/2006/relationships/hyperlink" Target="https://webbooks.siemens.com/public/LC/chen/index.htm?n=Part-1-Activity-Fields,A.-Anti-Corruption,1.-Gifts-and-Hospitality,1.3.-SpoDoM-Approval-for-providing-benefits" TargetMode="External"/><Relationship Id="rId84" Type="http://schemas.openxmlformats.org/officeDocument/2006/relationships/hyperlink" Target="https://webbooks.siemens.com/public/LC/chen/index.htm?n=Part-2-Business-Perspective,I.-Compliance-in-Mergers-and-Acquisitions,1.-Compliance-Due-Diligence,1.3.-Scope" TargetMode="External"/><Relationship Id="rId89" Type="http://schemas.openxmlformats.org/officeDocument/2006/relationships/hyperlink" Target="javascript:navigateTo('t-wbfpro3c64bd95-9-_A.1.3.2._Value-Add_Reseller',%20true)" TargetMode="External"/><Relationship Id="rId112" Type="http://schemas.openxmlformats.org/officeDocument/2006/relationships/hyperlink" Target="https://webbooks.siemens.com/public/LC/chen/index.htm?n=Part-3-Compliance-Internal-Tasks,L.-Case-Handling,-Discipline-and-Remediation,5.-Remediation" TargetMode="External"/><Relationship Id="rId133" Type="http://schemas.openxmlformats.org/officeDocument/2006/relationships/hyperlink" Target="https://webbooks.siemens.com/public/LC/chen/index.htm?n=Part-1-Activity-Fields,G.-Collective-Action,G.-Collective-Action-and-Siemens-Integrity-Initiative,3.-Guidance-on-Antitrust-in-Collective-Action" TargetMode="External"/><Relationship Id="rId138" Type="http://schemas.openxmlformats.org/officeDocument/2006/relationships/hyperlink" Target="https://webbooks.siemens.com/public/LC/chen/index.htm?n=Part-1-Activity-Fields,C.-Anti-Money-Laundering-(AML)" TargetMode="External"/><Relationship Id="rId154" Type="http://schemas.openxmlformats.org/officeDocument/2006/relationships/hyperlink" Target="https://webbooks.siemens.com/public/LC/chen/index.htm?n=Part-1-Activity-Fields,C.-Anti-Money-Laundering-(AML)" TargetMode="External"/><Relationship Id="rId159" Type="http://schemas.openxmlformats.org/officeDocument/2006/relationships/hyperlink" Target="https://workspace.c6.siemens.com/content/300000007/Compliance%20WebBook/Forms/AllItems.aspx" TargetMode="External"/><Relationship Id="rId16" Type="http://schemas.openxmlformats.org/officeDocument/2006/relationships/hyperlink" Target="https://webbooks.siemens.com/public/LC/chen/index.htm?n=Part-1-Activity-Fields,C.-Anti-Money-Laundering,2.-AML-Due-Diligence,2.2.-AML-KYC-(tool-supported-process),2.2.1.-Step-1:-Identification-of-the-Counterpart-and-verification-of-data" TargetMode="External"/><Relationship Id="rId107" Type="http://schemas.openxmlformats.org/officeDocument/2006/relationships/hyperlink" Target="https://webbooks.siemens.com/public/LC/chen/index.htm?n=Part-1-Activity-Fields,A.-Anti-Corruption,4.-Cooperation-with-Business-Partners,A.-Relevance-for-Business,A.1.-Business-Partner-Types,A.1.1.-Sales-related-Intermediary" TargetMode="External"/><Relationship Id="rId11" Type="http://schemas.openxmlformats.org/officeDocument/2006/relationships/hyperlink" Target="https://findit.compliance.siemens.com/content/10000101/Compliance/CL_CO/CL_CO_AT/findIT_CL_CO_AT_55.pdf" TargetMode="External"/><Relationship Id="rId32" Type="http://schemas.openxmlformats.org/officeDocument/2006/relationships/hyperlink" Target="https://findit.compliance.siemens.com/content/10000102/Compliance/SouthWest%20Europe%20Cluster/RCo_Belgium/findIT_RCo_Belgium_2692.pdf" TargetMode="External"/><Relationship Id="rId37" Type="http://schemas.openxmlformats.org/officeDocument/2006/relationships/hyperlink" Target="https://findit.compliance.siemens.com/content/10000101/Compliance/LC_CO/LC_CO_RG_PL/findIT_LC_CO_RG_PL_4387.pdf" TargetMode="External"/><Relationship Id="rId53" Type="http://schemas.openxmlformats.org/officeDocument/2006/relationships/hyperlink" Target="https://webbooks.siemens.com/public/LC/chen/index.htm?n=Part-3-Compliance-Internal-Tasks,L.-Case-Handling,-Discipline-and-Remediation,2.-Case-Handling" TargetMode="External"/><Relationship Id="rId58" Type="http://schemas.openxmlformats.org/officeDocument/2006/relationships/hyperlink" Target="https://webbooks.siemens.com/public/LC/chen/index.htm?n=Part-3-Compliance-Internal-Tasks,L.-Case-Handling,-Discipline-and-Remediation,2.-Case-Handling" TargetMode="External"/><Relationship Id="rId74" Type="http://schemas.openxmlformats.org/officeDocument/2006/relationships/hyperlink" Target="https://webbooks.siemens.com/public/LC/chen/index.htm?n=Part-1-Activity-Fields,A.-Anti-Corruption,4.-Cooperation-with-Business-Partners,A.-Relevance-for-Business,A.1.-Business-Partner-Types,A.1.1.-Sales-related-Intermediary" TargetMode="External"/><Relationship Id="rId79" Type="http://schemas.openxmlformats.org/officeDocument/2006/relationships/hyperlink" Target="https://webbooks.siemens.com/public/LC/chen/index.htm?n=Part-1-Activity-Fields,C.-Anti-Money-Laundering-(AML),2.-AML-Due-Diligence" TargetMode="External"/><Relationship Id="rId102" Type="http://schemas.openxmlformats.org/officeDocument/2006/relationships/hyperlink" Target="https://webbooks.siemens.com/public/LC/chen/index.htm?n=Part-1-Activity-Fields,A.-Anti-Corruption,4.-Cooperation-with-Business-Partners,A.-Relevance-for-Business,A.1.-Business-Partner-Types,A.1.3.-Reseller-/-Distributors" TargetMode="External"/><Relationship Id="rId123" Type="http://schemas.openxmlformats.org/officeDocument/2006/relationships/hyperlink" Target="https://webbooks.siemens.com/public/LC/chen/index.htm?n=Part-2-Business-Perspective,H.-Compliance-in-Business-Processes-and-Projects,5.-Compliance@Production-Facilities" TargetMode="External"/><Relationship Id="rId128" Type="http://schemas.openxmlformats.org/officeDocument/2006/relationships/hyperlink" Target="https://webbooks.siemens.com/public/LC/chen/index.htm?n=Part-3-Compliance-Internal-Tasks,L.-Case-Handling,-Discipline-and-Remediation,2.-Case-Handling" TargetMode="External"/><Relationship Id="rId144" Type="http://schemas.openxmlformats.org/officeDocument/2006/relationships/hyperlink" Target="https://webbooks.siemens.com/public/LC/chen/index.htm?n=Part-3-Compliance-Internal-Tasks,K.-Compliance-Risk-Management-and-Reviews,2.-Compliance-Review-Board" TargetMode="External"/><Relationship Id="rId149" Type="http://schemas.openxmlformats.org/officeDocument/2006/relationships/hyperlink" Target="https://webbooks.siemens.com/public/LC/chen/index.htm?n=Part-1-Activity-Fields,C.-Anti-Money-Laundering-(AML)" TargetMode="External"/><Relationship Id="rId5" Type="http://schemas.openxmlformats.org/officeDocument/2006/relationships/numbering" Target="numbering.xml"/><Relationship Id="rId90" Type="http://schemas.openxmlformats.org/officeDocument/2006/relationships/hyperlink" Target="https://webbooks.siemens.com/public/LC/chen/index.htm?n=Part-3-Compliance-Internal-Tasks,K.-Compliance-Risk-Management-and-Reviews,3.-Compliance-Control-Framework" TargetMode="External"/><Relationship Id="rId95" Type="http://schemas.openxmlformats.org/officeDocument/2006/relationships/hyperlink" Target="https://webbooks.siemens.com/public/LC/chen/index.htm?n=Part-3-Compliance-Internal-Tasks,L.-Case-Handling,-Discipline-and-Remediation,5.-Remediation" TargetMode="External"/><Relationship Id="rId160" Type="http://schemas.openxmlformats.org/officeDocument/2006/relationships/hyperlink" Target="mailto:ines.zins@siemens.com" TargetMode="External"/><Relationship Id="rId165" Type="http://schemas.openxmlformats.org/officeDocument/2006/relationships/footer" Target="footer2.xml"/><Relationship Id="rId22" Type="http://schemas.openxmlformats.org/officeDocument/2006/relationships/hyperlink" Target="https://webbooks.siemens.com/public/LC/chen/index.htm?n=Part-2-Business-Perspective,H.-Compliance-in-Business-Processes-and-Projects" TargetMode="External"/><Relationship Id="rId27" Type="http://schemas.openxmlformats.org/officeDocument/2006/relationships/hyperlink" Target="https://intranet.siemens.com/en/compliance/organization/index.htm" TargetMode="External"/><Relationship Id="rId43" Type="http://schemas.openxmlformats.org/officeDocument/2006/relationships/hyperlink" Target="https://webbooks.siemens.com/public/LC/chen/index.htm?n=Part-1-Activity-Fields,B.-Antitrust" TargetMode="External"/><Relationship Id="rId48" Type="http://schemas.openxmlformats.org/officeDocument/2006/relationships/hyperlink" Target="https://webbooks.siemens.com/public/LC/chen/index.htm?n=Part-2-Business-Perspective,H.-Compliance-in-Business-Processes-and-Projects,8.-Compliance-Due-Diligences-and-Approvals" TargetMode="External"/><Relationship Id="rId64" Type="http://schemas.openxmlformats.org/officeDocument/2006/relationships/hyperlink" Target="https://webbooks.siemens.com/public/LC/chen/index.htm?n=Part-1-Activity-Fields,A.-Anti-Corruption,4.-Cooperation-with-Business-Partners,A.-Relevance-for-Business,A.1.-Business-Partner-Types,A.1.2.-Non-sales-related-Intermediary" TargetMode="External"/><Relationship Id="rId69" Type="http://schemas.openxmlformats.org/officeDocument/2006/relationships/hyperlink" Target="https://webbooks.siemens.com/public/LC/chen/index.htm?n=Part-1-Activity-Fields,A.-Anti-Corruption,4.-Cooperation-with-Business-Partners,A.-Relevance-for-Business,A.4.-Compliance-Due-Diligence-(CDD)" TargetMode="External"/><Relationship Id="rId113" Type="http://schemas.openxmlformats.org/officeDocument/2006/relationships/hyperlink" Target="https://webbooks.siemens.com/public/LC/chen/index.htm?n=Part-3-Compliance-Internal-Tasks,L.-Case-Handling,-Discipline-and-Remediation,2.-Case-Handling,2.3.-Case-tracking-tool-%E2%80%93-TRACI/TreuInfo" TargetMode="External"/><Relationship Id="rId118" Type="http://schemas.openxmlformats.org/officeDocument/2006/relationships/hyperlink" Target="https://webbooks.siemens.com/public/LC/chen/index.htm?n=Part-1-Activity-Fields,A.-Anti-Corruption,3.-Cooperation-with-Business-Partners" TargetMode="External"/><Relationship Id="rId134" Type="http://schemas.openxmlformats.org/officeDocument/2006/relationships/hyperlink" Target="https://webbooks.siemens.com/public/LC/chen/index.htm?n=Part-2-Business-Perspective,H.-Compliance-in-Business-Processes-and-Projects,1.-Compliance-in-Project-Business" TargetMode="External"/><Relationship Id="rId139" Type="http://schemas.openxmlformats.org/officeDocument/2006/relationships/hyperlink" Target="https://webbooks.siemens.com/public/LC/chen/index.htm?n=Part-2-Business-Perspective,H.-Compliance-in-Business-Processes-and-Projects,1.-Compliance-in-Project-Business" TargetMode="External"/><Relationship Id="rId80" Type="http://schemas.openxmlformats.org/officeDocument/2006/relationships/hyperlink" Target="https://webbooks.siemens.com/public/LC/chen/index.htm?n=Part-1-Activity-Fields,A.-Anti-Corruption,4.-Cooperation-with-Business-Partners,A.-Relevance-for-Business,A.1.-Business-Partner-Types,A.1.2.-Non-sales-related-Intermediary" TargetMode="External"/><Relationship Id="rId85" Type="http://schemas.openxmlformats.org/officeDocument/2006/relationships/hyperlink" Target="https://webbooks.siemens.com/public/LC/chen/index.htm?n=Part-1-Activity-Fields,A.-Anti-Corruption,4.-Cooperation-with-Business-Partners,C.-Relevance-only-for-Tool-Users-(Tool-description),C.2.-Business-Partner-CDD-Process,C.2.2.-Business-Partner-Key-Data-%E2%80%93-How-to-create-a-Business-Partner,C.2.2.3.-Extended-Key-Data" TargetMode="External"/><Relationship Id="rId150" Type="http://schemas.openxmlformats.org/officeDocument/2006/relationships/hyperlink" Target="https://webbooks.siemens.com/public/LC/chen/index.htm?n=Part-3-Compliance-Internal-Tasks,J.-Communication-and-Training,1.-Training" TargetMode="External"/><Relationship Id="rId155" Type="http://schemas.openxmlformats.org/officeDocument/2006/relationships/hyperlink" Target="https://webbooks.siemens.com/public/LC/chen/index.htm?n=Part-3-Compliance-Internal-Tasks,L.-Case-Handling,-Discipline-and-Remediation,8.-Data-deletion-and-retention" TargetMode="External"/><Relationship Id="rId12" Type="http://schemas.openxmlformats.org/officeDocument/2006/relationships/hyperlink" Target="https://circulars.siemens.com/documents/circulardownload.aspx?id=sc_226.pdf" TargetMode="External"/><Relationship Id="rId17" Type="http://schemas.openxmlformats.org/officeDocument/2006/relationships/hyperlink" Target="https://webbooks.siemens.com/public/LC/chen/index.htm?n=Part-1-Activity-Fields,D.-Data-Privacy" TargetMode="External"/><Relationship Id="rId33" Type="http://schemas.openxmlformats.org/officeDocument/2006/relationships/hyperlink" Target="https://findit.compliance.siemens.com/content/10000102/Compliance/SouthWest%20Europe%20Cluster/RCo_Belgium/findIT_RCo_Belgium_2692.pdf" TargetMode="External"/><Relationship Id="rId38" Type="http://schemas.openxmlformats.org/officeDocument/2006/relationships/hyperlink" Target="https://regulations-admin.siemens.com/content/SC/105/en" TargetMode="External"/><Relationship Id="rId59" Type="http://schemas.openxmlformats.org/officeDocument/2006/relationships/hyperlink" Target="https://webbooks.siemens.com/public/LC/chen/index.htm?n=Part-1-Activity-Fields,A.-Anti-Corruption,4.-Cooperation-with-Business-Partners,A.-Relevance-for-Business,A.1.-Business-Partner-Types,A.1.4.-Cooperation/Consortium-Partners" TargetMode="External"/><Relationship Id="rId103" Type="http://schemas.openxmlformats.org/officeDocument/2006/relationships/hyperlink" Target="https://webbooks.siemens.com/public/LC/chen/index.htm?n=Part-3-Compliance-Internal-Tasks,K.-Compliance-Risk-Management-and-Reviews,3.-Compliance-Control-Framework" TargetMode="External"/><Relationship Id="rId108" Type="http://schemas.openxmlformats.org/officeDocument/2006/relationships/hyperlink" Target="https://circulars.siemens.com/documents/circulardownload.aspx?id=sc_226.pdf" TargetMode="External"/><Relationship Id="rId124" Type="http://schemas.openxmlformats.org/officeDocument/2006/relationships/hyperlink" Target="https://webbooks.siemens.com/public/LC/chen/index.htm?n=Part-2-Business-Perspective,H.-Compliance-in-Business-Processes-and-Projects,7.-Compliance-in-Permanent-Establishments" TargetMode="External"/><Relationship Id="rId129" Type="http://schemas.openxmlformats.org/officeDocument/2006/relationships/hyperlink" Target="https://webbooks.siemens.com/public/LC/chen/index.htm?n=Part-4-Company-specific-and-Regional-Regulations,M)-Company-specific-Regulations,1.-Mobility" TargetMode="External"/><Relationship Id="rId54" Type="http://schemas.openxmlformats.org/officeDocument/2006/relationships/hyperlink" Target="https://webbooks.siemens.com/public/LC/chen/index.htm?n=Part-3-Compliance-Internal-Tasks,L.-Case-Handling,-Discipline-and-Remediation,5.-Remediation" TargetMode="External"/><Relationship Id="rId70" Type="http://schemas.openxmlformats.org/officeDocument/2006/relationships/hyperlink" Target="https://webbooks.siemens.com/public/LC/chen/index.htm?n=Part-1-Activity-Fields,A.-Anti-Corruption,5.-Conflict-of-interest,5.1.-Typical-constellations,5.1.5.-Employment:-Job-rotation-public/private-sector" TargetMode="External"/><Relationship Id="rId75" Type="http://schemas.openxmlformats.org/officeDocument/2006/relationships/hyperlink" Target="https://webbooks.siemens.com/public/LC/chen/index.htm?n=Part-1-Activity-Fields,A.-Anti-Corruption,4.-Cooperation-with-Business-Partners,A.-Relevance-for-Business,A.1.-Business-Partner-Types,A.1.2.-Non-sales-related-Intermediary" TargetMode="External"/><Relationship Id="rId91" Type="http://schemas.openxmlformats.org/officeDocument/2006/relationships/hyperlink" Target="https://webbooks.siemens.com/public/LC/chen/index.htm?n=Part-2-Business-Perspective,I.-Mergers-and-Acquisitions-/-Permanent-Establishments,2.-Permanent-Establishments" TargetMode="External"/><Relationship Id="rId96" Type="http://schemas.openxmlformats.org/officeDocument/2006/relationships/hyperlink" Target="https://webbooks.siemens.com/public/LC/chen/index.htm?n=Part-1-Activity-Fields,A.-Anti-Corruption,1.-Gifts-and-Hospitality,1.3.-SpoDoM-Approval-for-providing-benefits" TargetMode="External"/><Relationship Id="rId140" Type="http://schemas.openxmlformats.org/officeDocument/2006/relationships/hyperlink" Target="https://webbooks.siemens.com/public/LC/chen/index.htm?n=Part-2-Business-Perspective,H.-Compliance-in-Business-Processes-and-Projects,1.-Compliance-in-Project-Business,1.3.-Compliance-in-project-execution,1.3.1.-Projects-in-scope" TargetMode="External"/><Relationship Id="rId145" Type="http://schemas.openxmlformats.org/officeDocument/2006/relationships/hyperlink" Target="https://webbooks.siemens.com/public/LC/chen/index.htm?n=Part-4-Company-specific-and-Regional-Regulations,M)-Company-specific-Regulations,1.-Mobility" TargetMode="External"/><Relationship Id="rId161" Type="http://schemas.openxmlformats.org/officeDocument/2006/relationships/hyperlink" Target="https://findit.compliance.siemens.com/content/10000101/Compliance/LC_CO/LC_CO_STR_SP/findIT_LC_CO_STR_SP_7975.docx" TargetMode="External"/><Relationship Id="rId16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ebbooks.siemens.com/public/LC/chen/index.htm?n=Part-1-Activity-Fields,B.-Antitrust" TargetMode="External"/><Relationship Id="rId23" Type="http://schemas.openxmlformats.org/officeDocument/2006/relationships/hyperlink" Target="https://webbooks.siemens.com/public/LC/chen/index.htm?n=Part-2-Business-Perspective,I.-Compliance-in-Mergers-and-Acquisitions" TargetMode="External"/><Relationship Id="rId28" Type="http://schemas.openxmlformats.org/officeDocument/2006/relationships/hyperlink" Target="https://findit.compliance.siemens.com/content/10000101/Compliance/CL_CO/CL_CO_AT/findIT_CL_CO_AT_55.pdf" TargetMode="External"/><Relationship Id="rId36" Type="http://schemas.openxmlformats.org/officeDocument/2006/relationships/hyperlink" Target="https://srs.siemens.cloud/" TargetMode="External"/><Relationship Id="rId49" Type="http://schemas.openxmlformats.org/officeDocument/2006/relationships/hyperlink" Target="https://webbooks.siemens.com/public/LC/chen/index.htm?n=Part-3-Compliance-Internal-Tasks,L.-Case-Handling,-Discipline-and-Remediation,2.-Case-Handling" TargetMode="External"/><Relationship Id="rId57" Type="http://schemas.openxmlformats.org/officeDocument/2006/relationships/hyperlink" Target="https://regulations-admin.siemens.com/content/SST/4/en" TargetMode="External"/><Relationship Id="rId106" Type="http://schemas.openxmlformats.org/officeDocument/2006/relationships/hyperlink" Target="https://webbooks.siemens.com/public/LC/chen/index.htm?n=Part-1-Activity-Fields,A.-Anti-Corruption,4.-Cooperation-with-Business-Partners,A.-Relevance-for-Business,A.1.-Business-Partner-Types,A.1.1.-Sales-related-Intermediary" TargetMode="External"/><Relationship Id="rId114" Type="http://schemas.openxmlformats.org/officeDocument/2006/relationships/hyperlink" Target="https://webbooks.siemens.com/public/LC/chen/index.htm?n=Part-1-Activity-Fields,A.-Anti-Corruption,4.-Cooperation-with-Business-Partners,C.-Relevance-only-for-Tool-Users-(Tool-description),C.2.-Business-Partner-CDD-Process,C.2.2.-Business-Partner-Key-Data-%E2%80%93-How-to-create-a-Business-Partner,C.2.2.3.-Extended-Key-Data" TargetMode="External"/><Relationship Id="rId119" Type="http://schemas.openxmlformats.org/officeDocument/2006/relationships/hyperlink" Target="https://webbooks.siemens.com/public/LC/chen/index.htm?n=Part-3-Compliance-Internal-Tasks,L.-Case-Handling,-Discipline-and-Remediation,6.-TreuInfo" TargetMode="External"/><Relationship Id="rId127" Type="http://schemas.openxmlformats.org/officeDocument/2006/relationships/hyperlink" Target="https://webbooks.siemens.com/public/LC/chen/index.htm?n=Part-4-Company-specific-and-Regional-Regulations,M)-Company-specific-Regulations,1.-Mobility" TargetMode="External"/><Relationship Id="rId10" Type="http://schemas.openxmlformats.org/officeDocument/2006/relationships/endnotes" Target="endnotes.xml"/><Relationship Id="rId31" Type="http://schemas.openxmlformats.org/officeDocument/2006/relationships/hyperlink" Target="https://findit.compliance.siemens.com/content/10000103/Compliance/NorthEast%20Asia%20Cluster/RCo_China/findIT_RCo_China_1383.pdf" TargetMode="External"/><Relationship Id="rId44" Type="http://schemas.openxmlformats.org/officeDocument/2006/relationships/hyperlink" Target="https://findit.compliance.siemens.com/content/10000101/Compliance/CL_CO/CL_CO_AT/findIT_CL_CO_AT_55.pdf" TargetMode="External"/><Relationship Id="rId52" Type="http://schemas.openxmlformats.org/officeDocument/2006/relationships/hyperlink" Target="https://webbooks.siemens.com/public/LC/chen/index.htm?n=Part-3-Compliance-Internal-Tasks,L.-Case-Handling,-Discipline-and-Remediation,5.-Remediation" TargetMode="External"/><Relationship Id="rId60" Type="http://schemas.openxmlformats.org/officeDocument/2006/relationships/hyperlink" Target="https://webbooks.siemens.com/public/LC/chen/index.htm?n=Part-1-Activity-Fields,A.-Anti-Corruption,4.-Cooperation-with-Business-Partners,A.-Relevance-for-Business,A.1.-Business-Partner-Types,A.1.4.-Cooperation/Consortium-Partners" TargetMode="External"/><Relationship Id="rId65" Type="http://schemas.openxmlformats.org/officeDocument/2006/relationships/hyperlink" Target="https://webbooks.siemens.com/public/LC/chen/index.htm?n=Part-1-Activity-Fields,A.-Anti-Corruption,4.-Cooperation-with-Business-Partners,A.-Relevance-for-Business,A.1.-Business-Partner-Types,A.1.3.-Reseller-/-Distributors,A.1.3.2.-Value-Add-Reseller" TargetMode="External"/><Relationship Id="rId73" Type="http://schemas.openxmlformats.org/officeDocument/2006/relationships/hyperlink" Target="https://webbooks.siemens.com/public/LC/chen/index.htm?n=Part-1-Activity-Fields,A.-Anti-Corruption,3.-Cooperation-with-Business-Partners,3.3.-Compliance-Due-Diligence-(CDD)" TargetMode="External"/><Relationship Id="rId78" Type="http://schemas.openxmlformats.org/officeDocument/2006/relationships/hyperlink" Target="https://webbooks.siemens.com/public/LC/chen/index.htm?n=Part-1-Activity-Fields,A.-Anti-Corruption,4.-Cooperation-with-Business-Partners,C.-Relevance-only-for-Tool-Users-(Tool-description),C.2.-Business-Partner-CDD-Process,C.2.2.-Business-Partner-Key-Data-%E2%80%93-How-to-create-a-Business-Partner,C.2.2.3.-Extended-Key-Data" TargetMode="External"/><Relationship Id="rId81" Type="http://schemas.openxmlformats.org/officeDocument/2006/relationships/hyperlink" Target="https://webbooks.siemens.com/public/LC/chen/index.htm?n=Part-1-Activity-Fields,A.-Anti-Corruption,5.-Conflict-of-interest,5.1.-Typical-constellations,5.1.5.-Employment:-Job-rotation-public/private-sector" TargetMode="External"/><Relationship Id="rId86" Type="http://schemas.openxmlformats.org/officeDocument/2006/relationships/hyperlink" Target="https://webbooks.siemens.com/public/LC/chen/index.htm?n=Part-2-Business-Perspective,I.-Compliance-in-Mergers-and-Acquisitions,1.-Compliance-Due-Diligence,1.3.-Scope" TargetMode="External"/><Relationship Id="rId94" Type="http://schemas.openxmlformats.org/officeDocument/2006/relationships/hyperlink" Target="https://webbooks.siemens.com/public/LC/chen/index.htm?n=Part-1-Activity-Fields,C.-Anti-Money-Laundering-(AML),1.-AML-Red-Flags" TargetMode="External"/><Relationship Id="rId99" Type="http://schemas.openxmlformats.org/officeDocument/2006/relationships/hyperlink" Target="https://webbooks.siemens.com/public/LC/chen/index.htm?n=Part-1-Activity-Fields,A.-Anti-Corruption,4.-Cooperation-with-Business-Partners,A.-Relevance-for-Business,A.1.-Business-Partner-Types,A.1.3.-Reseller-/-Distributors,A.1.3.1.-Reseller-/-Distributors-with-Red-Flag" TargetMode="External"/><Relationship Id="rId101" Type="http://schemas.openxmlformats.org/officeDocument/2006/relationships/hyperlink" Target="https://workspace.c6.siemens.com/content/300000007/Compliance%20WebBook/General%20Introduction/_layouts/15/hypernet/custom/link.aspx?bid=00010023&amp;pt=5._x0020Remediation" TargetMode="External"/><Relationship Id="rId122" Type="http://schemas.openxmlformats.org/officeDocument/2006/relationships/hyperlink" Target="https://webbooks.siemens.com/public/LC/chen/index.htm?n=Part-2-Business-Perspective,H.-Compliance-in-Business-Processes-and-Projects,2.-Compliance-in-Procurement" TargetMode="External"/><Relationship Id="rId130" Type="http://schemas.openxmlformats.org/officeDocument/2006/relationships/hyperlink" Target="https://webbooks.siemens.com/public/LC/chen/index.htm?n=Part-1-Activity-Fields,A.-Anti-Corruption,3.-Facilitation-Payments" TargetMode="External"/><Relationship Id="rId135" Type="http://schemas.openxmlformats.org/officeDocument/2006/relationships/hyperlink" Target="https://webbooks.siemens.com/public/LC/chen/index.htm?n=Part-2-Business-Perspective,H.-Compliance-in-Business-Processes-and-Projects,8.-Compliance-Due-Diligences-and-Approvals" TargetMode="External"/><Relationship Id="rId143" Type="http://schemas.openxmlformats.org/officeDocument/2006/relationships/hyperlink" Target="https://webbooks.siemens.com/public/LC/chen/index.htm?n=Part-3-Compliance-Internal-Tasks,J.-Communication-and-Training,1.-Training" TargetMode="External"/><Relationship Id="rId148" Type="http://schemas.openxmlformats.org/officeDocument/2006/relationships/hyperlink" Target="https://webbooks.siemens.com/public/LC/chen/index.htm?n=Part-1-Activity-Fields,A.-Anti-Corruption,4.-Cooperation-with-Business-Partners" TargetMode="External"/><Relationship Id="rId151" Type="http://schemas.openxmlformats.org/officeDocument/2006/relationships/hyperlink" Target="https://webbooks.siemens.com/public/LC/chen/index.htm?n=Part-4-Company-specific-and-Regional-Regulations,M)-Company-specific-Regulations,2.-Siemens-Real-Estate-(SRE)" TargetMode="External"/><Relationship Id="rId156" Type="http://schemas.openxmlformats.org/officeDocument/2006/relationships/hyperlink" Target="https://findit.compliance.siemens.com/content/10000101/Compliance/LC_CO/LC_CO_STR_SP/findIT_LC_CO_STR_SP_7355.pptx" TargetMode="External"/><Relationship Id="rId164" Type="http://schemas.openxmlformats.org/officeDocument/2006/relationships/footer" Target="footer1.xml"/><Relationship Id="rId16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regulations-admin.siemens.com/content/SST/4/en" TargetMode="External"/><Relationship Id="rId18" Type="http://schemas.openxmlformats.org/officeDocument/2006/relationships/hyperlink" Target="https://webbooks.siemens.com/public/LC/chen/index.htm?n=Part-1-Activity-Fields,E.-Human-Rights" TargetMode="External"/><Relationship Id="rId39" Type="http://schemas.openxmlformats.org/officeDocument/2006/relationships/hyperlink" Target="https://wse04.siemens.com/content/P0003980/EN/SRR_Wiki/Conformance%20Process.aspx" TargetMode="External"/><Relationship Id="rId109" Type="http://schemas.openxmlformats.org/officeDocument/2006/relationships/hyperlink" Target="https://webbooks.siemens.com/public/LC/chen/index.htm?n=Part-1-Activity-Fields,A.-Anti-Corruption,4.-Cooperation-with-Business-Partners,C.-Relevance-only-for-Tool-Users-(Tool-description),C.2.-Business-Partner-CDD-Process,C.2.2.-Business-Partner-Key-Data-%E2%80%93-How-to-create-a-Business-Partner,C.2.2.3.-Extended-Key-Data" TargetMode="External"/><Relationship Id="rId34" Type="http://schemas.openxmlformats.org/officeDocument/2006/relationships/hyperlink" Target="https://webbooks.siemens.com/public/LC/chen/index.htm?n=Compliance-Handbook" TargetMode="External"/><Relationship Id="rId50" Type="http://schemas.openxmlformats.org/officeDocument/2006/relationships/hyperlink" Target="https://webbooks.siemens.com/public/LC/chen/index.htm?n=Part-3-Compliance-Internal-Tasks,L.-Case-Handling,-Discipline-and-Remediation,5.-Remediation" TargetMode="External"/><Relationship Id="rId55" Type="http://schemas.openxmlformats.org/officeDocument/2006/relationships/hyperlink" Target="https://webbooks.siemens.com/public/LC/chen/index.htm?n=Part-3-Compliance-Internal-Tasks,L.-Case-Handling,-Discipline-and-Remediation,2.-Case-Handling" TargetMode="External"/><Relationship Id="rId76" Type="http://schemas.openxmlformats.org/officeDocument/2006/relationships/hyperlink" Target="https://intranet.for.siemens.com/wll/0067/en/Pages/Default.aspx" TargetMode="External"/><Relationship Id="rId97" Type="http://schemas.openxmlformats.org/officeDocument/2006/relationships/hyperlink" Target="https://webbooks.siemens.com/public/LC/chen/index.htm?n=Part-3-Compliance-Internal-Tasks,L.-Case-Handling,-Discipline-and-Remediation,5.-Remediation" TargetMode="External"/><Relationship Id="rId104" Type="http://schemas.openxmlformats.org/officeDocument/2006/relationships/hyperlink" Target="https://webbooks.siemens.com/public/LC/chen/index.htm?n=Part-3-Compliance-Internal-Tasks,L.-Case-Handling,-Discipline-and-Remediation,5.-Remediation" TargetMode="External"/><Relationship Id="rId120" Type="http://schemas.openxmlformats.org/officeDocument/2006/relationships/hyperlink" Target="https://webbooks.siemens.com/public/LC/chen/index.htm?n=Part-1-Activity-Fields,A.-Anti-Corruption,1.-Gifts-and-Hospitality" TargetMode="External"/><Relationship Id="rId125" Type="http://schemas.openxmlformats.org/officeDocument/2006/relationships/hyperlink" Target="https://webbooks.siemens.com/public/LC/chen/index.htm?n=Part-3-Compliance-Internal-Tasks,J.-Communication-and-Training,1.-Training" TargetMode="External"/><Relationship Id="rId141" Type="http://schemas.openxmlformats.org/officeDocument/2006/relationships/hyperlink" Target="https://webbooks.siemens.com/public/LC/chen/index.htm?n=Part-2-Business-Perspective,H.-Compliance-in-Business-Processes-and-Projects,4.-Outgoing-and-Incoming-payments" TargetMode="External"/><Relationship Id="rId146" Type="http://schemas.openxmlformats.org/officeDocument/2006/relationships/hyperlink" Target="https://webbooks.siemens.com/public/LC/chen/index.htm?n=Part-4-Company-specific-and-Regional-Regulations,M)-Company-specific-Regulations,2.-Siemens-Real-Estate-(SRE)" TargetMode="External"/><Relationship Id="rId167" Type="http://schemas.openxmlformats.org/officeDocument/2006/relationships/footer" Target="footer3.xml"/><Relationship Id="rId7" Type="http://schemas.openxmlformats.org/officeDocument/2006/relationships/settings" Target="settings.xml"/><Relationship Id="rId71" Type="http://schemas.openxmlformats.org/officeDocument/2006/relationships/hyperlink" Target="https://webbooks.siemens.com/public/LC/chen/index.htm?n=Part-1-Activity-Fields,A.-Anti-Corruption,3.-Facilitation-Payments" TargetMode="External"/><Relationship Id="rId92" Type="http://schemas.openxmlformats.org/officeDocument/2006/relationships/hyperlink" Target="https://eur-lex.europa.eu/legal-content/EN/TXT/?uri=celex%3A32015L0849" TargetMode="External"/><Relationship Id="rId162"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https://srs.siemens.cloud/c/fs8o2k" TargetMode="External"/><Relationship Id="rId24" Type="http://schemas.openxmlformats.org/officeDocument/2006/relationships/hyperlink" Target="https://webbooks.siemens.com/public/LC/chen/index.htm?n=Part-3-Compliance-Internal-Tasks,J.-Communication-and-Training" TargetMode="External"/><Relationship Id="rId40" Type="http://schemas.openxmlformats.org/officeDocument/2006/relationships/hyperlink" Target="https://regulations-admin.siemens.com/content/SST/4/en" TargetMode="External"/><Relationship Id="rId45" Type="http://schemas.openxmlformats.org/officeDocument/2006/relationships/hyperlink" Target="https://webbooks.siemens.com/public/LC/chen/index.htm?n=Part-1-Activity-Fields,A.-Anti-Corruption,3.-Cooperation-with-Business-Partners" TargetMode="External"/><Relationship Id="rId66" Type="http://schemas.openxmlformats.org/officeDocument/2006/relationships/hyperlink" Target="https://webbooks.siemens.com/public/LC/chen/index.htm?n=Part-1-Activity-Fields,A.-Anti-Corruption,4.-Cooperation-with-Business-Partners,A.-Relevance-for-Business,A.1.-Business-Partner-Types,A.1.3.-Reseller-/-Distributors,A.1.3.2.-Value-Add-Reseller" TargetMode="External"/><Relationship Id="rId87" Type="http://schemas.openxmlformats.org/officeDocument/2006/relationships/hyperlink" Target="https://webbooks.siemens.com/public/LC/chen/index.htm?n=Part-2-Business-Perspective,I.-Mergers-and-Acquisitions-/-Permanent-Establishments,1.-Mergers-and-Acquisitions" TargetMode="External"/><Relationship Id="rId110" Type="http://schemas.openxmlformats.org/officeDocument/2006/relationships/hyperlink" Target="https://webbooks.siemens.com/public/LC/chen/index.htm?n=Part-1-Activity-Fields,C.-Anti-Money-Laundering-(AML),2.-AML-Due-Diligence" TargetMode="External"/><Relationship Id="rId115" Type="http://schemas.openxmlformats.org/officeDocument/2006/relationships/hyperlink" Target="https://webbooks.siemens.com/public/LC/chen/index.htm?n=Part-1-Activity-Fields,C.-Anti-Money-Laundering-(AML),2.-AML-Due-Diligence" TargetMode="External"/><Relationship Id="rId131" Type="http://schemas.openxmlformats.org/officeDocument/2006/relationships/hyperlink" Target="https://webbooks.siemens.com/public/LC/chen/index.htm?n=Part-1-Activity-Fields,A.-Anti-Corruption,4.-Cooperation-with-Business-Partners" TargetMode="External"/><Relationship Id="rId136" Type="http://schemas.openxmlformats.org/officeDocument/2006/relationships/hyperlink" Target="https://webbooks.siemens.com/public/LC/chen/index.htm?n=Part-1-Activity-Fields,A.-Anti-Corruption,2.-Sponsoring,-Donations,-Memberships" TargetMode="External"/><Relationship Id="rId157" Type="http://schemas.openxmlformats.org/officeDocument/2006/relationships/hyperlink" Target="https://findit.compliance.siemens.com/content/10000101/Compliance/LC_CO/LC_CO_STR_SP/findIT_LC_CO_STR_SP_5259.pdf" TargetMode="External"/><Relationship Id="rId61" Type="http://schemas.openxmlformats.org/officeDocument/2006/relationships/hyperlink" Target="https://webbooks.siemens.com/public/LC/chen/index.htm?n=Part-1-Activity-Fields,C.-Anti-Money-Laundering-(AML),2.-AML-Due-Diligence" TargetMode="External"/><Relationship Id="rId82" Type="http://schemas.openxmlformats.org/officeDocument/2006/relationships/hyperlink" Target="https://webbooks.siemens.com/public/LC/chen/index.htm?n=Part-1-Activity-Fields,A.-Anti-Corruption,5.-Conflict-of-interest,5.2.-Dos-and-Don%E2%80%99ts" TargetMode="External"/><Relationship Id="rId152" Type="http://schemas.openxmlformats.org/officeDocument/2006/relationships/hyperlink" Target="https://webbooks.siemens.com/public/LC/chen/index.htm?n=Part-4-Company-specific-and-Regional-Regulations,M)-Company-specific-Regulations,3.-Siemens-Logistics-(SL)" TargetMode="External"/><Relationship Id="rId19" Type="http://schemas.openxmlformats.org/officeDocument/2006/relationships/hyperlink" Target="https://webbooks.siemens.com/public/LC/chen/index.htm?n=Part-1-Activity-Fields,F.-Export-Control" TargetMode="External"/><Relationship Id="rId14" Type="http://schemas.openxmlformats.org/officeDocument/2006/relationships/hyperlink" Target="https://webbooks.siemens.com/public/LC/chen/index.htm?n=Part-1-Activity-Fields,A.-Anti-Corruption,3.-Cooperation-with-Business-Partners,3.2.-Business-Partner-Categorization,3.2.3.-Value-add-Reseller-with-Red-Flag" TargetMode="External"/><Relationship Id="rId30" Type="http://schemas.openxmlformats.org/officeDocument/2006/relationships/hyperlink" Target="https://soc.siemens.cloud/c/8j8nib" TargetMode="External"/><Relationship Id="rId35" Type="http://schemas.openxmlformats.org/officeDocument/2006/relationships/hyperlink" Target="https://srs.siemens.cloud/" TargetMode="External"/><Relationship Id="rId56" Type="http://schemas.openxmlformats.org/officeDocument/2006/relationships/hyperlink" Target="https://webbooks.siemens.com/public/LC/chen/index.htm?n=Part-3-Compliance-Internal-Tasks,L.-Case-Handling,-Discipline-and-Remediation,5.-Remediation" TargetMode="External"/><Relationship Id="rId77" Type="http://schemas.openxmlformats.org/officeDocument/2006/relationships/hyperlink" Target="https://webbooks.siemens.com/public/LC/chen/index.htm?n=Part-1-Activity-Fields,C.-Anti-Money-Laundering-(AML),2.-AML-Due-Diligence" TargetMode="External"/><Relationship Id="rId100" Type="http://schemas.openxmlformats.org/officeDocument/2006/relationships/hyperlink" Target="https://webbooks.siemens.com/public/LC/chen/index.htm?n=Part-1-Activity-Fields,C.-Anti-Money-Laundering-(AML),1.-AML-Red-Flags" TargetMode="External"/><Relationship Id="rId105" Type="http://schemas.openxmlformats.org/officeDocument/2006/relationships/hyperlink" Target="https://webbooks.siemens.com/public/LC/chen/index.htm?n=Part-1-Activity-Fields,A.-Anti-Corruption,4.-Cooperation-with-Business-Partners,A.-Relevance-for-Business,A.1.-Business-Partner-Types,A.1.1.-Sales-related-Intermediary" TargetMode="External"/><Relationship Id="rId126" Type="http://schemas.openxmlformats.org/officeDocument/2006/relationships/hyperlink" Target="https://webbooks.siemens.com/public/LC/chen/index.htm?n=Part-3-Compliance-Internal-Tasks,J.-Communication-and-Training,3.-Ambassador-program" TargetMode="External"/><Relationship Id="rId147" Type="http://schemas.openxmlformats.org/officeDocument/2006/relationships/hyperlink" Target="https://webbooks.siemens.com/public/LC/chen/index.htm?n=General-Introduction,1.-Legal-basis-and-regulatory-Landscape" TargetMode="External"/><Relationship Id="rId168"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ebbooks.siemens.com/public/LC/chen/index.htm?n=Part-3-Compliance-Internal-Tasks,L.-Case-Handling,-Discipline-and-Remediation,2.-Case-Handling" TargetMode="External"/><Relationship Id="rId72" Type="http://schemas.openxmlformats.org/officeDocument/2006/relationships/hyperlink" Target="_layouts/15/hypernet/custom/link.aspx?bid=00010023&amp;pt=1._x0020Gifts_x0020and_x0020Hospitality&amp;tt=1.3._x0020SpoDoM-Approval_x0020for_x0020providing_x0020benefits" TargetMode="External"/><Relationship Id="rId93" Type="http://schemas.openxmlformats.org/officeDocument/2006/relationships/hyperlink" Target="http://www.fatf-gafi.org/" TargetMode="External"/><Relationship Id="rId98" Type="http://schemas.openxmlformats.org/officeDocument/2006/relationships/hyperlink" Target="https://webbooks.siemens.com/public/LC/chen/index.htm?n=Part-3-Compliance-Internal-Tasks,L.-Case-Handling,-Discipline-and-Remediation,5.-Remediation" TargetMode="External"/><Relationship Id="rId121" Type="http://schemas.openxmlformats.org/officeDocument/2006/relationships/hyperlink" Target="https://webbooks.siemens.com/public/LC/chen/index.htm?n=Part-1-Activity-Fields,A.-Anti-Corruption,3.-Cooperation-with-Business-Partners,3.3.-Compliance-Due-Diligence-(CDD)" TargetMode="External"/><Relationship Id="rId142" Type="http://schemas.openxmlformats.org/officeDocument/2006/relationships/hyperlink" Target="https://webbooks.siemens.com/public/LC/chen/index.htm?n=Part-2-Business-Perspective,H.-Compliance-in-Business-Processes-and-Projects,6.-Compliance-in-Minorities" TargetMode="External"/><Relationship Id="rId163" Type="http://schemas.openxmlformats.org/officeDocument/2006/relationships/header" Target="header2.xml"/><Relationship Id="rId3" Type="http://schemas.openxmlformats.org/officeDocument/2006/relationships/customXml" Target="../customXml/item3.xml"/><Relationship Id="rId25" Type="http://schemas.openxmlformats.org/officeDocument/2006/relationships/hyperlink" Target="https://webbooks.siemens.com/public/LC/chen/index.htm?n=Part-3-Compliance-Internal-Tasks,K.-Compliance-Risk-Management-and-Reviews,0.-Introduction-to-risk-management-and-reviews" TargetMode="External"/><Relationship Id="rId46" Type="http://schemas.openxmlformats.org/officeDocument/2006/relationships/hyperlink" Target="https://webbooks.siemens.com/public/LC/chen/index.htm?n=Part-1-Activity-Fields,A.-Anti-Corruption,4.-Cooperation-with-Business-Partners,A.-Relevance-for-Business,A.1.-Business-Partner-Types,A.1.3.-Reseller-/-Distributors,A.1.3.2.-Value-Add-Reseller" TargetMode="External"/><Relationship Id="rId67" Type="http://schemas.openxmlformats.org/officeDocument/2006/relationships/hyperlink" Target="https://webbooks.siemens.com/public/FRG/IGen/" TargetMode="External"/><Relationship Id="rId116" Type="http://schemas.openxmlformats.org/officeDocument/2006/relationships/hyperlink" Target="https://webbooks.siemens.com/public/LC/chen/index.htm?n=Part-1-Activity-Fields,A.-Anti-Corruption,4.-Cooperation-with-Business-Partners,A.-Relevance-for-Business,A.1.-Business-Partner-Types,A.1.3.-Reseller-/-Distributors,A.1.3.2.-Value-Add-Reseller" TargetMode="External"/><Relationship Id="rId137" Type="http://schemas.openxmlformats.org/officeDocument/2006/relationships/hyperlink" Target="https://webbooks.siemens.com/public/LC/chen/index.htm?n=Part-1-Activity-Fields,A.-Anti-Corruption,4.-Cooperation-with-Business-Partners" TargetMode="External"/><Relationship Id="rId158" Type="http://schemas.openxmlformats.org/officeDocument/2006/relationships/image" Target="media/image1.png"/><Relationship Id="rId20" Type="http://schemas.openxmlformats.org/officeDocument/2006/relationships/hyperlink" Target="https://webbooks.siemens.com/public/LC/chen/index.htm?n=Part-1-Activity-Fields,G.-Collective-Action-and-Siemens-Integrity-Initiative" TargetMode="External"/><Relationship Id="rId41" Type="http://schemas.openxmlformats.org/officeDocument/2006/relationships/hyperlink" Target="https://regulations-admin.siemens.com/content/sc/105/en" TargetMode="External"/><Relationship Id="rId62" Type="http://schemas.openxmlformats.org/officeDocument/2006/relationships/hyperlink" Target="https://webbooks.siemens.com/public/LC/chen/index.htm?n=Part-3-Compliance-Internal-Tasks,K.-Compliance-Risk-Management-and-Reviews,1.-Compliance-Risk-Assessment" TargetMode="External"/><Relationship Id="rId83" Type="http://schemas.openxmlformats.org/officeDocument/2006/relationships/hyperlink" Target="https://webbooks.siemens.com/public/LC/chen/index.htm?n=Part-1-Activity-Fields,A.-Anti-Corruption,4.-Cooperation-with-Business-Partners,C.-Relevance-only-for-Tool-Users-(Tool-description),C.2.-Business-Partner-CDD-Process,C.2.2.-Business-Partner-Key-Data-%E2%80%93-How-to-create-a-Business-Partner,C.2.2.3.-Extended-Key-Data" TargetMode="External"/><Relationship Id="rId88" Type="http://schemas.openxmlformats.org/officeDocument/2006/relationships/hyperlink" Target="https://webbooks.siemens.com/public/LC/chen/index.htm?n=Part-1-Activity-Fields,A.-Anti-Corruption,4.-Cooperation-with-Business-Partners,A.-Relevance-for-Business,A.1.-Business-Partner-Types,A.1.2.-Non-sales-related-Intermediary" TargetMode="External"/><Relationship Id="rId111" Type="http://schemas.openxmlformats.org/officeDocument/2006/relationships/hyperlink" Target="https://webbooks.siemens.com/public/LC/chen/index.htm?n=Part-1-Activity-Fields,A.-Anti-Corruption,4.-Cooperation-with-Business-Partners,A.-Relevance-for-Business,A.1.-Business-Partner-Types,A.1.3.-Reseller-/-Distributors,A.1.3.2.-Value-Add-Reseller" TargetMode="External"/><Relationship Id="rId132" Type="http://schemas.openxmlformats.org/officeDocument/2006/relationships/hyperlink" Target="https://webbooks.siemens.com/public/LC/chen/index.htm?n=Part-1-Activity-Fields,A.-Anti-Corruption,5.-Conflict-of-interest" TargetMode="External"/><Relationship Id="rId153" Type="http://schemas.openxmlformats.org/officeDocument/2006/relationships/hyperlink" Target="https://webbooks.siemens.com/public/LC/chen/index.htm?n=Part-1-Activity-Fields,A.-Anti-Corruption,4.-Cooperation-with-Business-Partner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findit.compliance.siemens.com/content/10000101/Compliance/LC_CO/LC_CO_STR_SP/findIT_LC_CO_STR_SP_7963.pp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e14M\AppData\Local\Microsoft\Windows\Temporary%20Internet%20Files\Content.Outlook\72QLMJPE\SCL_140916_Legal_Handbook_Template_Lay07%20(3).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74</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01. Foreword CCO</TermName>
          <TermId xmlns="http://schemas.microsoft.com/office/infopath/2007/PartnerControls">b9adcd20-bcf2-477c-958d-acb23aeb6cab</TermId>
        </TermInfo>
      </Terms>
    </nb766c42a6d34ad7b224884871f9394f>
  </documentManagement>
</p:properties>
</file>

<file path=customXml/itemProps1.xml><?xml version="1.0" encoding="utf-8"?>
<ds:datastoreItem xmlns:ds="http://schemas.openxmlformats.org/officeDocument/2006/customXml" ds:itemID="{5FDDCFC3-6093-40BB-A1BB-4D7AF09B1661}">
  <ds:schemaRefs>
    <ds:schemaRef ds:uri="http://schemas.microsoft.com/sharepoint/v3/contenttype/forms"/>
  </ds:schemaRefs>
</ds:datastoreItem>
</file>

<file path=customXml/itemProps2.xml><?xml version="1.0" encoding="utf-8"?>
<ds:datastoreItem xmlns:ds="http://schemas.openxmlformats.org/officeDocument/2006/customXml" ds:itemID="{420E1B5D-6453-4E28-8AE1-28C3984E7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F028D-665C-417E-9797-04201BDCF185}">
  <ds:schemaRefs>
    <ds:schemaRef ds:uri="http://schemas.openxmlformats.org/officeDocument/2006/bibliography"/>
  </ds:schemaRefs>
</ds:datastoreItem>
</file>

<file path=customXml/itemProps4.xml><?xml version="1.0" encoding="utf-8"?>
<ds:datastoreItem xmlns:ds="http://schemas.openxmlformats.org/officeDocument/2006/customXml" ds:itemID="{2DE02689-5153-4001-A01F-A48B2BE589BE}">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6ee1f5f8-4a5f-4619-969f-c34e20667274"/>
    <ds:schemaRef ds:uri="http://purl.org/dc/terms/"/>
    <ds:schemaRef ds:uri="http://purl.org/dc/dcmitype/"/>
    <ds:schemaRef ds:uri="91b9760d-53d8-425f-9f7f-8911cf84eed2"/>
    <ds:schemaRef ds:uri="91B9760D-53D8-425F-9F7F-8911CF84EED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 (3).dotx</Template>
  <TotalTime>0</TotalTime>
  <Pages>22</Pages>
  <Words>8149</Words>
  <Characters>51341</Characters>
  <Application>Microsoft Office Word</Application>
  <DocSecurity>0</DocSecurity>
  <Lines>427</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59372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Schoepe, Michael MS (E F L-CIIE)</dc:creator>
  <cp:keywords>C_Restricted</cp:keywords>
  <dc:description/>
  <cp:lastModifiedBy>Hamm-Dueppe, Yvonne (LC CO RFC LF)</cp:lastModifiedBy>
  <cp:revision>203</cp:revision>
  <cp:lastPrinted>2014-11-20T08:33:00Z</cp:lastPrinted>
  <dcterms:created xsi:type="dcterms:W3CDTF">2018-03-16T10:07:00Z</dcterms:created>
  <dcterms:modified xsi:type="dcterms:W3CDTF">2021-03-31T14:44:00Z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74;#01. Foreword CCO|b9adcd20-bcf2-477c-958d-acb23aeb6cab</vt:lpwstr>
  </property>
  <property fmtid="{D5CDD505-2E9C-101B-9397-08002B2CF9AE}" pid="5" name="Document Confidentiality">
    <vt:lpwstr>Restricted</vt:lpwstr>
  </property>
  <property fmtid="{D5CDD505-2E9C-101B-9397-08002B2CF9AE}" pid="6" name="sodocoClasLang">
    <vt:lpwstr>Restricted</vt:lpwstr>
  </property>
  <property fmtid="{D5CDD505-2E9C-101B-9397-08002B2CF9AE}" pid="7" name="sodocoClasLangId">
    <vt:i4>1</vt:i4>
  </property>
  <property fmtid="{D5CDD505-2E9C-101B-9397-08002B2CF9AE}" pid="8" name="sodocoClasId">
    <vt:i4>1</vt:i4>
  </property>
  <property fmtid="{D5CDD505-2E9C-101B-9397-08002B2CF9AE}" pid="9" name="MSIP_Label_a59b6cd5-d141-4a33-8bf1-0ca04484304f_Enabled">
    <vt:lpwstr>true</vt:lpwstr>
  </property>
  <property fmtid="{D5CDD505-2E9C-101B-9397-08002B2CF9AE}" pid="10" name="MSIP_Label_a59b6cd5-d141-4a33-8bf1-0ca04484304f_SetDate">
    <vt:lpwstr>2021-03-31T14:44:18Z</vt:lpwstr>
  </property>
  <property fmtid="{D5CDD505-2E9C-101B-9397-08002B2CF9AE}" pid="11" name="MSIP_Label_a59b6cd5-d141-4a33-8bf1-0ca04484304f_Method">
    <vt:lpwstr>Standard</vt:lpwstr>
  </property>
  <property fmtid="{D5CDD505-2E9C-101B-9397-08002B2CF9AE}" pid="12" name="MSIP_Label_a59b6cd5-d141-4a33-8bf1-0ca04484304f_Name">
    <vt:lpwstr>restricted-default</vt:lpwstr>
  </property>
  <property fmtid="{D5CDD505-2E9C-101B-9397-08002B2CF9AE}" pid="13" name="MSIP_Label_a59b6cd5-d141-4a33-8bf1-0ca04484304f_SiteId">
    <vt:lpwstr>38ae3bcd-9579-4fd4-adda-b42e1495d55a</vt:lpwstr>
  </property>
  <property fmtid="{D5CDD505-2E9C-101B-9397-08002B2CF9AE}" pid="14" name="MSIP_Label_a59b6cd5-d141-4a33-8bf1-0ca04484304f_ActionId">
    <vt:lpwstr>25a04a7c-862f-4b3d-9d54-f068ae3e4b45</vt:lpwstr>
  </property>
  <property fmtid="{D5CDD505-2E9C-101B-9397-08002B2CF9AE}" pid="15" name="MSIP_Label_a59b6cd5-d141-4a33-8bf1-0ca04484304f_ContentBits">
    <vt:lpwstr>0</vt:lpwstr>
  </property>
  <property fmtid="{D5CDD505-2E9C-101B-9397-08002B2CF9AE}" pid="16" name="Document_Confidentiality">
    <vt:lpwstr>Restricted</vt:lpwstr>
  </property>
</Properties>
</file>