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9C152" w14:textId="1337C481" w:rsidR="003B39C6" w:rsidRDefault="003B39C6" w:rsidP="003B39C6">
      <w:pPr>
        <w:rPr>
          <w:rFonts w:cs="Times New Roman"/>
          <w:color w:val="879BAA" w:themeColor="text2"/>
          <w:sz w:val="56"/>
          <w:szCs w:val="56"/>
          <w:lang w:val="en-GB"/>
        </w:rPr>
      </w:pPr>
      <w:bookmarkStart w:id="0" w:name="_top"/>
      <w:bookmarkStart w:id="1" w:name="_Ref462314903"/>
      <w:bookmarkEnd w:id="0"/>
      <w:r>
        <w:rPr>
          <w:rFonts w:ascii="Times New Roman" w:hAnsi="Times New Roman" w:cs="Times New Roman"/>
          <w:color w:val="879BAA" w:themeColor="text2"/>
          <w:sz w:val="56"/>
          <w:szCs w:val="56"/>
          <w:lang w:val="en-GB"/>
        </w:rPr>
        <w:t>1.</w:t>
      </w:r>
      <w:r>
        <w:rPr>
          <w:rFonts w:ascii="Times New Roman" w:hAnsi="Times New Roman" w:cs="Times New Roman"/>
          <w:color w:val="879BAA" w:themeColor="text2"/>
          <w:sz w:val="56"/>
          <w:szCs w:val="56"/>
          <w:lang w:val="en-GB"/>
        </w:rPr>
        <w:tab/>
      </w:r>
      <w:bookmarkStart w:id="2" w:name="_Toc456708447"/>
      <w:bookmarkEnd w:id="1"/>
      <w:r w:rsidR="00A5754F">
        <w:rPr>
          <w:rFonts w:ascii="Times New Roman" w:hAnsi="Times New Roman" w:cs="Times New Roman"/>
          <w:color w:val="879BAA" w:themeColor="text2"/>
          <w:sz w:val="56"/>
          <w:szCs w:val="56"/>
          <w:lang w:val="en-GB"/>
        </w:rPr>
        <w:t>Gifts and Hospitality</w:t>
      </w:r>
    </w:p>
    <w:bookmarkEnd w:id="2"/>
    <w:p w14:paraId="2DA0E183" w14:textId="7D5C219B" w:rsidR="003B39C6" w:rsidRDefault="003B39C6" w:rsidP="003B39C6">
      <w:pPr>
        <w:rPr>
          <w:szCs w:val="20"/>
        </w:rPr>
      </w:pPr>
      <w:r>
        <w:rPr>
          <w:szCs w:val="20"/>
        </w:rPr>
        <w:t xml:space="preserve">“Gifts and Hospitality” includes all business-related benefits such as gifts, meals, entertainment, payment of travel and lodging expenses, trade fair tickets or other contributions without consideration. Under certain circumstances, providing or accepting Gifts and Hospitality could create the appearance of impropriety or even be considered as corruption. To minimize risks for </w:t>
      </w:r>
      <w:hyperlink r:id="rId11" w:history="1">
        <w:r w:rsidR="00666E67">
          <w:rPr>
            <w:rStyle w:val="Hyperlink"/>
            <w:szCs w:val="20"/>
          </w:rPr>
          <w:t>employees</w:t>
        </w:r>
      </w:hyperlink>
      <w:r>
        <w:rPr>
          <w:szCs w:val="20"/>
        </w:rPr>
        <w:t xml:space="preserve"> and company related to benefits, every employee must comply with the following </w:t>
      </w:r>
      <w:hyperlink w:anchor="_Guidance_on_general" w:history="1">
        <w:r w:rsidRPr="00AE644B">
          <w:rPr>
            <w:rStyle w:val="Hyperlink"/>
            <w:szCs w:val="20"/>
          </w:rPr>
          <w:t>general principles</w:t>
        </w:r>
      </w:hyperlink>
      <w:r>
        <w:rPr>
          <w:szCs w:val="20"/>
        </w:rPr>
        <w:t xml:space="preserve"> and requirements when offering or accepting benefits:</w:t>
      </w:r>
    </w:p>
    <w:tbl>
      <w:tblPr>
        <w:tblStyle w:val="Tabellenraster"/>
        <w:tblW w:w="0" w:type="auto"/>
        <w:tblInd w:w="360" w:type="dxa"/>
        <w:tblLook w:val="04A0" w:firstRow="1" w:lastRow="0" w:firstColumn="1" w:lastColumn="0" w:noHBand="0" w:noVBand="1"/>
      </w:tblPr>
      <w:tblGrid>
        <w:gridCol w:w="10225"/>
      </w:tblGrid>
      <w:tr w:rsidR="003B39C6" w14:paraId="65700953" w14:textId="77777777" w:rsidTr="003B39C6">
        <w:tc>
          <w:tcPr>
            <w:tcW w:w="10225" w:type="dxa"/>
          </w:tcPr>
          <w:bookmarkStart w:id="3" w:name="_Hlk26961466"/>
          <w:p w14:paraId="0FF82E18" w14:textId="1856A6C8" w:rsidR="003B39C6" w:rsidRPr="00875522" w:rsidRDefault="00DB121A" w:rsidP="003B39C6">
            <w:pPr>
              <w:pStyle w:val="HighlightboxGreyBulletpoints"/>
              <w:numPr>
                <w:ilvl w:val="0"/>
                <w:numId w:val="0"/>
              </w:numPr>
              <w:ind w:left="360" w:hanging="360"/>
              <w:rPr>
                <w:b w:val="0"/>
                <w:lang w:val="la-Latn"/>
              </w:rPr>
            </w:pPr>
            <w:r>
              <w:fldChar w:fldCharType="begin"/>
            </w:r>
            <w:r>
              <w:instrText xml:space="preserve"> HYPERLINK \l "_Guidance_on_general" </w:instrText>
            </w:r>
            <w:r>
              <w:fldChar w:fldCharType="separate"/>
            </w:r>
            <w:r w:rsidR="00875522" w:rsidRPr="00FC3B59">
              <w:rPr>
                <w:rStyle w:val="Hyperlink"/>
              </w:rPr>
              <w:t xml:space="preserve">General </w:t>
            </w:r>
            <w:r w:rsidR="00FC3B59" w:rsidRPr="00FC3B59">
              <w:rPr>
                <w:rStyle w:val="Hyperlink"/>
              </w:rPr>
              <w:t>p</w:t>
            </w:r>
            <w:r w:rsidR="00875522" w:rsidRPr="00FC3B59">
              <w:rPr>
                <w:rStyle w:val="Hyperlink"/>
              </w:rPr>
              <w:t>rinciples</w:t>
            </w:r>
            <w:r>
              <w:rPr>
                <w:rStyle w:val="Hyperlink"/>
              </w:rPr>
              <w:fldChar w:fldCharType="end"/>
            </w:r>
            <w:r w:rsidR="00875522">
              <w:t xml:space="preserve"> –</w:t>
            </w:r>
            <w:r w:rsidR="00875522" w:rsidRPr="00875522">
              <w:t xml:space="preserve"> </w:t>
            </w:r>
            <w:r w:rsidR="003B39C6" w:rsidRPr="00875522">
              <w:rPr>
                <w:b w:val="0"/>
              </w:rPr>
              <w:t>Gifts and Hospitality must</w:t>
            </w:r>
          </w:p>
          <w:p w14:paraId="4069B489" w14:textId="77777777" w:rsidR="000500C3" w:rsidRPr="00737D6F" w:rsidRDefault="000500C3" w:rsidP="000500C3">
            <w:pPr>
              <w:pStyle w:val="HighlightboxGreyBulletpoints"/>
              <w:rPr>
                <w:b w:val="0"/>
                <w:lang w:val="la-Latn"/>
              </w:rPr>
            </w:pPr>
            <w:r>
              <w:rPr>
                <w:rFonts w:cstheme="minorHAnsi"/>
                <w:b w:val="0"/>
              </w:rPr>
              <w:t>Be</w:t>
            </w:r>
            <w:r w:rsidRPr="00E334C1">
              <w:rPr>
                <w:rFonts w:cstheme="minorHAnsi"/>
                <w:b w:val="0"/>
              </w:rPr>
              <w:t xml:space="preserve"> in accordance with applicable</w:t>
            </w:r>
            <w:r w:rsidRPr="00737D6F">
              <w:rPr>
                <w:rFonts w:cstheme="minorHAnsi"/>
              </w:rPr>
              <w:t xml:space="preserve"> </w:t>
            </w:r>
            <w:r w:rsidRPr="00E334C1">
              <w:rPr>
                <w:rFonts w:cstheme="minorHAnsi"/>
              </w:rPr>
              <w:t>laws and regulations</w:t>
            </w:r>
            <w:r>
              <w:rPr>
                <w:rFonts w:cstheme="minorHAnsi"/>
                <w:b w:val="0"/>
              </w:rPr>
              <w:t xml:space="preserve"> and mindful of </w:t>
            </w:r>
            <w:r w:rsidRPr="000D130A">
              <w:rPr>
                <w:rFonts w:cstheme="minorHAnsi"/>
              </w:rPr>
              <w:t>internal rules</w:t>
            </w:r>
            <w:r w:rsidRPr="000D130A">
              <w:rPr>
                <w:rFonts w:cstheme="minorHAnsi"/>
                <w:b w:val="0"/>
              </w:rPr>
              <w:t xml:space="preserve"> </w:t>
            </w:r>
            <w:r>
              <w:rPr>
                <w:rFonts w:cstheme="minorHAnsi"/>
                <w:b w:val="0"/>
              </w:rPr>
              <w:t>that the recipient</w:t>
            </w:r>
            <w:r w:rsidRPr="00E334C1">
              <w:rPr>
                <w:rFonts w:cstheme="minorHAnsi"/>
                <w:b w:val="0"/>
              </w:rPr>
              <w:t xml:space="preserve">, especially </w:t>
            </w:r>
            <w:hyperlink r:id="rId12" w:history="1">
              <w:r w:rsidRPr="00666E67">
                <w:rPr>
                  <w:rStyle w:val="Hyperlink"/>
                  <w:rFonts w:cstheme="minorHAnsi"/>
                  <w:b w:val="0"/>
                </w:rPr>
                <w:t>government officials</w:t>
              </w:r>
            </w:hyperlink>
            <w:r w:rsidRPr="00E334C1">
              <w:rPr>
                <w:rFonts w:cstheme="minorHAnsi"/>
                <w:b w:val="0"/>
              </w:rPr>
              <w:t xml:space="preserve">, </w:t>
            </w:r>
            <w:r>
              <w:rPr>
                <w:rFonts w:cstheme="minorHAnsi"/>
                <w:b w:val="0"/>
              </w:rPr>
              <w:t>might have</w:t>
            </w:r>
            <w:r w:rsidRPr="00E334C1">
              <w:rPr>
                <w:rFonts w:cstheme="minorHAnsi"/>
                <w:b w:val="0"/>
              </w:rPr>
              <w:t>.</w:t>
            </w:r>
          </w:p>
          <w:p w14:paraId="0C8B8C3D" w14:textId="64307B69" w:rsidR="000500C3" w:rsidRPr="00F610AA" w:rsidRDefault="000500C3" w:rsidP="000500C3">
            <w:pPr>
              <w:pStyle w:val="HighlightboxGreyBulletpoints"/>
              <w:rPr>
                <w:rFonts w:cstheme="minorHAnsi"/>
                <w:b w:val="0"/>
              </w:rPr>
            </w:pPr>
            <w:r>
              <w:rPr>
                <w:rFonts w:cs="Arial"/>
                <w:b w:val="0"/>
              </w:rPr>
              <w:t>B</w:t>
            </w:r>
            <w:r w:rsidRPr="00092D45">
              <w:rPr>
                <w:rFonts w:cs="Arial"/>
                <w:b w:val="0"/>
              </w:rPr>
              <w:t xml:space="preserve">e provided or received in a </w:t>
            </w:r>
            <w:r w:rsidRPr="0077083D">
              <w:rPr>
                <w:rFonts w:cs="Arial"/>
              </w:rPr>
              <w:t>transparent</w:t>
            </w:r>
            <w:r w:rsidRPr="00092D45">
              <w:rPr>
                <w:rFonts w:cs="Arial"/>
                <w:b w:val="0"/>
              </w:rPr>
              <w:t xml:space="preserve"> manner</w:t>
            </w:r>
            <w:r>
              <w:rPr>
                <w:rFonts w:cs="Arial"/>
                <w:b w:val="0"/>
              </w:rPr>
              <w:t xml:space="preserve"> and </w:t>
            </w:r>
            <w:r w:rsidR="00EC08FE">
              <w:rPr>
                <w:rFonts w:cs="Arial"/>
                <w:b w:val="0"/>
              </w:rPr>
              <w:t>correctly</w:t>
            </w:r>
            <w:r w:rsidRPr="00092D45">
              <w:rPr>
                <w:rFonts w:cs="Arial"/>
                <w:b w:val="0"/>
              </w:rPr>
              <w:t xml:space="preserve"> recorded in the financial books and records</w:t>
            </w:r>
            <w:r>
              <w:rPr>
                <w:rFonts w:cs="Arial"/>
                <w:b w:val="0"/>
              </w:rPr>
              <w:t>.</w:t>
            </w:r>
          </w:p>
          <w:p w14:paraId="323FB174" w14:textId="77777777" w:rsidR="000500C3" w:rsidRPr="00E334C1" w:rsidRDefault="000500C3" w:rsidP="000500C3">
            <w:pPr>
              <w:pStyle w:val="HighlightboxGreyBulletpoints"/>
              <w:rPr>
                <w:rFonts w:cstheme="minorHAnsi"/>
                <w:b w:val="0"/>
              </w:rPr>
            </w:pPr>
            <w:r>
              <w:rPr>
                <w:rFonts w:cstheme="minorHAnsi"/>
                <w:b w:val="0"/>
              </w:rPr>
              <w:t>B</w:t>
            </w:r>
            <w:r w:rsidRPr="00E334C1">
              <w:rPr>
                <w:rFonts w:cstheme="minorHAnsi"/>
                <w:b w:val="0"/>
              </w:rPr>
              <w:t xml:space="preserve">e </w:t>
            </w:r>
            <w:r w:rsidRPr="00F94DA8">
              <w:rPr>
                <w:rFonts w:cstheme="minorHAnsi"/>
              </w:rPr>
              <w:t>appropriate</w:t>
            </w:r>
            <w:r w:rsidRPr="00E334C1">
              <w:rPr>
                <w:rFonts w:cstheme="minorHAnsi"/>
                <w:b w:val="0"/>
              </w:rPr>
              <w:t xml:space="preserve"> in terms of type, value, and frequency to the occasion and the position of the recipient</w:t>
            </w:r>
            <w:r>
              <w:rPr>
                <w:rFonts w:cstheme="minorHAnsi"/>
                <w:b w:val="0"/>
              </w:rPr>
              <w:t>.</w:t>
            </w:r>
          </w:p>
          <w:p w14:paraId="3F0CF77B" w14:textId="796418DE" w:rsidR="003B39C6" w:rsidRPr="00A4735C" w:rsidRDefault="003B39C6" w:rsidP="000500C3">
            <w:pPr>
              <w:pStyle w:val="HighlightboxGreyBulletpoints"/>
              <w:rPr>
                <w:rFonts w:cstheme="minorHAnsi"/>
                <w:b w:val="0"/>
              </w:rPr>
            </w:pPr>
            <w:r>
              <w:rPr>
                <w:rFonts w:cstheme="minorHAnsi"/>
                <w:b w:val="0"/>
              </w:rPr>
              <w:t>N</w:t>
            </w:r>
            <w:r w:rsidRPr="00A4735C">
              <w:rPr>
                <w:rFonts w:cstheme="minorHAnsi"/>
                <w:b w:val="0"/>
              </w:rPr>
              <w:t xml:space="preserve">ot be offered, provided, demanded, or accepted with the </w:t>
            </w:r>
            <w:r w:rsidRPr="00A4735C">
              <w:rPr>
                <w:rFonts w:cstheme="minorHAnsi"/>
              </w:rPr>
              <w:t>expectation</w:t>
            </w:r>
            <w:r w:rsidRPr="00A4735C">
              <w:rPr>
                <w:rFonts w:cstheme="minorHAnsi"/>
                <w:b w:val="0"/>
              </w:rPr>
              <w:t xml:space="preserve"> of any type of advantage</w:t>
            </w:r>
            <w:r>
              <w:rPr>
                <w:rFonts w:cstheme="minorHAnsi"/>
                <w:b w:val="0"/>
              </w:rPr>
              <w:t>.</w:t>
            </w:r>
          </w:p>
          <w:p w14:paraId="3142A992" w14:textId="092AA336" w:rsidR="003B39C6" w:rsidRPr="00E334C1" w:rsidRDefault="003B39C6" w:rsidP="003B39C6">
            <w:pPr>
              <w:pStyle w:val="HighlightboxGreyBulletpoints"/>
              <w:rPr>
                <w:rFonts w:cs="Arial"/>
                <w:b w:val="0"/>
              </w:rPr>
            </w:pPr>
            <w:r w:rsidRPr="000500C3">
              <w:rPr>
                <w:rFonts w:cs="Arial"/>
              </w:rPr>
              <w:t>N</w:t>
            </w:r>
            <w:r w:rsidRPr="000500C3">
              <w:rPr>
                <w:rFonts w:cstheme="minorHAnsi"/>
              </w:rPr>
              <w:t xml:space="preserve">ever give the </w:t>
            </w:r>
            <w:r w:rsidRPr="000500C3">
              <w:rPr>
                <w:rFonts w:cstheme="minorHAnsi"/>
                <w:b w:val="0"/>
              </w:rPr>
              <w:t>appearance</w:t>
            </w:r>
            <w:r w:rsidRPr="000500C3">
              <w:rPr>
                <w:rFonts w:cstheme="minorHAnsi"/>
              </w:rPr>
              <w:t xml:space="preserve"> of dishonesty or inappropriateness</w:t>
            </w:r>
            <w:r w:rsidRPr="000500C3">
              <w:rPr>
                <w:rFonts w:cs="Arial"/>
              </w:rPr>
              <w:t>.</w:t>
            </w:r>
          </w:p>
        </w:tc>
      </w:tr>
      <w:bookmarkEnd w:id="3"/>
    </w:tbl>
    <w:p w14:paraId="605E70BD" w14:textId="77777777" w:rsidR="003B39C6" w:rsidRPr="00E45F0E" w:rsidRDefault="003B39C6" w:rsidP="003B39C6">
      <w:pPr>
        <w:pStyle w:val="KeinAbsatzformat"/>
        <w:rPr>
          <w:lang w:val="en-US"/>
        </w:rPr>
      </w:pPr>
    </w:p>
    <w:tbl>
      <w:tblPr>
        <w:tblStyle w:val="Tabellenraster"/>
        <w:tblW w:w="0" w:type="auto"/>
        <w:tblInd w:w="360" w:type="dxa"/>
        <w:tblLook w:val="04A0" w:firstRow="1" w:lastRow="0" w:firstColumn="1" w:lastColumn="0" w:noHBand="0" w:noVBand="1"/>
      </w:tblPr>
      <w:tblGrid>
        <w:gridCol w:w="10225"/>
      </w:tblGrid>
      <w:tr w:rsidR="003B39C6" w14:paraId="13210A04" w14:textId="77777777" w:rsidTr="001A1B77">
        <w:trPr>
          <w:trHeight w:val="3493"/>
        </w:trPr>
        <w:tc>
          <w:tcPr>
            <w:tcW w:w="10225" w:type="dxa"/>
          </w:tcPr>
          <w:p w14:paraId="381E825E" w14:textId="086CBAED" w:rsidR="001A1B77" w:rsidRDefault="003B39C6" w:rsidP="003B39C6">
            <w:pPr>
              <w:pStyle w:val="HighlightboxGreyBulletpoints"/>
              <w:numPr>
                <w:ilvl w:val="0"/>
                <w:numId w:val="0"/>
              </w:numPr>
              <w:rPr>
                <w:rStyle w:val="Hyperlink"/>
              </w:rPr>
            </w:pPr>
            <w:r w:rsidRPr="00E334C1">
              <w:t xml:space="preserve">In addition to our </w:t>
            </w:r>
            <w:hyperlink w:anchor="_Guidance_on_general" w:history="1">
              <w:r w:rsidRPr="0015494A">
                <w:rPr>
                  <w:rStyle w:val="Hyperlink"/>
                </w:rPr>
                <w:t>general principles</w:t>
              </w:r>
            </w:hyperlink>
          </w:p>
          <w:p w14:paraId="4734A252" w14:textId="216CC9CB" w:rsidR="003B39C6" w:rsidRPr="006A7450" w:rsidRDefault="003B39C6" w:rsidP="00EC08FE">
            <w:pPr>
              <w:pStyle w:val="HighlightboxGreyBulletpoints"/>
              <w:rPr>
                <w:rFonts w:cs="Arial"/>
              </w:rPr>
            </w:pPr>
            <w:bookmarkStart w:id="4" w:name="_Hlk5629022"/>
            <w:bookmarkStart w:id="5" w:name="_Hlk37679789"/>
            <w:r>
              <w:rPr>
                <w:rFonts w:cs="Arial"/>
              </w:rPr>
              <w:t xml:space="preserve">A </w:t>
            </w:r>
            <w:r w:rsidRPr="00AD1D1C">
              <w:rPr>
                <w:rFonts w:cs="Arial"/>
              </w:rPr>
              <w:t xml:space="preserve">prior </w:t>
            </w:r>
            <w:hyperlink w:anchor="_1.3._Approval_for" w:history="1">
              <w:proofErr w:type="spellStart"/>
              <w:r w:rsidRPr="0015494A">
                <w:rPr>
                  <w:rStyle w:val="Hyperlink"/>
                  <w:rFonts w:cs="Arial"/>
                </w:rPr>
                <w:t>SpoDoM</w:t>
              </w:r>
              <w:proofErr w:type="spellEnd"/>
              <w:r>
                <w:rPr>
                  <w:rStyle w:val="Hyperlink"/>
                  <w:rFonts w:cs="Arial"/>
                </w:rPr>
                <w:t>-A</w:t>
              </w:r>
              <w:r w:rsidRPr="0015494A">
                <w:rPr>
                  <w:rStyle w:val="Hyperlink"/>
                  <w:rFonts w:cs="Arial"/>
                </w:rPr>
                <w:t>pproval</w:t>
              </w:r>
            </w:hyperlink>
            <w:r>
              <w:rPr>
                <w:rFonts w:cs="Arial"/>
              </w:rPr>
              <w:t xml:space="preserve"> </w:t>
            </w:r>
            <w:r w:rsidRPr="00AD1D1C">
              <w:rPr>
                <w:rFonts w:cs="Arial"/>
              </w:rPr>
              <w:t>is required for</w:t>
            </w:r>
            <w:r>
              <w:rPr>
                <w:rFonts w:cs="Arial"/>
              </w:rPr>
              <w:t xml:space="preserve"> </w:t>
            </w:r>
            <w:r w:rsidRPr="007A56D8">
              <w:rPr>
                <w:rFonts w:cs="Arial"/>
                <w:u w:val="single"/>
              </w:rPr>
              <w:t>offering or granting</w:t>
            </w:r>
            <w:r w:rsidR="006A7450">
              <w:rPr>
                <w:rFonts w:cs="Arial"/>
              </w:rPr>
              <w:t xml:space="preserve"> </w:t>
            </w:r>
            <w:r w:rsidRPr="006A7450">
              <w:rPr>
                <w:rFonts w:cs="Arial"/>
              </w:rPr>
              <w:t>invitations to</w:t>
            </w:r>
            <w:r>
              <w:rPr>
                <w:rStyle w:val="Hyperlink"/>
              </w:rPr>
              <w:t xml:space="preserve"> </w:t>
            </w:r>
            <w:hyperlink w:anchor="_1.2.2._Entertainment_Events*" w:history="1">
              <w:r>
                <w:rPr>
                  <w:rStyle w:val="Hyperlink"/>
                </w:rPr>
                <w:t>E</w:t>
              </w:r>
              <w:r w:rsidRPr="0015494A">
                <w:rPr>
                  <w:rStyle w:val="Hyperlink"/>
                </w:rPr>
                <w:t xml:space="preserve">ntertainment </w:t>
              </w:r>
              <w:r>
                <w:rPr>
                  <w:rStyle w:val="Hyperlink"/>
                </w:rPr>
                <w:t>E</w:t>
              </w:r>
              <w:r w:rsidRPr="0015494A">
                <w:rPr>
                  <w:rStyle w:val="Hyperlink"/>
                </w:rPr>
                <w:t>vents</w:t>
              </w:r>
            </w:hyperlink>
            <w:r w:rsidR="00E84439">
              <w:rPr>
                <w:rStyle w:val="Hyperlink"/>
              </w:rPr>
              <w:t>,</w:t>
            </w:r>
            <w:r w:rsidRPr="006A7450">
              <w:rPr>
                <w:rFonts w:cs="Arial"/>
              </w:rPr>
              <w:t xml:space="preserve"> reimbursement of </w:t>
            </w:r>
            <w:hyperlink w:anchor="_1.2.3._Travel_and" w:history="1">
              <w:r w:rsidR="00D16D60">
                <w:rPr>
                  <w:rStyle w:val="Hyperlink"/>
                </w:rPr>
                <w:t>Lodging or N</w:t>
              </w:r>
              <w:r w:rsidRPr="0015494A">
                <w:rPr>
                  <w:rStyle w:val="Hyperlink"/>
                </w:rPr>
                <w:t>on-</w:t>
              </w:r>
              <w:r>
                <w:rPr>
                  <w:rStyle w:val="Hyperlink"/>
                </w:rPr>
                <w:t>L</w:t>
              </w:r>
              <w:r w:rsidRPr="0015494A">
                <w:rPr>
                  <w:rStyle w:val="Hyperlink"/>
                </w:rPr>
                <w:t xml:space="preserve">ocal </w:t>
              </w:r>
              <w:r>
                <w:rPr>
                  <w:rStyle w:val="Hyperlink"/>
                </w:rPr>
                <w:t>T</w:t>
              </w:r>
              <w:r w:rsidRPr="0015494A">
                <w:rPr>
                  <w:rStyle w:val="Hyperlink"/>
                </w:rPr>
                <w:t>ravel</w:t>
              </w:r>
              <w:r>
                <w:rPr>
                  <w:rStyle w:val="Hyperlink"/>
                </w:rPr>
                <w:t xml:space="preserve"> Costs</w:t>
              </w:r>
            </w:hyperlink>
            <w:r w:rsidR="00E84439">
              <w:rPr>
                <w:rStyle w:val="Hyperlink"/>
              </w:rPr>
              <w:t>,</w:t>
            </w:r>
            <w:r w:rsidR="005D10C1">
              <w:rPr>
                <w:rStyle w:val="Hyperlink"/>
              </w:rPr>
              <w:t xml:space="preserve"> </w:t>
            </w:r>
            <w:r w:rsidR="005D10C1" w:rsidRPr="006A7450">
              <w:rPr>
                <w:rFonts w:cs="Arial"/>
              </w:rPr>
              <w:t xml:space="preserve">or </w:t>
            </w:r>
            <w:r w:rsidR="005D10C1">
              <w:rPr>
                <w:rStyle w:val="Hyperlink"/>
              </w:rPr>
              <w:t>Other Contributions without Consideration</w:t>
            </w:r>
            <w:r w:rsidR="00EC08FE">
              <w:rPr>
                <w:rStyle w:val="Hyperlink"/>
              </w:rPr>
              <w:t xml:space="preserve"> </w:t>
            </w:r>
            <w:r w:rsidR="00EC08FE" w:rsidRPr="00EC08FE">
              <w:rPr>
                <w:rStyle w:val="Hyperlink"/>
              </w:rPr>
              <w:t>of a value of EUR 20,000 or more</w:t>
            </w:r>
          </w:p>
          <w:p w14:paraId="49440977" w14:textId="73052AD2" w:rsidR="003B39C6" w:rsidRDefault="005D10C1" w:rsidP="00B47E4A">
            <w:pPr>
              <w:pStyle w:val="HighlightboxGreyBulletpoints"/>
              <w:numPr>
                <w:ilvl w:val="1"/>
                <w:numId w:val="7"/>
              </w:numPr>
              <w:tabs>
                <w:tab w:val="left" w:pos="6574"/>
              </w:tabs>
              <w:rPr>
                <w:rFonts w:cs="Arial"/>
                <w:b w:val="0"/>
              </w:rPr>
            </w:pPr>
            <w:r>
              <w:rPr>
                <w:b w:val="0"/>
              </w:rPr>
              <w:t xml:space="preserve">to </w:t>
            </w:r>
            <w:r w:rsidR="003B39C6" w:rsidRPr="00D62797">
              <w:rPr>
                <w:bCs/>
              </w:rPr>
              <w:t>Government Officials</w:t>
            </w:r>
            <w:r w:rsidR="003B39C6" w:rsidRPr="00E334C1">
              <w:rPr>
                <w:b w:val="0"/>
              </w:rPr>
              <w:t xml:space="preserve"> and their </w:t>
            </w:r>
            <w:r w:rsidR="003B39C6" w:rsidRPr="00D62797">
              <w:rPr>
                <w:bCs/>
              </w:rPr>
              <w:t>Related Parties</w:t>
            </w:r>
            <w:r w:rsidR="003B39C6" w:rsidRPr="00E334C1">
              <w:rPr>
                <w:b w:val="0"/>
              </w:rPr>
              <w:t>,</w:t>
            </w:r>
            <w:r w:rsidR="00F91AD9">
              <w:rPr>
                <w:b w:val="0"/>
              </w:rPr>
              <w:t xml:space="preserve"> </w:t>
            </w:r>
            <w:r w:rsidR="00F91AD9" w:rsidRPr="00D62797">
              <w:rPr>
                <w:bCs/>
              </w:rPr>
              <w:t>Government Entities</w:t>
            </w:r>
            <w:r w:rsidR="00F91AD9">
              <w:rPr>
                <w:b w:val="0"/>
              </w:rPr>
              <w:t>,</w:t>
            </w:r>
            <w:r w:rsidR="003B39C6" w:rsidRPr="00E334C1">
              <w:rPr>
                <w:b w:val="0"/>
              </w:rPr>
              <w:t xml:space="preserve"> </w:t>
            </w:r>
            <w:r w:rsidR="003B39C6" w:rsidRPr="00D62797">
              <w:rPr>
                <w:bCs/>
              </w:rPr>
              <w:t>Healthcare Providers</w:t>
            </w:r>
            <w:r w:rsidR="003B39C6" w:rsidRPr="00DC0241">
              <w:rPr>
                <w:bCs/>
              </w:rPr>
              <w:t>,</w:t>
            </w:r>
            <w:r w:rsidR="003B39C6">
              <w:t xml:space="preserve"> </w:t>
            </w:r>
            <w:r w:rsidR="003B39C6" w:rsidRPr="009C29B5">
              <w:rPr>
                <w:b w:val="0"/>
              </w:rPr>
              <w:t xml:space="preserve">members of a </w:t>
            </w:r>
            <w:r w:rsidR="003B39C6" w:rsidRPr="00D62797">
              <w:rPr>
                <w:bCs/>
              </w:rPr>
              <w:t>purchasing department</w:t>
            </w:r>
            <w:r w:rsidR="003B39C6">
              <w:t xml:space="preserve"> </w:t>
            </w:r>
            <w:r w:rsidR="003B39C6" w:rsidRPr="00E334C1">
              <w:rPr>
                <w:b w:val="0"/>
              </w:rPr>
              <w:t>or</w:t>
            </w:r>
            <w:r w:rsidR="003B39C6">
              <w:t xml:space="preserve"> </w:t>
            </w:r>
            <w:r w:rsidR="003B39C6" w:rsidRPr="00E334C1">
              <w:rPr>
                <w:b w:val="0"/>
              </w:rPr>
              <w:t>beneficiaries that are</w:t>
            </w:r>
            <w:r w:rsidR="003B39C6" w:rsidRPr="00F94DA8">
              <w:rPr>
                <w:b w:val="0"/>
              </w:rPr>
              <w:t xml:space="preserve"> </w:t>
            </w:r>
            <w:r w:rsidR="003B39C6" w:rsidRPr="00D62797">
              <w:rPr>
                <w:bCs/>
              </w:rPr>
              <w:t>involved in important business decisions</w:t>
            </w:r>
            <w:r w:rsidR="003B39C6" w:rsidRPr="00AD1D1C">
              <w:rPr>
                <w:rFonts w:cs="Arial"/>
                <w:b w:val="0"/>
              </w:rPr>
              <w:t xml:space="preserve"> </w:t>
            </w:r>
            <w:r w:rsidR="003B39C6">
              <w:rPr>
                <w:rFonts w:cs="Arial"/>
                <w:b w:val="0"/>
              </w:rPr>
              <w:t>(</w:t>
            </w:r>
            <w:hyperlink w:anchor="_1.3._Process_and" w:history="1">
              <w:r w:rsidR="003B39C6">
                <w:rPr>
                  <w:rStyle w:val="Hyperlink"/>
                  <w:rFonts w:cs="Arial"/>
                </w:rPr>
                <w:t>Risk Groups</w:t>
              </w:r>
            </w:hyperlink>
            <w:r w:rsidR="003B39C6" w:rsidRPr="00E334C1">
              <w:rPr>
                <w:rFonts w:cs="Arial"/>
                <w:b w:val="0"/>
              </w:rPr>
              <w:t>)</w:t>
            </w:r>
            <w:r w:rsidR="003B39C6">
              <w:rPr>
                <w:rFonts w:cs="Arial"/>
                <w:b w:val="0"/>
              </w:rPr>
              <w:t>,</w:t>
            </w:r>
          </w:p>
          <w:p w14:paraId="522C06BA" w14:textId="77777777" w:rsidR="003B39C6" w:rsidRDefault="003B39C6" w:rsidP="00B47E4A">
            <w:pPr>
              <w:pStyle w:val="HighlightboxGreyBulletpoints"/>
              <w:numPr>
                <w:ilvl w:val="1"/>
                <w:numId w:val="7"/>
              </w:numPr>
              <w:rPr>
                <w:rFonts w:cs="Arial"/>
                <w:b w:val="0"/>
              </w:rPr>
            </w:pPr>
            <w:r>
              <w:rPr>
                <w:rFonts w:cs="Arial"/>
                <w:b w:val="0"/>
              </w:rPr>
              <w:t>if</w:t>
            </w:r>
            <w:r w:rsidRPr="00AD1D1C">
              <w:rPr>
                <w:rFonts w:cs="Arial"/>
                <w:b w:val="0"/>
              </w:rPr>
              <w:t xml:space="preserve"> no </w:t>
            </w:r>
            <w:hyperlink w:anchor="_1.3._Process_and" w:history="1">
              <w:r w:rsidRPr="0015494A">
                <w:rPr>
                  <w:rStyle w:val="Hyperlink"/>
                  <w:rFonts w:cs="Arial"/>
                </w:rPr>
                <w:t>exception</w:t>
              </w:r>
            </w:hyperlink>
            <w:r>
              <w:rPr>
                <w:rFonts w:cs="Arial"/>
                <w:b w:val="0"/>
              </w:rPr>
              <w:t xml:space="preserve"> applies</w:t>
            </w:r>
            <w:r w:rsidRPr="00AD1D1C">
              <w:rPr>
                <w:rFonts w:cs="Arial"/>
                <w:b w:val="0"/>
              </w:rPr>
              <w:t>.</w:t>
            </w:r>
          </w:p>
          <w:p w14:paraId="037377C9" w14:textId="4EE8AE9A" w:rsidR="003B39C6" w:rsidRPr="004D03D1" w:rsidRDefault="003B39C6" w:rsidP="003B39C6">
            <w:pPr>
              <w:pStyle w:val="HighlightboxGreyBulletpoints"/>
              <w:rPr>
                <w:rFonts w:cs="Arial"/>
                <w:b w:val="0"/>
              </w:rPr>
            </w:pPr>
            <w:r w:rsidRPr="00EC1F35">
              <w:rPr>
                <w:rFonts w:cs="Arial"/>
                <w:b w:val="0"/>
                <w:u w:val="single"/>
              </w:rPr>
              <w:t xml:space="preserve">No </w:t>
            </w:r>
            <w:proofErr w:type="spellStart"/>
            <w:r w:rsidRPr="00EC1F35">
              <w:rPr>
                <w:rFonts w:cs="Arial"/>
                <w:b w:val="0"/>
                <w:u w:val="single"/>
              </w:rPr>
              <w:t>SpoDoM</w:t>
            </w:r>
            <w:proofErr w:type="spellEnd"/>
            <w:r w:rsidRPr="00EC1F35">
              <w:rPr>
                <w:rFonts w:cs="Arial"/>
                <w:b w:val="0"/>
                <w:u w:val="single"/>
              </w:rPr>
              <w:t>-Approval</w:t>
            </w:r>
            <w:r>
              <w:rPr>
                <w:rFonts w:cs="Arial"/>
                <w:b w:val="0"/>
              </w:rPr>
              <w:t xml:space="preserve"> is required for </w:t>
            </w:r>
            <w:r w:rsidRPr="007A56D8">
              <w:rPr>
                <w:rFonts w:cs="Arial"/>
                <w:b w:val="0"/>
                <w:u w:val="single"/>
              </w:rPr>
              <w:t>offering or granting</w:t>
            </w:r>
            <w:r>
              <w:rPr>
                <w:rFonts w:cs="Arial"/>
                <w:b w:val="0"/>
              </w:rPr>
              <w:t xml:space="preserve"> </w:t>
            </w:r>
            <w:hyperlink w:anchor="_1.2.1._Gifts_and" w:history="1">
              <w:r w:rsidRPr="004D03D1">
                <w:rPr>
                  <w:rStyle w:val="Hyperlink"/>
                  <w:rFonts w:cs="Arial"/>
                  <w:b w:val="0"/>
                </w:rPr>
                <w:t>Gifts and Meals</w:t>
              </w:r>
            </w:hyperlink>
            <w:r>
              <w:rPr>
                <w:rFonts w:cs="Arial"/>
                <w:b w:val="0"/>
              </w:rPr>
              <w:t xml:space="preserve">, reimbursement of </w:t>
            </w:r>
            <w:hyperlink w:anchor="LocalTravel" w:history="1">
              <w:r w:rsidRPr="00DA6A0F">
                <w:rPr>
                  <w:rStyle w:val="Hyperlink"/>
                  <w:rFonts w:cs="Arial"/>
                  <w:b w:val="0"/>
                </w:rPr>
                <w:t>Local Travel Costs</w:t>
              </w:r>
            </w:hyperlink>
            <w:r>
              <w:rPr>
                <w:rFonts w:cs="Arial"/>
                <w:b w:val="0"/>
              </w:rPr>
              <w:t xml:space="preserve">, or for </w:t>
            </w:r>
            <w:r w:rsidRPr="00EC1F35">
              <w:rPr>
                <w:rFonts w:cs="Arial"/>
                <w:b w:val="0"/>
                <w:u w:val="single"/>
              </w:rPr>
              <w:t xml:space="preserve">accepting </w:t>
            </w:r>
            <w:hyperlink w:anchor="_1.2._Types_of" w:history="1">
              <w:r w:rsidRPr="006966BC">
                <w:rPr>
                  <w:rStyle w:val="Hyperlink"/>
                  <w:rFonts w:cs="Arial"/>
                  <w:b w:val="0"/>
                </w:rPr>
                <w:t>Benefits</w:t>
              </w:r>
            </w:hyperlink>
            <w:r>
              <w:rPr>
                <w:rFonts w:cs="Arial"/>
                <w:b w:val="0"/>
              </w:rPr>
              <w:t>.</w:t>
            </w:r>
          </w:p>
          <w:p w14:paraId="7FC71296" w14:textId="2C58265D" w:rsidR="002C5A35" w:rsidRPr="00E45F0E" w:rsidRDefault="00C958A6" w:rsidP="009309EA">
            <w:pPr>
              <w:pStyle w:val="HighlightboxGreyBulletpoints"/>
            </w:pPr>
            <w:hyperlink w:anchor="_1.2.1._Gifts_and" w:history="1">
              <w:r w:rsidR="003B39C6" w:rsidRPr="0015494A">
                <w:rPr>
                  <w:rStyle w:val="Hyperlink"/>
                  <w:rFonts w:cs="Arial"/>
                </w:rPr>
                <w:t>G</w:t>
              </w:r>
              <w:r w:rsidR="003B39C6" w:rsidRPr="0015494A">
                <w:rPr>
                  <w:rStyle w:val="Hyperlink"/>
                </w:rPr>
                <w:t>ifts of money</w:t>
              </w:r>
            </w:hyperlink>
            <w:r w:rsidR="003B39C6">
              <w:rPr>
                <w:b w:val="0"/>
              </w:rPr>
              <w:t xml:space="preserve"> are prohibited unless a</w:t>
            </w:r>
            <w:r w:rsidR="003B39C6" w:rsidRPr="004A112C">
              <w:rPr>
                <w:b w:val="0"/>
              </w:rPr>
              <w:t xml:space="preserve"> prior written</w:t>
            </w:r>
            <w:r w:rsidR="003B39C6" w:rsidRPr="004A112C">
              <w:t xml:space="preserve"> approval of the Compli</w:t>
            </w:r>
            <w:r w:rsidR="003B39C6">
              <w:t xml:space="preserve">ance Officer </w:t>
            </w:r>
            <w:r w:rsidR="003B39C6" w:rsidRPr="004A112C">
              <w:rPr>
                <w:b w:val="0"/>
              </w:rPr>
              <w:t xml:space="preserve">is </w:t>
            </w:r>
            <w:r w:rsidR="003B39C6">
              <w:rPr>
                <w:b w:val="0"/>
              </w:rPr>
              <w:t>granted.</w:t>
            </w:r>
            <w:bookmarkEnd w:id="4"/>
            <w:r w:rsidR="009309EA">
              <w:rPr>
                <w:b w:val="0"/>
              </w:rPr>
              <w:t xml:space="preserve"> </w:t>
            </w:r>
            <w:bookmarkEnd w:id="5"/>
          </w:p>
        </w:tc>
      </w:tr>
    </w:tbl>
    <w:p w14:paraId="11FD3994" w14:textId="457799D9" w:rsidR="001A1B77" w:rsidRDefault="001A1B77" w:rsidP="001A1B77">
      <w:pPr>
        <w:rPr>
          <w:szCs w:val="20"/>
        </w:rPr>
      </w:pPr>
      <w:bookmarkStart w:id="6" w:name="_Guidance_on_general"/>
      <w:bookmarkStart w:id="7" w:name="_1.1_Guidance_on"/>
      <w:bookmarkEnd w:id="6"/>
      <w:bookmarkEnd w:id="7"/>
    </w:p>
    <w:p w14:paraId="1856068E" w14:textId="77777777" w:rsidR="001A1B77" w:rsidRPr="001A1B77" w:rsidRDefault="001A1B77" w:rsidP="001A1B77">
      <w:pPr>
        <w:pStyle w:val="KeinAbsatzformat"/>
        <w:rPr>
          <w:lang w:val="en-US"/>
        </w:rPr>
      </w:pPr>
    </w:p>
    <w:p w14:paraId="6C09C154" w14:textId="0557BD13" w:rsidR="003B39C6" w:rsidRDefault="003B39C6" w:rsidP="00B47E4A">
      <w:pPr>
        <w:pStyle w:val="berschrift2"/>
        <w:numPr>
          <w:ilvl w:val="1"/>
          <w:numId w:val="9"/>
        </w:numPr>
        <w:tabs>
          <w:tab w:val="left" w:pos="3570"/>
        </w:tabs>
      </w:pPr>
      <w:r>
        <w:rPr>
          <w:szCs w:val="20"/>
        </w:rPr>
        <w:lastRenderedPageBreak/>
        <w:t xml:space="preserve">Guidance on </w:t>
      </w:r>
      <w:r w:rsidR="00A5754F">
        <w:t>general principles</w:t>
      </w:r>
    </w:p>
    <w:p w14:paraId="03CE66C6" w14:textId="77777777" w:rsidR="00A54286" w:rsidRDefault="00A54286" w:rsidP="00A54286">
      <w:pPr>
        <w:rPr>
          <w:rFonts w:eastAsiaTheme="majorEastAsia" w:cstheme="majorBidi"/>
          <w:b/>
          <w:iCs/>
          <w:color w:val="879BAA" w:themeColor="text2"/>
          <w:sz w:val="22"/>
        </w:rPr>
      </w:pPr>
      <w:bookmarkStart w:id="8" w:name="_1.1.1._Evaluation_Guidance"/>
      <w:bookmarkEnd w:id="8"/>
    </w:p>
    <w:p w14:paraId="52F85BA5" w14:textId="4CB98273" w:rsidR="003B39C6" w:rsidRPr="00A54286" w:rsidRDefault="003B39C6" w:rsidP="00A54286">
      <w:pPr>
        <w:rPr>
          <w:rFonts w:eastAsiaTheme="majorEastAsia" w:cstheme="majorBidi"/>
          <w:b/>
          <w:iCs/>
          <w:color w:val="879BAA" w:themeColor="text2"/>
          <w:sz w:val="22"/>
        </w:rPr>
      </w:pPr>
      <w:r w:rsidRPr="00A54286">
        <w:rPr>
          <w:rFonts w:eastAsiaTheme="majorEastAsia" w:cstheme="majorBidi"/>
          <w:b/>
          <w:iCs/>
          <w:color w:val="879BAA" w:themeColor="text2"/>
          <w:sz w:val="22"/>
        </w:rPr>
        <w:t>Gifts and Hospitality must not be offered, provided, demanded, or accepted with the expectation of any type of advantage.</w:t>
      </w:r>
    </w:p>
    <w:p w14:paraId="7EEA7567" w14:textId="77777777" w:rsidR="003B39C6" w:rsidRPr="001C7C8E" w:rsidRDefault="003B39C6" w:rsidP="003B39C6">
      <w:r>
        <w:t xml:space="preserve">Employees must not provide or accept a gift or other benefit </w:t>
      </w:r>
      <w:r w:rsidRPr="00DB47CE">
        <w:t>before check</w:t>
      </w:r>
      <w:r>
        <w:t>ing</w:t>
      </w:r>
      <w:r w:rsidRPr="00DB47CE">
        <w:t xml:space="preserve"> it against </w:t>
      </w:r>
      <w:r>
        <w:t xml:space="preserve">our general </w:t>
      </w:r>
      <w:r w:rsidRPr="00DB47CE">
        <w:t xml:space="preserve">principles. </w:t>
      </w:r>
      <w:r>
        <w:t xml:space="preserve">Already a </w:t>
      </w:r>
      <w:r w:rsidRPr="00EC1F35">
        <w:t xml:space="preserve">promise </w:t>
      </w:r>
      <w:r>
        <w:t xml:space="preserve">or demand of Gifts and Hospitality with the expectation of an advantage (e.g. preferential treatment in competition with other companies) </w:t>
      </w:r>
      <w:r w:rsidRPr="00EC1F35">
        <w:t>can be illegal</w:t>
      </w:r>
      <w:r>
        <w:t>.</w:t>
      </w:r>
    </w:p>
    <w:p w14:paraId="1CE09DEA" w14:textId="29B6B677" w:rsidR="003B39C6" w:rsidRPr="00A54286" w:rsidRDefault="003B39C6" w:rsidP="00A54286">
      <w:pPr>
        <w:rPr>
          <w:rFonts w:eastAsiaTheme="majorEastAsia" w:cstheme="majorBidi"/>
          <w:b/>
          <w:iCs/>
          <w:color w:val="879BAA" w:themeColor="text2"/>
          <w:sz w:val="22"/>
        </w:rPr>
      </w:pPr>
      <w:r w:rsidRPr="00A54286">
        <w:rPr>
          <w:rFonts w:eastAsiaTheme="majorEastAsia" w:cstheme="majorBidi"/>
          <w:b/>
          <w:iCs/>
          <w:color w:val="879BAA" w:themeColor="text2"/>
          <w:sz w:val="22"/>
        </w:rPr>
        <w:t>Gifts and Hospitality must never give the appearance of dishonesty or inappropriateness.</w:t>
      </w:r>
    </w:p>
    <w:p w14:paraId="338716D2" w14:textId="77777777" w:rsidR="003B39C6" w:rsidRDefault="003B39C6" w:rsidP="003B39C6">
      <w:r>
        <w:t>Employees must refrain from any actions that could create an appearance of bad faith or inappropriateness, even if such actions are not illegal.</w:t>
      </w:r>
    </w:p>
    <w:p w14:paraId="794EA184" w14:textId="77777777" w:rsidR="003B39C6" w:rsidRPr="00A54286" w:rsidRDefault="003B39C6" w:rsidP="00A54286">
      <w:pPr>
        <w:rPr>
          <w:rFonts w:eastAsiaTheme="majorEastAsia" w:cstheme="majorBidi"/>
          <w:b/>
          <w:iCs/>
          <w:color w:val="879BAA" w:themeColor="text2"/>
          <w:sz w:val="22"/>
        </w:rPr>
      </w:pPr>
      <w:r w:rsidRPr="00A54286">
        <w:rPr>
          <w:rFonts w:eastAsiaTheme="majorEastAsia" w:cstheme="majorBidi"/>
          <w:b/>
          <w:iCs/>
          <w:color w:val="879BAA" w:themeColor="text2"/>
          <w:sz w:val="22"/>
        </w:rPr>
        <w:t>Gifts and Hospitality must be in accordance with applicable laws and regulations and mindful of internal rules that the recipient, especially government officials, might have.</w:t>
      </w:r>
    </w:p>
    <w:p w14:paraId="28697661" w14:textId="650291D2" w:rsidR="003B39C6" w:rsidRDefault="003B39C6" w:rsidP="003B39C6">
      <w:pPr>
        <w:rPr>
          <w:rFonts w:cs="Arial"/>
          <w:szCs w:val="20"/>
        </w:rPr>
      </w:pPr>
      <w:r>
        <w:t xml:space="preserve">The local rules of the country in which the benefit is provided is the starting point for evaluating compliance with applicable laws. If the recipient of the benefit does not live in this country, employees shall double-check the </w:t>
      </w:r>
      <w:r w:rsidRPr="00D34944">
        <w:t>rules</w:t>
      </w:r>
      <w:r>
        <w:t xml:space="preserve"> for the home country of the recipient as to whether any specific local rules apply, such as the prohibition of certain benefits or limits on the value of benefits. Most </w:t>
      </w:r>
      <w:r w:rsidRPr="00D34944">
        <w:t>national laws</w:t>
      </w:r>
      <w:r>
        <w:t xml:space="preserve"> require their nationals to adhere to the anti-corruption rules of their home country also when being abroad. National laws can vary considerably as to the prohibition of </w:t>
      </w:r>
      <w:r w:rsidRPr="00181419">
        <w:t>Gifts and Hospitality</w:t>
      </w:r>
      <w:r>
        <w:t xml:space="preserve">. </w:t>
      </w:r>
      <w:r w:rsidRPr="00E334C1">
        <w:t>In some countries, it may even be obligatory to comply with the internal rules of recipient`s organization, especially</w:t>
      </w:r>
      <w:r w:rsidRPr="00E334C1">
        <w:rPr>
          <w:rFonts w:cs="Arial"/>
          <w:szCs w:val="20"/>
        </w:rPr>
        <w:t xml:space="preserve"> in the</w:t>
      </w:r>
      <w:r>
        <w:rPr>
          <w:rFonts w:cs="Arial"/>
          <w:szCs w:val="20"/>
        </w:rPr>
        <w:t xml:space="preserve"> </w:t>
      </w:r>
      <w:r>
        <w:rPr>
          <w:rFonts w:cs="Arial"/>
          <w:szCs w:val="20"/>
          <w:u w:val="single"/>
        </w:rPr>
        <w:t>p</w:t>
      </w:r>
      <w:r w:rsidRPr="00EC1F35">
        <w:rPr>
          <w:rFonts w:cs="Arial"/>
          <w:szCs w:val="20"/>
          <w:u w:val="single"/>
        </w:rPr>
        <w:t xml:space="preserve">ublic </w:t>
      </w:r>
      <w:r>
        <w:rPr>
          <w:rFonts w:cs="Arial"/>
          <w:szCs w:val="20"/>
          <w:u w:val="single"/>
        </w:rPr>
        <w:t>s</w:t>
      </w:r>
      <w:r w:rsidRPr="00EC1F35">
        <w:rPr>
          <w:rFonts w:cs="Arial"/>
          <w:szCs w:val="20"/>
          <w:u w:val="single"/>
        </w:rPr>
        <w:t>ector</w:t>
      </w:r>
      <w:r>
        <w:rPr>
          <w:rFonts w:cs="Arial"/>
          <w:szCs w:val="20"/>
        </w:rPr>
        <w:t xml:space="preserve"> (Government Officials and their Related Parties).</w:t>
      </w:r>
      <w:r w:rsidRPr="00E334C1">
        <w:rPr>
          <w:rFonts w:cs="Arial"/>
          <w:szCs w:val="20"/>
        </w:rPr>
        <w:t xml:space="preserve"> </w:t>
      </w:r>
      <w:bookmarkStart w:id="9" w:name="_1.1.2._Public_Sector"/>
      <w:bookmarkEnd w:id="9"/>
      <w:r>
        <w:rPr>
          <w:rFonts w:cs="Arial"/>
          <w:szCs w:val="20"/>
        </w:rPr>
        <w:t xml:space="preserve">Providing inappropriate gifts or hospitality to </w:t>
      </w:r>
      <w:bookmarkStart w:id="10" w:name="PublicSector"/>
      <w:r w:rsidR="00666E67">
        <w:rPr>
          <w:rFonts w:cs="Arial"/>
          <w:szCs w:val="20"/>
          <w:u w:val="single"/>
        </w:rPr>
        <w:fldChar w:fldCharType="begin"/>
      </w:r>
      <w:r w:rsidR="00F429F8">
        <w:rPr>
          <w:rFonts w:cs="Arial"/>
          <w:szCs w:val="20"/>
          <w:u w:val="single"/>
        </w:rPr>
        <w:instrText>HYPERLINK "https://webbooks.siemens.com/public/LC/chen/index.htm?n=General-Introduction,2.-Definitions-and-Abbreviations"</w:instrText>
      </w:r>
      <w:r w:rsidR="00666E67">
        <w:rPr>
          <w:rFonts w:cs="Arial"/>
          <w:szCs w:val="20"/>
          <w:u w:val="single"/>
        </w:rPr>
        <w:fldChar w:fldCharType="separate"/>
      </w:r>
      <w:r w:rsidRPr="00666E67">
        <w:rPr>
          <w:rStyle w:val="Hyperlink"/>
          <w:rFonts w:cs="Arial"/>
          <w:szCs w:val="20"/>
        </w:rPr>
        <w:t>Government Officials</w:t>
      </w:r>
      <w:r w:rsidR="00666E67">
        <w:rPr>
          <w:rFonts w:cs="Arial"/>
          <w:szCs w:val="20"/>
          <w:u w:val="single"/>
        </w:rPr>
        <w:fldChar w:fldCharType="end"/>
      </w:r>
      <w:r w:rsidRPr="00EC1F35">
        <w:rPr>
          <w:rFonts w:cs="Arial"/>
          <w:szCs w:val="20"/>
          <w:u w:val="single"/>
        </w:rPr>
        <w:t xml:space="preserve"> and their </w:t>
      </w:r>
      <w:hyperlink r:id="rId13" w:history="1">
        <w:r w:rsidRPr="00666E67">
          <w:rPr>
            <w:rStyle w:val="Hyperlink"/>
            <w:rFonts w:cs="Arial"/>
            <w:szCs w:val="20"/>
          </w:rPr>
          <w:t>Related Parties</w:t>
        </w:r>
      </w:hyperlink>
      <w:bookmarkEnd w:id="10"/>
      <w:r>
        <w:rPr>
          <w:rFonts w:cs="Arial"/>
          <w:szCs w:val="20"/>
        </w:rPr>
        <w:t xml:space="preserve"> is prohibited and punishable by law. </w:t>
      </w:r>
    </w:p>
    <w:p w14:paraId="70EF2414" w14:textId="77777777" w:rsidR="003B39C6" w:rsidRPr="00493B16" w:rsidRDefault="003B39C6" w:rsidP="00B47E4A">
      <w:pPr>
        <w:pStyle w:val="Listenabsatz"/>
        <w:numPr>
          <w:ilvl w:val="0"/>
          <w:numId w:val="8"/>
        </w:numPr>
        <w:rPr>
          <w:rFonts w:eastAsiaTheme="majorEastAsia" w:cstheme="majorBidi"/>
          <w:b/>
          <w:iCs/>
          <w:color w:val="879BAA" w:themeColor="text2"/>
          <w:sz w:val="22"/>
        </w:rPr>
      </w:pPr>
      <w:bookmarkStart w:id="11" w:name="AuthorizationSuperior"/>
      <w:r w:rsidRPr="0074172A">
        <w:rPr>
          <w:rFonts w:eastAsiaTheme="majorEastAsia" w:cstheme="majorBidi"/>
          <w:b/>
          <w:iCs/>
          <w:color w:val="879BAA" w:themeColor="text2"/>
          <w:sz w:val="22"/>
        </w:rPr>
        <w:t>Information to / Authorization by the Superior of the Beneficiary</w:t>
      </w:r>
      <w:bookmarkEnd w:id="11"/>
    </w:p>
    <w:p w14:paraId="687AB76A" w14:textId="0F9C6251" w:rsidR="003B39C6" w:rsidRPr="00E334C1" w:rsidRDefault="003B39C6" w:rsidP="003B39C6">
      <w:pPr>
        <w:ind w:left="699"/>
      </w:pPr>
      <w:r w:rsidRPr="00EC1F35">
        <w:rPr>
          <w:rFonts w:cs="Arial"/>
          <w:szCs w:val="20"/>
        </w:rPr>
        <w:t>Local law or the internal rules</w:t>
      </w:r>
      <w:r>
        <w:rPr>
          <w:rFonts w:cs="Arial"/>
          <w:szCs w:val="20"/>
        </w:rPr>
        <w:t xml:space="preserve">, especially in the </w:t>
      </w:r>
      <w:r w:rsidRPr="00181419">
        <w:rPr>
          <w:rFonts w:cs="Arial"/>
          <w:szCs w:val="20"/>
        </w:rPr>
        <w:t>public sector</w:t>
      </w:r>
      <w:r>
        <w:rPr>
          <w:rFonts w:cs="Arial"/>
          <w:szCs w:val="20"/>
        </w:rPr>
        <w:t>,</w:t>
      </w:r>
      <w:r>
        <w:t xml:space="preserve"> might also require </w:t>
      </w:r>
      <w:r w:rsidRPr="00E334C1">
        <w:t xml:space="preserve">that the superior of the beneficiary or a competent entity be </w:t>
      </w:r>
      <w:proofErr w:type="gramStart"/>
      <w:r w:rsidRPr="00E334C1">
        <w:t>informed</w:t>
      </w:r>
      <w:proofErr w:type="gramEnd"/>
      <w:r w:rsidRPr="00E334C1">
        <w:t xml:space="preserve"> or their authorization </w:t>
      </w:r>
      <w:r>
        <w:t>is needed</w:t>
      </w:r>
      <w:r w:rsidRPr="00E334C1">
        <w:t>.</w:t>
      </w:r>
      <w:r>
        <w:rPr>
          <w:rFonts w:cs="Arial"/>
          <w:szCs w:val="20"/>
        </w:rPr>
        <w:t xml:space="preserve"> </w:t>
      </w:r>
      <w:r w:rsidRPr="00E334C1">
        <w:t xml:space="preserve">Depending on the circumstances and local standards, </w:t>
      </w:r>
      <w:r>
        <w:t xml:space="preserve">Siemens </w:t>
      </w:r>
      <w:r w:rsidRPr="00E334C1">
        <w:t>employees offering benefits should use appropriate, customized wording in their communication with the beneficiary, such as:</w:t>
      </w:r>
    </w:p>
    <w:p w14:paraId="46DB4163" w14:textId="77777777" w:rsidR="003B39C6" w:rsidRDefault="003B39C6" w:rsidP="003B39C6">
      <w:pPr>
        <w:pStyle w:val="CopyBulletpoints"/>
        <w:ind w:left="1169" w:hanging="357"/>
        <w:rPr>
          <w:rFonts w:cs="Arial"/>
          <w:i/>
          <w:szCs w:val="20"/>
        </w:rPr>
      </w:pPr>
      <w:r>
        <w:rPr>
          <w:rFonts w:cs="Arial"/>
          <w:i/>
          <w:szCs w:val="20"/>
        </w:rPr>
        <w:t>“There might be special local regulations applicable to you in respect of the acceptance of these benefits. If you are unsure whether such regulations apply to you, please contact your local legal or compliance department or your superior and check if you are able to accept this offer.”</w:t>
      </w:r>
    </w:p>
    <w:p w14:paraId="646851AC" w14:textId="77777777" w:rsidR="003B39C6" w:rsidRDefault="003B39C6" w:rsidP="003B39C6">
      <w:pPr>
        <w:pStyle w:val="CopyBulletpoints"/>
        <w:ind w:left="1169" w:hanging="357"/>
        <w:rPr>
          <w:rFonts w:cs="Arial"/>
          <w:i/>
          <w:szCs w:val="20"/>
        </w:rPr>
      </w:pPr>
      <w:r>
        <w:rPr>
          <w:rFonts w:cs="Arial"/>
          <w:i/>
          <w:szCs w:val="20"/>
        </w:rPr>
        <w:t>“Please do not forget to inform your superior and to obtain any authorization which might be required according to local laws and your organization’s internal rules before accepting this offer.”</w:t>
      </w:r>
    </w:p>
    <w:p w14:paraId="1112241B" w14:textId="77777777" w:rsidR="003B39C6" w:rsidRDefault="003B39C6" w:rsidP="003B39C6">
      <w:pPr>
        <w:pStyle w:val="CopyBulletpoints"/>
        <w:ind w:left="1169" w:hanging="357"/>
        <w:rPr>
          <w:rFonts w:cs="Arial"/>
          <w:i/>
          <w:szCs w:val="20"/>
        </w:rPr>
      </w:pPr>
      <w:r>
        <w:rPr>
          <w:rFonts w:cs="Arial"/>
          <w:i/>
          <w:szCs w:val="20"/>
        </w:rPr>
        <w:t xml:space="preserve">“When accepting this invitation, we assume that your participation in this event is in compliance with local laws and internal rules applicable to you and that you have informed your superior, if so </w:t>
      </w:r>
      <w:proofErr w:type="gramStart"/>
      <w:r>
        <w:rPr>
          <w:rFonts w:cs="Arial"/>
          <w:i/>
          <w:szCs w:val="20"/>
        </w:rPr>
        <w:t>required.“</w:t>
      </w:r>
      <w:proofErr w:type="gramEnd"/>
    </w:p>
    <w:p w14:paraId="7FFFD381" w14:textId="77777777" w:rsidR="003B39C6" w:rsidRDefault="003B39C6" w:rsidP="003B39C6">
      <w:pPr>
        <w:pStyle w:val="CopyBulletpoints"/>
        <w:ind w:left="1169" w:hanging="357"/>
        <w:rPr>
          <w:rFonts w:cs="Arial"/>
          <w:i/>
          <w:szCs w:val="20"/>
        </w:rPr>
      </w:pPr>
      <w:r>
        <w:rPr>
          <w:rFonts w:cs="Arial"/>
          <w:i/>
          <w:szCs w:val="20"/>
        </w:rPr>
        <w:lastRenderedPageBreak/>
        <w:t>“When accepting this gift, we assume that the acceptance of this gift is in compliance with local laws and internal rules applicable to you and that you have received the authorization of the competent entity in your organization, if so required.“</w:t>
      </w:r>
    </w:p>
    <w:p w14:paraId="146208CE" w14:textId="77777777" w:rsidR="003B39C6" w:rsidRDefault="003B39C6" w:rsidP="003B39C6">
      <w:pPr>
        <w:pStyle w:val="CopyBulletpoints"/>
        <w:ind w:left="1169" w:hanging="357"/>
        <w:rPr>
          <w:rFonts w:cs="Arial"/>
          <w:i/>
          <w:szCs w:val="20"/>
        </w:rPr>
      </w:pPr>
      <w:r>
        <w:rPr>
          <w:rFonts w:cs="Arial"/>
          <w:i/>
          <w:szCs w:val="20"/>
        </w:rPr>
        <w:t>“This offer of … is conditional upon your compliance with all legal and other requirements for acceptance, including but not limited to anti-corruption laws. By accepting this offer of …. you confirm that you have complied with all legal and other requirements applicable to you</w:t>
      </w:r>
      <w:proofErr w:type="gramStart"/>
      <w:r>
        <w:rPr>
          <w:rFonts w:cs="Arial"/>
          <w:i/>
          <w:szCs w:val="20"/>
        </w:rPr>
        <w:t>, in particular, but</w:t>
      </w:r>
      <w:proofErr w:type="gramEnd"/>
      <w:r>
        <w:rPr>
          <w:rFonts w:cs="Arial"/>
          <w:i/>
          <w:szCs w:val="20"/>
        </w:rPr>
        <w:t xml:space="preserve"> not limited to any approval requirement of any competent authority, entity or person.”</w:t>
      </w:r>
    </w:p>
    <w:p w14:paraId="0FF893F1" w14:textId="77777777" w:rsidR="003B39C6" w:rsidRDefault="003B39C6" w:rsidP="003B39C6">
      <w:pPr>
        <w:pStyle w:val="CopyBulletpoints"/>
        <w:ind w:left="1169" w:hanging="357"/>
        <w:rPr>
          <w:rFonts w:cs="Arial"/>
          <w:i/>
          <w:szCs w:val="20"/>
        </w:rPr>
      </w:pPr>
      <w:r>
        <w:rPr>
          <w:rFonts w:cs="Arial"/>
          <w:i/>
          <w:szCs w:val="20"/>
        </w:rPr>
        <w:t>“This invitation is conditional upon the authorization by the competent entity in your organization.”</w:t>
      </w:r>
    </w:p>
    <w:p w14:paraId="4E503481" w14:textId="77777777" w:rsidR="003B39C6" w:rsidRDefault="003B39C6" w:rsidP="003B39C6">
      <w:pPr>
        <w:pStyle w:val="CopyBulletpoints"/>
        <w:ind w:left="1169" w:hanging="357"/>
        <w:rPr>
          <w:rFonts w:cs="Arial"/>
          <w:i/>
          <w:szCs w:val="20"/>
        </w:rPr>
      </w:pPr>
      <w:r>
        <w:rPr>
          <w:rFonts w:cs="Arial"/>
          <w:i/>
          <w:szCs w:val="20"/>
        </w:rPr>
        <w:t>“When confirming your participation, we would like to ask you to affirm that you have received the authorization of your superior or any other competent entity in your organization for accepting this benefit.”</w:t>
      </w:r>
    </w:p>
    <w:p w14:paraId="75FB1C4A" w14:textId="77777777" w:rsidR="003B39C6" w:rsidRDefault="003B39C6" w:rsidP="003B39C6">
      <w:pPr>
        <w:pStyle w:val="CopyBulletpoints"/>
        <w:spacing w:after="140"/>
        <w:ind w:left="1169" w:hanging="357"/>
        <w:rPr>
          <w:rFonts w:cs="Arial"/>
          <w:i/>
          <w:szCs w:val="20"/>
        </w:rPr>
      </w:pPr>
      <w:r>
        <w:rPr>
          <w:rFonts w:cs="Arial"/>
          <w:i/>
          <w:szCs w:val="20"/>
        </w:rPr>
        <w:t>“Due to Public Sector regulations, we must ask you to provide us with a copy of the authorization of your superior for accepting this benefit.”</w:t>
      </w:r>
    </w:p>
    <w:p w14:paraId="1274AF0A" w14:textId="4A2C15A4" w:rsidR="003B39C6" w:rsidRPr="00EC1F35" w:rsidRDefault="003B39C6" w:rsidP="003B39C6">
      <w:pPr>
        <w:ind w:left="699"/>
      </w:pPr>
      <w:r>
        <w:t xml:space="preserve">Employees might also use an invitation and registration tool, if available, and insert appropriate compliance disclaimers. In the tool, the registration requirements can differentiate between private and </w:t>
      </w:r>
      <w:r w:rsidRPr="00A6543D">
        <w:t>public sector</w:t>
      </w:r>
      <w:r>
        <w:t xml:space="preserve"> invitees by having the invitees certify that they belong to either sector, subsequently customizing the compliance disclaimer accordingly. For example, public sector invitees can be asked to certify actively that they have informed or received the authorization of their superior, whereas private sector invitees might just be hinted to the fact that Siemens assumes that the beneficiary complies with local laws and internal rules and has informed his superior.</w:t>
      </w:r>
    </w:p>
    <w:p w14:paraId="216BCA9B" w14:textId="446AAD5B" w:rsidR="003B39C6" w:rsidRPr="001C7C8E" w:rsidRDefault="003B39C6" w:rsidP="003B39C6">
      <w:pPr>
        <w:ind w:left="699"/>
      </w:pPr>
      <w:r w:rsidRPr="00EC1F35">
        <w:t xml:space="preserve">If appropriate, the employee might disclose the value of the </w:t>
      </w:r>
      <w:hyperlink w:anchor="_1.2._Types_of" w:history="1">
        <w:r w:rsidR="005963E2">
          <w:t>b</w:t>
        </w:r>
        <w:r w:rsidRPr="00EC1F35">
          <w:t>enefit</w:t>
        </w:r>
      </w:hyperlink>
      <w:r w:rsidRPr="00EC1F35">
        <w:t xml:space="preserve"> in the invitation or offering. In addition, the employee might offer the beneficiary that he/she may choose to cover part of the costs, e.g. for accommodation and/or travelling </w:t>
      </w:r>
      <w:r w:rsidRPr="00337FAE">
        <w:t>to</w:t>
      </w:r>
      <w:r w:rsidRPr="00EC1F35">
        <w:t xml:space="preserve"> reduce the benefit to an amount which can be accepted by the beneficiary.</w:t>
      </w:r>
    </w:p>
    <w:p w14:paraId="3F486A16" w14:textId="77777777" w:rsidR="003B39C6" w:rsidRPr="00493B16" w:rsidRDefault="003B39C6" w:rsidP="003B39C6">
      <w:pPr>
        <w:rPr>
          <w:rFonts w:eastAsiaTheme="majorEastAsia" w:cstheme="majorBidi"/>
          <w:b/>
          <w:iCs/>
          <w:color w:val="879BAA" w:themeColor="text2"/>
          <w:sz w:val="22"/>
        </w:rPr>
      </w:pPr>
      <w:r w:rsidRPr="00493B16">
        <w:rPr>
          <w:rFonts w:eastAsiaTheme="majorEastAsia" w:cstheme="majorBidi"/>
          <w:b/>
          <w:iCs/>
          <w:color w:val="879BAA" w:themeColor="text2"/>
          <w:sz w:val="22"/>
        </w:rPr>
        <w:t>Gifts and Hospitality must be appropriate in terms of type, value, and frequency to the occasion and the position of the recipient.</w:t>
      </w:r>
    </w:p>
    <w:p w14:paraId="581A964C" w14:textId="77777777" w:rsidR="003B39C6" w:rsidRPr="00E334C1" w:rsidRDefault="003B39C6" w:rsidP="003B39C6">
      <w:pPr>
        <w:rPr>
          <w:rFonts w:cs="Arial"/>
          <w:szCs w:val="20"/>
        </w:rPr>
      </w:pPr>
      <w:r w:rsidRPr="006E6898">
        <w:rPr>
          <w:rFonts w:cs="Arial"/>
          <w:szCs w:val="20"/>
        </w:rPr>
        <w:t xml:space="preserve">The appropriateness of a benefit is judged based on all circumstances of the specific occasion, and in accordance with local law and standards. This encompasses the value of the benefit and the occasion on which it is offered, its frequency, the transparency with which it is processed and the position of the beneficiary, in particular whether the recipient will be responsible for making a business decision of significance to Siemens in the near future or has taken such decision in the recent past. </w:t>
      </w:r>
      <w:r>
        <w:rPr>
          <w:rFonts w:cs="Arial"/>
          <w:szCs w:val="20"/>
        </w:rPr>
        <w:t>T</w:t>
      </w:r>
      <w:r w:rsidRPr="00E45F0E">
        <w:rPr>
          <w:rFonts w:cs="Arial"/>
          <w:szCs w:val="20"/>
        </w:rPr>
        <w:t>he internal rules of the recipient’s organization</w:t>
      </w:r>
      <w:r w:rsidRPr="00F94DA8">
        <w:rPr>
          <w:rFonts w:cs="Arial"/>
          <w:szCs w:val="20"/>
        </w:rPr>
        <w:t xml:space="preserve"> </w:t>
      </w:r>
      <w:r>
        <w:rPr>
          <w:rFonts w:cs="Arial"/>
          <w:szCs w:val="20"/>
        </w:rPr>
        <w:t>may also provide assurance as to what is considered appropriate under local standards</w:t>
      </w:r>
      <w:r w:rsidRPr="00F94DA8">
        <w:rPr>
          <w:rFonts w:cs="Arial"/>
          <w:szCs w:val="20"/>
        </w:rPr>
        <w:t>.</w:t>
      </w:r>
    </w:p>
    <w:p w14:paraId="0F04C651" w14:textId="4B8950F4" w:rsidR="003B39C6" w:rsidRPr="00493B16" w:rsidRDefault="003B39C6" w:rsidP="003B39C6">
      <w:pPr>
        <w:rPr>
          <w:rFonts w:eastAsiaTheme="majorEastAsia" w:cstheme="majorBidi"/>
          <w:b/>
          <w:iCs/>
          <w:color w:val="879BAA" w:themeColor="text2"/>
          <w:sz w:val="22"/>
        </w:rPr>
      </w:pPr>
      <w:r w:rsidRPr="00493B16">
        <w:rPr>
          <w:rFonts w:eastAsiaTheme="majorEastAsia" w:cstheme="majorBidi"/>
          <w:b/>
          <w:iCs/>
          <w:color w:val="879BAA" w:themeColor="text2"/>
          <w:sz w:val="22"/>
        </w:rPr>
        <w:t xml:space="preserve">Gifts and Hospitality must be provided or received in a transparent manner and </w:t>
      </w:r>
      <w:r w:rsidR="00EC08FE">
        <w:rPr>
          <w:rFonts w:eastAsiaTheme="majorEastAsia" w:cstheme="majorBidi"/>
          <w:b/>
          <w:iCs/>
          <w:color w:val="879BAA" w:themeColor="text2"/>
          <w:sz w:val="22"/>
        </w:rPr>
        <w:t>correctly</w:t>
      </w:r>
      <w:r w:rsidRPr="00493B16">
        <w:rPr>
          <w:rFonts w:eastAsiaTheme="majorEastAsia" w:cstheme="majorBidi"/>
          <w:b/>
          <w:iCs/>
          <w:color w:val="879BAA" w:themeColor="text2"/>
          <w:sz w:val="22"/>
        </w:rPr>
        <w:t xml:space="preserve"> recorded in the financial books and records.</w:t>
      </w:r>
    </w:p>
    <w:p w14:paraId="4538C9B2" w14:textId="77777777" w:rsidR="003B39C6" w:rsidRDefault="003B39C6" w:rsidP="003B39C6">
      <w:r>
        <w:rPr>
          <w:rFonts w:cs="Arial"/>
          <w:szCs w:val="20"/>
        </w:rPr>
        <w:t xml:space="preserve">Employees shall confer the benefit in such a way that it is </w:t>
      </w:r>
      <w:r w:rsidRPr="00EB705B">
        <w:rPr>
          <w:rFonts w:cs="Arial"/>
          <w:szCs w:val="20"/>
        </w:rPr>
        <w:t>obvious</w:t>
      </w:r>
      <w:r>
        <w:rPr>
          <w:rFonts w:cs="Arial"/>
          <w:szCs w:val="20"/>
        </w:rPr>
        <w:t xml:space="preserve"> to the recipient's employer, line manager or colleagues, and that its nature and value can be verified. Conferring a benefit in secret creates the suspicion of an improper motive on the part of the giver. Employees shall therefore send gifts and invitations to the business address rather than the private address of the </w:t>
      </w:r>
      <w:proofErr w:type="gramStart"/>
      <w:r>
        <w:rPr>
          <w:rFonts w:cs="Arial"/>
          <w:szCs w:val="20"/>
        </w:rPr>
        <w:t>recipient, and</w:t>
      </w:r>
      <w:proofErr w:type="gramEnd"/>
      <w:r>
        <w:rPr>
          <w:rFonts w:cs="Arial"/>
          <w:szCs w:val="20"/>
        </w:rPr>
        <w:t xml:space="preserve"> shall use the company letterhead for the covering letter.</w:t>
      </w:r>
    </w:p>
    <w:tbl>
      <w:tblPr>
        <w:tblStyle w:val="Tabellenraster"/>
        <w:tblW w:w="0" w:type="auto"/>
        <w:tblLook w:val="04A0" w:firstRow="1" w:lastRow="0" w:firstColumn="1" w:lastColumn="0" w:noHBand="0" w:noVBand="1"/>
      </w:tblPr>
      <w:tblGrid>
        <w:gridCol w:w="1184"/>
        <w:gridCol w:w="9411"/>
      </w:tblGrid>
      <w:tr w:rsidR="003B39C6" w14:paraId="7B969916" w14:textId="77777777" w:rsidTr="003B39C6">
        <w:trPr>
          <w:trHeight w:val="695"/>
        </w:trPr>
        <w:tc>
          <w:tcPr>
            <w:tcW w:w="814" w:type="dxa"/>
            <w:shd w:val="clear" w:color="auto" w:fill="auto"/>
          </w:tcPr>
          <w:p w14:paraId="2E9E9B50" w14:textId="77777777" w:rsidR="003B39C6" w:rsidRDefault="003B39C6" w:rsidP="003B39C6">
            <w:pPr>
              <w:pStyle w:val="KeinAbsatzformat"/>
              <w:rPr>
                <w:sz w:val="22"/>
                <w:szCs w:val="22"/>
                <w:lang w:val="en-US"/>
              </w:rPr>
            </w:pPr>
            <w:bookmarkStart w:id="12" w:name="_Hlk21607938"/>
            <w:r>
              <w:rPr>
                <w:noProof/>
                <w:sz w:val="22"/>
                <w:szCs w:val="22"/>
                <w:lang w:eastAsia="de-DE"/>
              </w:rPr>
              <w:lastRenderedPageBreak/>
              <w:drawing>
                <wp:anchor distT="0" distB="0" distL="114300" distR="114300" simplePos="0" relativeHeight="251658247" behindDoc="1" locked="0" layoutInCell="1" allowOverlap="1" wp14:anchorId="51FA66D2" wp14:editId="2D2BCBE9">
                  <wp:simplePos x="0" y="0"/>
                  <wp:positionH relativeFrom="column">
                    <wp:posOffset>11430</wp:posOffset>
                  </wp:positionH>
                  <wp:positionV relativeFrom="paragraph">
                    <wp:posOffset>0</wp:posOffset>
                  </wp:positionV>
                  <wp:extent cx="243205" cy="251460"/>
                  <wp:effectExtent l="0" t="0" r="4445" b="0"/>
                  <wp:wrapTight wrapText="bothSides">
                    <wp:wrapPolygon edited="0">
                      <wp:start x="0" y="0"/>
                      <wp:lineTo x="0" y="19636"/>
                      <wp:lineTo x="16919" y="19636"/>
                      <wp:lineTo x="20303" y="13091"/>
                      <wp:lineTo x="20303" y="4909"/>
                      <wp:lineTo x="16919" y="0"/>
                      <wp:lineTo x="0" y="0"/>
                    </wp:wrapPolygon>
                  </wp:wrapTight>
                  <wp:docPr id="6" name="Grafik 2" descr="\\psf\Home\\Desktop\00_heute\SIE_SCL_140916_Wordtemplate_Legal_Handbook\Examp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esktop\00_heute\SIE_SCL_140916_Wordtemplate_Legal_Handbook\Example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3205" cy="251460"/>
                          </a:xfrm>
                          <a:prstGeom prst="rect">
                            <a:avLst/>
                          </a:prstGeom>
                          <a:noFill/>
                          <a:ln>
                            <a:noFill/>
                          </a:ln>
                        </pic:spPr>
                      </pic:pic>
                    </a:graphicData>
                  </a:graphic>
                </wp:anchor>
              </w:drawing>
            </w:r>
          </w:p>
        </w:tc>
        <w:tc>
          <w:tcPr>
            <w:tcW w:w="9411" w:type="dxa"/>
            <w:shd w:val="clear" w:color="auto" w:fill="auto"/>
          </w:tcPr>
          <w:p w14:paraId="15B92A40" w14:textId="77777777" w:rsidR="003B39C6" w:rsidRDefault="003B39C6" w:rsidP="003B39C6">
            <w:pPr>
              <w:rPr>
                <w:sz w:val="22"/>
              </w:rPr>
            </w:pPr>
            <w:r>
              <w:rPr>
                <w:b/>
              </w:rPr>
              <w:t>Please note:</w:t>
            </w:r>
            <w:r>
              <w:rPr>
                <w:i/>
              </w:rPr>
              <w:t xml:space="preserve"> “In case of benefits offered or granted jointly with third parties, the overall situation including the benefits offered or granted/financed by the third parties shall be assessed.”</w:t>
            </w:r>
          </w:p>
        </w:tc>
      </w:tr>
    </w:tbl>
    <w:p w14:paraId="6C09C17D" w14:textId="4F1FA239" w:rsidR="003B39C6" w:rsidRDefault="00A5754F" w:rsidP="003B39C6">
      <w:pPr>
        <w:pStyle w:val="berschrift2"/>
        <w:tabs>
          <w:tab w:val="left" w:pos="3570"/>
        </w:tabs>
      </w:pPr>
      <w:bookmarkStart w:id="13" w:name="_1.2._Types_of"/>
      <w:bookmarkStart w:id="14" w:name="_Toc461702240"/>
      <w:bookmarkStart w:id="15" w:name="_Ref462322182"/>
      <w:bookmarkEnd w:id="13"/>
      <w:bookmarkEnd w:id="12"/>
      <w:r>
        <w:t>1.2. Types of Benefits</w:t>
      </w:r>
    </w:p>
    <w:tbl>
      <w:tblPr>
        <w:tblStyle w:val="Tabellenraster"/>
        <w:tblW w:w="0" w:type="auto"/>
        <w:tblLook w:val="04A0" w:firstRow="1" w:lastRow="0" w:firstColumn="1" w:lastColumn="0" w:noHBand="0" w:noVBand="1"/>
      </w:tblPr>
      <w:tblGrid>
        <w:gridCol w:w="1214"/>
        <w:gridCol w:w="9411"/>
      </w:tblGrid>
      <w:tr w:rsidR="003B39C6" w14:paraId="3F809744" w14:textId="77777777" w:rsidTr="003B39C6">
        <w:trPr>
          <w:trHeight w:val="695"/>
        </w:trPr>
        <w:tc>
          <w:tcPr>
            <w:tcW w:w="1214" w:type="dxa"/>
            <w:shd w:val="clear" w:color="auto" w:fill="auto"/>
          </w:tcPr>
          <w:p w14:paraId="39169CF3" w14:textId="77777777" w:rsidR="003B39C6" w:rsidRDefault="003B39C6" w:rsidP="003B39C6">
            <w:pPr>
              <w:pStyle w:val="KeinAbsatzformat"/>
              <w:rPr>
                <w:sz w:val="22"/>
                <w:szCs w:val="22"/>
                <w:lang w:val="en-US"/>
              </w:rPr>
            </w:pPr>
            <w:r>
              <w:rPr>
                <w:noProof/>
                <w:sz w:val="22"/>
                <w:szCs w:val="22"/>
                <w:lang w:eastAsia="de-DE"/>
              </w:rPr>
              <w:drawing>
                <wp:anchor distT="0" distB="0" distL="114300" distR="114300" simplePos="0" relativeHeight="251658250" behindDoc="1" locked="0" layoutInCell="1" allowOverlap="1" wp14:anchorId="644817C3" wp14:editId="3CC471BA">
                  <wp:simplePos x="0" y="0"/>
                  <wp:positionH relativeFrom="column">
                    <wp:posOffset>-7620</wp:posOffset>
                  </wp:positionH>
                  <wp:positionV relativeFrom="paragraph">
                    <wp:posOffset>0</wp:posOffset>
                  </wp:positionV>
                  <wp:extent cx="243205" cy="251460"/>
                  <wp:effectExtent l="0" t="0" r="4445" b="0"/>
                  <wp:wrapTight wrapText="bothSides">
                    <wp:wrapPolygon edited="0">
                      <wp:start x="0" y="0"/>
                      <wp:lineTo x="0" y="19636"/>
                      <wp:lineTo x="16919" y="19636"/>
                      <wp:lineTo x="20303" y="13091"/>
                      <wp:lineTo x="20303" y="4909"/>
                      <wp:lineTo x="16919" y="0"/>
                      <wp:lineTo x="0" y="0"/>
                    </wp:wrapPolygon>
                  </wp:wrapTight>
                  <wp:docPr id="15" name="Grafik 2" descr="\\psf\Home\\Desktop\00_heute\SIE_SCL_140916_Wordtemplate_Legal_Handbook\Examp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esktop\00_heute\SIE_SCL_140916_Wordtemplate_Legal_Handbook\Example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3205" cy="251460"/>
                          </a:xfrm>
                          <a:prstGeom prst="rect">
                            <a:avLst/>
                          </a:prstGeom>
                          <a:noFill/>
                          <a:ln>
                            <a:noFill/>
                          </a:ln>
                        </pic:spPr>
                      </pic:pic>
                    </a:graphicData>
                  </a:graphic>
                </wp:anchor>
              </w:drawing>
            </w:r>
          </w:p>
        </w:tc>
        <w:tc>
          <w:tcPr>
            <w:tcW w:w="9411" w:type="dxa"/>
            <w:shd w:val="clear" w:color="auto" w:fill="auto"/>
          </w:tcPr>
          <w:p w14:paraId="338FDC90" w14:textId="59C03CFF" w:rsidR="003B39C6" w:rsidRDefault="003B39C6" w:rsidP="003B39C6">
            <w:pPr>
              <w:rPr>
                <w:rFonts w:cs="Arial"/>
                <w:szCs w:val="20"/>
              </w:rPr>
            </w:pPr>
            <w:r w:rsidRPr="00E334C1">
              <w:rPr>
                <w:rFonts w:cs="Arial"/>
                <w:b/>
                <w:szCs w:val="20"/>
              </w:rPr>
              <w:t>Benefits</w:t>
            </w:r>
            <w:r w:rsidRPr="00D52420">
              <w:rPr>
                <w:rFonts w:cs="Arial"/>
                <w:szCs w:val="20"/>
              </w:rPr>
              <w:t xml:space="preserve"> are any economic and non-economic advantages </w:t>
            </w:r>
            <w:r w:rsidR="00212618">
              <w:rPr>
                <w:rFonts w:cs="Arial"/>
                <w:szCs w:val="20"/>
              </w:rPr>
              <w:br/>
            </w:r>
            <w:r w:rsidRPr="00D52420">
              <w:rPr>
                <w:rFonts w:cs="Arial"/>
                <w:szCs w:val="20"/>
              </w:rPr>
              <w:t>which improve the recipients’/beneficiaries’ position.</w:t>
            </w:r>
          </w:p>
          <w:p w14:paraId="310D4253" w14:textId="2D27A4BB" w:rsidR="003B39C6" w:rsidRDefault="003B39C6" w:rsidP="003B39C6">
            <w:pPr>
              <w:rPr>
                <w:rFonts w:cs="Arial"/>
                <w:szCs w:val="20"/>
              </w:rPr>
            </w:pPr>
            <w:r w:rsidRPr="00E334C1">
              <w:rPr>
                <w:rFonts w:cs="Arial"/>
                <w:b/>
                <w:szCs w:val="20"/>
              </w:rPr>
              <w:t>Economic benefits</w:t>
            </w:r>
            <w:r w:rsidRPr="00D52420">
              <w:rPr>
                <w:rFonts w:cs="Arial"/>
                <w:szCs w:val="20"/>
              </w:rPr>
              <w:t xml:space="preserve"> are money or tangible non-monetary benefits </w:t>
            </w:r>
            <w:r w:rsidR="00212618">
              <w:rPr>
                <w:rFonts w:cs="Arial"/>
                <w:szCs w:val="20"/>
              </w:rPr>
              <w:br/>
            </w:r>
            <w:r w:rsidRPr="00D52420">
              <w:rPr>
                <w:rFonts w:cs="Arial"/>
                <w:szCs w:val="20"/>
              </w:rPr>
              <w:t xml:space="preserve">such as </w:t>
            </w:r>
            <w:hyperlink w:anchor="_1.2.1._Gifts_and" w:history="1">
              <w:r w:rsidRPr="009309EA">
                <w:rPr>
                  <w:rStyle w:val="Hyperlink"/>
                  <w:rFonts w:cs="Arial"/>
                  <w:szCs w:val="20"/>
                </w:rPr>
                <w:t>Gifts and Meals</w:t>
              </w:r>
              <w:r w:rsidR="009309EA" w:rsidRPr="009309EA">
                <w:rPr>
                  <w:rStyle w:val="Hyperlink"/>
                  <w:rFonts w:cs="Arial"/>
                  <w:szCs w:val="20"/>
                </w:rPr>
                <w:t xml:space="preserve"> (A.1.2.1.)</w:t>
              </w:r>
              <w:r w:rsidRPr="009309EA">
                <w:rPr>
                  <w:rStyle w:val="Hyperlink"/>
                  <w:rFonts w:cs="Arial"/>
                  <w:szCs w:val="20"/>
                </w:rPr>
                <w:t>,</w:t>
              </w:r>
            </w:hyperlink>
            <w:r w:rsidRPr="007A56D8">
              <w:rPr>
                <w:rFonts w:cs="Arial"/>
                <w:szCs w:val="20"/>
              </w:rPr>
              <w:t xml:space="preserve"> </w:t>
            </w:r>
            <w:hyperlink w:anchor="_1.2.2._Entertainment_Events*" w:history="1">
              <w:r w:rsidRPr="009309EA">
                <w:rPr>
                  <w:rStyle w:val="Hyperlink"/>
                  <w:rFonts w:cs="Arial"/>
                  <w:szCs w:val="20"/>
                </w:rPr>
                <w:t>Entertainment Events</w:t>
              </w:r>
              <w:r w:rsidR="009309EA" w:rsidRPr="009309EA">
                <w:rPr>
                  <w:rStyle w:val="Hyperlink"/>
                  <w:rFonts w:cs="Arial"/>
                  <w:szCs w:val="20"/>
                </w:rPr>
                <w:t xml:space="preserve"> (A.1.2.2.)</w:t>
              </w:r>
            </w:hyperlink>
            <w:r w:rsidRPr="007A56D8">
              <w:rPr>
                <w:rFonts w:cs="Arial"/>
                <w:szCs w:val="20"/>
              </w:rPr>
              <w:t xml:space="preserve"> or </w:t>
            </w:r>
            <w:hyperlink w:anchor="_1.2.3._Travel_and" w:history="1">
              <w:r w:rsidRPr="009309EA">
                <w:rPr>
                  <w:rStyle w:val="Hyperlink"/>
                  <w:rFonts w:cs="Arial"/>
                  <w:szCs w:val="20"/>
                </w:rPr>
                <w:t>Travel and Lodging</w:t>
              </w:r>
              <w:r w:rsidR="009309EA" w:rsidRPr="009309EA">
                <w:rPr>
                  <w:rStyle w:val="Hyperlink"/>
                  <w:rFonts w:cs="Arial"/>
                  <w:szCs w:val="20"/>
                </w:rPr>
                <w:t xml:space="preserve"> (A.1.2.3.)</w:t>
              </w:r>
            </w:hyperlink>
            <w:r w:rsidR="009309EA">
              <w:rPr>
                <w:rFonts w:cs="Arial"/>
                <w:szCs w:val="20"/>
                <w:u w:val="single"/>
              </w:rPr>
              <w:t xml:space="preserve"> </w:t>
            </w:r>
            <w:r w:rsidRPr="007A56D8">
              <w:rPr>
                <w:rFonts w:cs="Arial"/>
                <w:szCs w:val="20"/>
              </w:rPr>
              <w:t xml:space="preserve">as well as </w:t>
            </w:r>
            <w:hyperlink w:anchor="_1.2.4._Other_Contributions" w:history="1">
              <w:r w:rsidRPr="009309EA">
                <w:rPr>
                  <w:rStyle w:val="Hyperlink"/>
                  <w:rFonts w:cs="Arial"/>
                  <w:szCs w:val="20"/>
                </w:rPr>
                <w:t>Other Contributions without Consideration</w:t>
              </w:r>
              <w:r w:rsidR="009309EA" w:rsidRPr="009309EA">
                <w:rPr>
                  <w:rStyle w:val="Hyperlink"/>
                  <w:rFonts w:cs="Arial"/>
                  <w:szCs w:val="20"/>
                </w:rPr>
                <w:t xml:space="preserve"> (A.1.2.4.)</w:t>
              </w:r>
              <w:r w:rsidRPr="009309EA">
                <w:rPr>
                  <w:rStyle w:val="Hyperlink"/>
                  <w:rFonts w:cs="Arial"/>
                  <w:szCs w:val="20"/>
                </w:rPr>
                <w:t>.</w:t>
              </w:r>
            </w:hyperlink>
          </w:p>
          <w:p w14:paraId="64B644F7" w14:textId="5F8F978A" w:rsidR="003B39C6" w:rsidRPr="00655F45" w:rsidRDefault="003B39C6" w:rsidP="00666E67">
            <w:pPr>
              <w:rPr>
                <w:sz w:val="22"/>
              </w:rPr>
            </w:pPr>
            <w:r w:rsidRPr="00E334C1">
              <w:rPr>
                <w:rFonts w:cs="Arial"/>
                <w:b/>
                <w:szCs w:val="20"/>
              </w:rPr>
              <w:t>Non-economic benefits</w:t>
            </w:r>
            <w:r w:rsidRPr="00D52420">
              <w:rPr>
                <w:rFonts w:cs="Arial"/>
                <w:szCs w:val="20"/>
              </w:rPr>
              <w:t xml:space="preserve"> are </w:t>
            </w:r>
            <w:r w:rsidRPr="00E334C1">
              <w:rPr>
                <w:rFonts w:cs="Arial"/>
                <w:szCs w:val="20"/>
              </w:rPr>
              <w:t>any other advantages</w:t>
            </w:r>
            <w:r w:rsidRPr="00D52420">
              <w:rPr>
                <w:rFonts w:cs="Arial"/>
                <w:szCs w:val="20"/>
              </w:rPr>
              <w:t xml:space="preserve">. They may include, </w:t>
            </w:r>
            <w:r w:rsidR="00212618">
              <w:rPr>
                <w:rFonts w:cs="Arial"/>
                <w:szCs w:val="20"/>
              </w:rPr>
              <w:br/>
            </w:r>
            <w:r w:rsidRPr="00D52420">
              <w:rPr>
                <w:rFonts w:cs="Arial"/>
                <w:szCs w:val="20"/>
              </w:rPr>
              <w:t xml:space="preserve">for example, </w:t>
            </w:r>
            <w:r w:rsidRPr="00EC1F35">
              <w:rPr>
                <w:rFonts w:cs="Arial"/>
                <w:szCs w:val="20"/>
                <w:u w:val="single"/>
              </w:rPr>
              <w:t>a job or an internship</w:t>
            </w:r>
            <w:r w:rsidRPr="00D52420">
              <w:rPr>
                <w:rFonts w:cs="Arial"/>
                <w:szCs w:val="20"/>
              </w:rPr>
              <w:t xml:space="preserve"> for the recipient or the recipient's </w:t>
            </w:r>
            <w:r w:rsidR="00212618">
              <w:rPr>
                <w:rFonts w:cs="Arial"/>
                <w:szCs w:val="20"/>
              </w:rPr>
              <w:br/>
            </w:r>
            <w:hyperlink r:id="rId15" w:history="1">
              <w:r w:rsidRPr="00666E67">
                <w:rPr>
                  <w:rStyle w:val="Hyperlink"/>
                  <w:rFonts w:cs="Arial"/>
                  <w:szCs w:val="20"/>
                </w:rPr>
                <w:t>Related Parties</w:t>
              </w:r>
            </w:hyperlink>
            <w:r w:rsidRPr="00D52420">
              <w:rPr>
                <w:rFonts w:cs="Arial"/>
                <w:szCs w:val="20"/>
              </w:rPr>
              <w:t xml:space="preserve">, the granting of a permit or an introduction to </w:t>
            </w:r>
            <w:r w:rsidR="00212618">
              <w:rPr>
                <w:rFonts w:cs="Arial"/>
                <w:szCs w:val="20"/>
              </w:rPr>
              <w:br/>
            </w:r>
            <w:r w:rsidRPr="00D52420">
              <w:rPr>
                <w:rFonts w:cs="Arial"/>
                <w:szCs w:val="20"/>
              </w:rPr>
              <w:t>certain influential people</w:t>
            </w:r>
            <w:r w:rsidR="009309EA">
              <w:rPr>
                <w:rFonts w:cs="Arial"/>
                <w:szCs w:val="20"/>
              </w:rPr>
              <w:t xml:space="preserve"> </w:t>
            </w:r>
            <w:hyperlink w:anchor="_1.2.5._Dealing_with" w:history="1">
              <w:r w:rsidR="009309EA" w:rsidRPr="009309EA">
                <w:rPr>
                  <w:rStyle w:val="Hyperlink"/>
                  <w:rFonts w:cs="Arial"/>
                  <w:szCs w:val="20"/>
                </w:rPr>
                <w:t>(A.1.2.5.)</w:t>
              </w:r>
              <w:r w:rsidRPr="009309EA">
                <w:rPr>
                  <w:rStyle w:val="Hyperlink"/>
                  <w:rFonts w:cs="Arial"/>
                  <w:szCs w:val="20"/>
                </w:rPr>
                <w:t>.</w:t>
              </w:r>
            </w:hyperlink>
          </w:p>
        </w:tc>
      </w:tr>
    </w:tbl>
    <w:p w14:paraId="4337D5E2" w14:textId="08BA4833" w:rsidR="003B39C6" w:rsidRDefault="003B7955" w:rsidP="003B39C6">
      <w:pPr>
        <w:pStyle w:val="berschrift3"/>
        <w:spacing w:after="240"/>
        <w:jc w:val="both"/>
      </w:pPr>
      <w:bookmarkStart w:id="16" w:name="_1.2.1._Gifts_and"/>
      <w:bookmarkEnd w:id="16"/>
      <w:r>
        <w:t>1.2.1. Gifts and Meals</w:t>
      </w:r>
    </w:p>
    <w:tbl>
      <w:tblPr>
        <w:tblStyle w:val="Tabellenraster"/>
        <w:tblW w:w="0" w:type="auto"/>
        <w:tblLook w:val="04A0" w:firstRow="1" w:lastRow="0" w:firstColumn="1" w:lastColumn="0" w:noHBand="0" w:noVBand="1"/>
      </w:tblPr>
      <w:tblGrid>
        <w:gridCol w:w="1214"/>
        <w:gridCol w:w="9411"/>
      </w:tblGrid>
      <w:tr w:rsidR="003B39C6" w14:paraId="55DCD4F0" w14:textId="77777777" w:rsidTr="003B39C6">
        <w:trPr>
          <w:trHeight w:val="695"/>
        </w:trPr>
        <w:tc>
          <w:tcPr>
            <w:tcW w:w="1214" w:type="dxa"/>
            <w:shd w:val="clear" w:color="auto" w:fill="auto"/>
          </w:tcPr>
          <w:p w14:paraId="50151232" w14:textId="77777777" w:rsidR="003B39C6" w:rsidRDefault="003B39C6" w:rsidP="003B39C6">
            <w:pPr>
              <w:pStyle w:val="KeinAbsatzformat"/>
              <w:rPr>
                <w:sz w:val="22"/>
                <w:szCs w:val="22"/>
                <w:lang w:val="en-US"/>
              </w:rPr>
            </w:pPr>
            <w:r>
              <w:rPr>
                <w:noProof/>
                <w:sz w:val="22"/>
                <w:szCs w:val="22"/>
                <w:lang w:eastAsia="de-DE"/>
              </w:rPr>
              <w:drawing>
                <wp:anchor distT="0" distB="0" distL="114300" distR="114300" simplePos="0" relativeHeight="251658240" behindDoc="1" locked="0" layoutInCell="1" allowOverlap="1" wp14:anchorId="574BB6E6" wp14:editId="0EB47697">
                  <wp:simplePos x="0" y="0"/>
                  <wp:positionH relativeFrom="column">
                    <wp:posOffset>-7620</wp:posOffset>
                  </wp:positionH>
                  <wp:positionV relativeFrom="paragraph">
                    <wp:posOffset>0</wp:posOffset>
                  </wp:positionV>
                  <wp:extent cx="243205" cy="251460"/>
                  <wp:effectExtent l="0" t="0" r="4445" b="0"/>
                  <wp:wrapTight wrapText="bothSides">
                    <wp:wrapPolygon edited="0">
                      <wp:start x="0" y="0"/>
                      <wp:lineTo x="0" y="19636"/>
                      <wp:lineTo x="16919" y="19636"/>
                      <wp:lineTo x="20303" y="13091"/>
                      <wp:lineTo x="20303" y="4909"/>
                      <wp:lineTo x="16919" y="0"/>
                      <wp:lineTo x="0" y="0"/>
                    </wp:wrapPolygon>
                  </wp:wrapTight>
                  <wp:docPr id="8" name="Grafik 2" descr="\\psf\Home\\Desktop\00_heute\SIE_SCL_140916_Wordtemplate_Legal_Handbook\Examp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esktop\00_heute\SIE_SCL_140916_Wordtemplate_Legal_Handbook\Example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3205" cy="251460"/>
                          </a:xfrm>
                          <a:prstGeom prst="rect">
                            <a:avLst/>
                          </a:prstGeom>
                          <a:noFill/>
                          <a:ln>
                            <a:noFill/>
                          </a:ln>
                        </pic:spPr>
                      </pic:pic>
                    </a:graphicData>
                  </a:graphic>
                </wp:anchor>
              </w:drawing>
            </w:r>
          </w:p>
        </w:tc>
        <w:tc>
          <w:tcPr>
            <w:tcW w:w="9411" w:type="dxa"/>
            <w:shd w:val="clear" w:color="auto" w:fill="auto"/>
          </w:tcPr>
          <w:p w14:paraId="5367F2DC" w14:textId="1B8987E6" w:rsidR="003B39C6" w:rsidRPr="00655F45" w:rsidRDefault="003B39C6" w:rsidP="003B39C6">
            <w:pPr>
              <w:rPr>
                <w:sz w:val="22"/>
              </w:rPr>
            </w:pPr>
            <w:r w:rsidRPr="00E334C1">
              <w:rPr>
                <w:rFonts w:cs="Arial"/>
                <w:szCs w:val="20"/>
              </w:rPr>
              <w:t xml:space="preserve">A </w:t>
            </w:r>
            <w:r w:rsidRPr="00E334C1">
              <w:rPr>
                <w:rFonts w:cs="Arial"/>
                <w:b/>
                <w:szCs w:val="20"/>
              </w:rPr>
              <w:t>Gift</w:t>
            </w:r>
            <w:r>
              <w:rPr>
                <w:rFonts w:cs="Arial"/>
                <w:szCs w:val="20"/>
              </w:rPr>
              <w:t xml:space="preserve"> is a present or something that is given to an individual </w:t>
            </w:r>
            <w:r w:rsidR="00212618">
              <w:rPr>
                <w:rFonts w:cs="Arial"/>
                <w:szCs w:val="20"/>
              </w:rPr>
              <w:br/>
            </w:r>
            <w:r>
              <w:rPr>
                <w:rFonts w:cs="Arial"/>
                <w:szCs w:val="20"/>
              </w:rPr>
              <w:t xml:space="preserve">without payment. </w:t>
            </w:r>
            <w:r w:rsidRPr="00E334C1">
              <w:rPr>
                <w:rFonts w:cs="Arial"/>
                <w:b/>
                <w:szCs w:val="20"/>
              </w:rPr>
              <w:t>Meals</w:t>
            </w:r>
            <w:r>
              <w:rPr>
                <w:rFonts w:cs="Arial"/>
                <w:szCs w:val="20"/>
              </w:rPr>
              <w:t xml:space="preserve"> include food and drinks.</w:t>
            </w:r>
          </w:p>
        </w:tc>
      </w:tr>
    </w:tbl>
    <w:p w14:paraId="13E1CE10" w14:textId="77777777" w:rsidR="003B39C6" w:rsidRPr="00E334C1" w:rsidRDefault="003B39C6" w:rsidP="003B39C6">
      <w:pPr>
        <w:rPr>
          <w:rFonts w:eastAsiaTheme="majorEastAsia" w:cstheme="majorBidi"/>
          <w:b/>
          <w:iCs/>
          <w:color w:val="879BAA" w:themeColor="text2"/>
          <w:sz w:val="22"/>
        </w:rPr>
      </w:pPr>
      <w:r w:rsidRPr="00E334C1">
        <w:rPr>
          <w:rFonts w:eastAsiaTheme="majorEastAsia" w:cstheme="majorBidi"/>
          <w:b/>
          <w:iCs/>
          <w:color w:val="879BAA" w:themeColor="text2"/>
          <w:sz w:val="22"/>
        </w:rPr>
        <w:t xml:space="preserve">Meals </w:t>
      </w:r>
      <w:r>
        <w:rPr>
          <w:rFonts w:eastAsiaTheme="majorEastAsia" w:cstheme="majorBidi"/>
          <w:b/>
          <w:iCs/>
          <w:color w:val="879BAA" w:themeColor="text2"/>
          <w:sz w:val="22"/>
        </w:rPr>
        <w:t xml:space="preserve">as </w:t>
      </w:r>
      <w:r w:rsidRPr="00E334C1">
        <w:rPr>
          <w:rFonts w:eastAsiaTheme="majorEastAsia" w:cstheme="majorBidi"/>
          <w:b/>
          <w:iCs/>
          <w:color w:val="879BAA" w:themeColor="text2"/>
          <w:sz w:val="22"/>
        </w:rPr>
        <w:t>Entertainment Events</w:t>
      </w:r>
    </w:p>
    <w:p w14:paraId="58AAEB3E" w14:textId="77777777" w:rsidR="003B39C6" w:rsidRDefault="003B39C6" w:rsidP="003B39C6">
      <w:pPr>
        <w:pStyle w:val="scfbrieftext"/>
        <w:spacing w:after="140"/>
        <w:jc w:val="both"/>
        <w:rPr>
          <w:rFonts w:cs="Arial"/>
        </w:rPr>
      </w:pPr>
      <w:r>
        <w:rPr>
          <w:rFonts w:cs="Arial"/>
        </w:rPr>
        <w:t xml:space="preserve">If Meals are combined with additional benefits, they might be considered an </w:t>
      </w:r>
      <w:hyperlink w:anchor="_1.2.2._Entertainment_Events*" w:history="1">
        <w:r w:rsidRPr="00DF5C73">
          <w:rPr>
            <w:rStyle w:val="Hyperlink"/>
            <w:rFonts w:cs="Arial"/>
          </w:rPr>
          <w:t>Entertainment Event</w:t>
        </w:r>
      </w:hyperlink>
      <w:r>
        <w:rPr>
          <w:rFonts w:cs="Arial"/>
        </w:rPr>
        <w:t>. In such case the Meal and any additional benefits must be handled in their entirety as an Entertainment Event.</w:t>
      </w:r>
    </w:p>
    <w:p w14:paraId="300F828A" w14:textId="77777777" w:rsidR="003B39C6" w:rsidRDefault="003B39C6" w:rsidP="003B39C6">
      <w:pPr>
        <w:pStyle w:val="scfbrieftext"/>
        <w:spacing w:after="140"/>
        <w:jc w:val="both"/>
        <w:rPr>
          <w:rFonts w:eastAsiaTheme="majorEastAsia" w:cstheme="majorBidi"/>
          <w:b/>
          <w:iCs/>
          <w:color w:val="879BAA" w:themeColor="text2"/>
          <w:sz w:val="22"/>
        </w:rPr>
      </w:pPr>
      <w:r>
        <w:rPr>
          <w:rFonts w:eastAsiaTheme="majorEastAsia" w:cstheme="majorBidi"/>
          <w:b/>
          <w:iCs/>
          <w:color w:val="879BAA" w:themeColor="text2"/>
          <w:sz w:val="22"/>
        </w:rPr>
        <w:t>Gifts of Money</w:t>
      </w:r>
    </w:p>
    <w:p w14:paraId="6C09C185" w14:textId="43946C57" w:rsidR="003B39C6" w:rsidRDefault="003B39C6" w:rsidP="007A56D8">
      <w:pPr>
        <w:pStyle w:val="scfbrieftext"/>
        <w:spacing w:after="140"/>
        <w:jc w:val="both"/>
        <w:rPr>
          <w:rFonts w:cs="Arial"/>
        </w:rPr>
      </w:pPr>
      <w:r>
        <w:rPr>
          <w:rFonts w:cs="Arial"/>
        </w:rPr>
        <w:t xml:space="preserve">Gifts of money encompass any benefit of a nature comparable to a monetary gift, for example, checks, shares, </w:t>
      </w:r>
      <w:proofErr w:type="gramStart"/>
      <w:r>
        <w:rPr>
          <w:rFonts w:cs="Arial"/>
        </w:rPr>
        <w:t>bonds</w:t>
      </w:r>
      <w:proofErr w:type="gramEnd"/>
      <w:r>
        <w:rPr>
          <w:rFonts w:cs="Arial"/>
        </w:rPr>
        <w:t xml:space="preserve"> or credit notes for a monetary amount, as well as vouchers for goods that can be redeemed in cash.</w:t>
      </w:r>
      <w:r w:rsidR="007A56D8">
        <w:rPr>
          <w:rFonts w:cs="Arial"/>
        </w:rPr>
        <w:t xml:space="preserve"> </w:t>
      </w:r>
      <w:r>
        <w:rPr>
          <w:rFonts w:cs="Arial"/>
        </w:rPr>
        <w:t xml:space="preserve">Vouchers for goods that cannot be redeemed in cash, or fuel vouchers for a specific quantity of a specific type of gasoline are </w:t>
      </w:r>
      <w:r w:rsidRPr="00E334C1">
        <w:rPr>
          <w:rFonts w:cs="Arial"/>
          <w:u w:val="single"/>
        </w:rPr>
        <w:t>not</w:t>
      </w:r>
      <w:r>
        <w:rPr>
          <w:rFonts w:cs="Arial"/>
        </w:rPr>
        <w:t xml:space="preserve"> considered monetary gifts.</w:t>
      </w:r>
    </w:p>
    <w:p w14:paraId="225D6150" w14:textId="101C07A7" w:rsidR="003B39C6" w:rsidRDefault="003B39C6" w:rsidP="003B39C6">
      <w:pPr>
        <w:rPr>
          <w:rFonts w:cs="Arial"/>
        </w:rPr>
      </w:pPr>
      <w:r w:rsidRPr="00E334C1">
        <w:rPr>
          <w:rFonts w:cs="Arial"/>
          <w:szCs w:val="20"/>
        </w:rPr>
        <w:t xml:space="preserve">Gifts of money generally create the appearance of bad faith or impropriety. Therefore, such gifts require the prior written </w:t>
      </w:r>
      <w:r w:rsidRPr="00E334C1">
        <w:rPr>
          <w:rFonts w:cs="Arial"/>
          <w:b/>
          <w:szCs w:val="20"/>
        </w:rPr>
        <w:t>approval</w:t>
      </w:r>
      <w:r w:rsidRPr="00E334C1">
        <w:rPr>
          <w:rFonts w:cs="Arial"/>
          <w:szCs w:val="20"/>
        </w:rPr>
        <w:t xml:space="preserve"> of the responsible Compliance Officer even where they are permitted under local la</w:t>
      </w:r>
      <w:r>
        <w:rPr>
          <w:rFonts w:cs="Arial"/>
          <w:szCs w:val="20"/>
        </w:rPr>
        <w:t>w.</w:t>
      </w:r>
    </w:p>
    <w:p w14:paraId="240FB791" w14:textId="77777777" w:rsidR="003B39C6" w:rsidRDefault="003B39C6" w:rsidP="003B39C6">
      <w:pPr>
        <w:rPr>
          <w:rFonts w:eastAsiaTheme="majorEastAsia" w:cstheme="majorBidi"/>
          <w:b/>
          <w:iCs/>
          <w:color w:val="879BAA" w:themeColor="text2"/>
          <w:sz w:val="22"/>
        </w:rPr>
      </w:pPr>
      <w:r>
        <w:rPr>
          <w:rFonts w:eastAsiaTheme="majorEastAsia" w:cstheme="majorBidi"/>
          <w:b/>
          <w:iCs/>
          <w:color w:val="879BAA" w:themeColor="text2"/>
          <w:sz w:val="22"/>
        </w:rPr>
        <w:t>Specific Principles</w:t>
      </w:r>
    </w:p>
    <w:p w14:paraId="0A01FE23" w14:textId="4F0B1C98" w:rsidR="003B39C6" w:rsidRDefault="003B39C6" w:rsidP="003B39C6">
      <w:pPr>
        <w:rPr>
          <w:rFonts w:cs="Arial"/>
          <w:szCs w:val="20"/>
        </w:rPr>
      </w:pPr>
      <w:r w:rsidRPr="00E334C1">
        <w:rPr>
          <w:rFonts w:cs="Arial"/>
          <w:szCs w:val="20"/>
        </w:rPr>
        <w:lastRenderedPageBreak/>
        <w:t xml:space="preserve">Besides the </w:t>
      </w:r>
      <w:hyperlink w:anchor="_1.1_Guidance_on" w:history="1">
        <w:r w:rsidRPr="00073E36">
          <w:rPr>
            <w:rStyle w:val="Hyperlink"/>
            <w:rFonts w:cs="Arial"/>
            <w:szCs w:val="20"/>
          </w:rPr>
          <w:t>general principles</w:t>
        </w:r>
      </w:hyperlink>
      <w:r w:rsidRPr="00E334C1">
        <w:rPr>
          <w:rFonts w:cs="Arial"/>
          <w:szCs w:val="20"/>
        </w:rPr>
        <w:t xml:space="preserve"> </w:t>
      </w:r>
      <w:r>
        <w:rPr>
          <w:rFonts w:cs="Arial"/>
          <w:szCs w:val="20"/>
        </w:rPr>
        <w:t xml:space="preserve">and possibly </w:t>
      </w:r>
      <w:hyperlink w:anchor="_1.5._Specific_Requirements*" w:history="1">
        <w:r w:rsidRPr="00073E36">
          <w:rPr>
            <w:rStyle w:val="Hyperlink"/>
            <w:rFonts w:cs="Arial"/>
            <w:szCs w:val="20"/>
          </w:rPr>
          <w:t>country or industry specific requirements</w:t>
        </w:r>
      </w:hyperlink>
      <w:r w:rsidR="00BC3829">
        <w:rPr>
          <w:noProof/>
          <w:sz w:val="22"/>
          <w:lang w:eastAsia="de-DE"/>
        </w:rPr>
        <w:t xml:space="preserve"> </w:t>
      </w:r>
      <w:r>
        <w:rPr>
          <w:rFonts w:cs="Arial"/>
          <w:szCs w:val="20"/>
        </w:rPr>
        <w:t xml:space="preserve">Siemens does </w:t>
      </w:r>
      <w:r w:rsidRPr="00EC1F35">
        <w:rPr>
          <w:rFonts w:cs="Arial"/>
          <w:szCs w:val="20"/>
          <w:u w:val="single"/>
        </w:rPr>
        <w:t>not</w:t>
      </w:r>
      <w:r>
        <w:rPr>
          <w:rFonts w:cs="Arial"/>
          <w:szCs w:val="20"/>
        </w:rPr>
        <w:t xml:space="preserve"> make gifts in </w:t>
      </w:r>
      <w:r w:rsidRPr="00EC1F35">
        <w:rPr>
          <w:rFonts w:cs="Arial"/>
          <w:szCs w:val="20"/>
          <w:u w:val="single"/>
        </w:rPr>
        <w:t>illegally traded wildlife products</w:t>
      </w:r>
      <w:r>
        <w:rPr>
          <w:rFonts w:cs="Arial"/>
          <w:szCs w:val="20"/>
        </w:rPr>
        <w:t>, e.g. rhino horn, ivory and tiger, and does not accept such gifts from third parties.</w:t>
      </w:r>
    </w:p>
    <w:p w14:paraId="6C441E7C" w14:textId="2B68CFCF" w:rsidR="00C57697" w:rsidRDefault="00C57697" w:rsidP="00C57697">
      <w:pPr>
        <w:pStyle w:val="scfbrieftext"/>
        <w:spacing w:after="140"/>
        <w:jc w:val="both"/>
        <w:rPr>
          <w:rFonts w:eastAsiaTheme="majorEastAsia" w:cstheme="majorBidi"/>
          <w:b/>
          <w:iCs/>
          <w:color w:val="879BAA" w:themeColor="text2"/>
          <w:sz w:val="22"/>
        </w:rPr>
      </w:pPr>
      <w:proofErr w:type="spellStart"/>
      <w:r>
        <w:rPr>
          <w:rFonts w:eastAsiaTheme="majorEastAsia" w:cstheme="majorBidi"/>
          <w:b/>
          <w:iCs/>
          <w:color w:val="879BAA" w:themeColor="text2"/>
          <w:sz w:val="22"/>
        </w:rPr>
        <w:t>SpoDoM</w:t>
      </w:r>
      <w:proofErr w:type="spellEnd"/>
      <w:r>
        <w:rPr>
          <w:rFonts w:eastAsiaTheme="majorEastAsia" w:cstheme="majorBidi"/>
          <w:b/>
          <w:iCs/>
          <w:color w:val="879BAA" w:themeColor="text2"/>
          <w:sz w:val="22"/>
        </w:rPr>
        <w:t>-Approval</w:t>
      </w:r>
    </w:p>
    <w:p w14:paraId="097F2AA2" w14:textId="77777777" w:rsidR="003B39C6" w:rsidRDefault="003B39C6" w:rsidP="003B39C6">
      <w:pPr>
        <w:rPr>
          <w:rFonts w:cs="Arial"/>
          <w:szCs w:val="20"/>
        </w:rPr>
      </w:pPr>
      <w:r>
        <w:rPr>
          <w:rFonts w:cs="Arial"/>
          <w:szCs w:val="20"/>
        </w:rPr>
        <w:t xml:space="preserve">Providing Meals or Gifts to third parties does not require prior </w:t>
      </w:r>
      <w:proofErr w:type="spellStart"/>
      <w:r>
        <w:rPr>
          <w:rFonts w:cs="Arial"/>
          <w:szCs w:val="20"/>
        </w:rPr>
        <w:t>SpoDoM</w:t>
      </w:r>
      <w:proofErr w:type="spellEnd"/>
      <w:r>
        <w:rPr>
          <w:rFonts w:cs="Arial"/>
          <w:szCs w:val="20"/>
        </w:rPr>
        <w:t>-Approval.</w:t>
      </w:r>
    </w:p>
    <w:p w14:paraId="6C09C18B" w14:textId="2596D4B5" w:rsidR="003B39C6" w:rsidRDefault="003B39C6" w:rsidP="003B39C6">
      <w:pPr>
        <w:pStyle w:val="berschrift3"/>
        <w:spacing w:after="240"/>
        <w:jc w:val="both"/>
      </w:pPr>
      <w:bookmarkStart w:id="17" w:name="_1.2.2._Entertainment_Events*"/>
      <w:bookmarkStart w:id="18" w:name="_1.2.2._Entertainment_Events"/>
      <w:bookmarkEnd w:id="17"/>
      <w:bookmarkEnd w:id="18"/>
      <w:r>
        <w:t xml:space="preserve">1.2.2. </w:t>
      </w:r>
      <w:bookmarkEnd w:id="14"/>
      <w:bookmarkEnd w:id="15"/>
      <w:r w:rsidR="003B7955">
        <w:t>Entertainment Events</w:t>
      </w:r>
    </w:p>
    <w:tbl>
      <w:tblPr>
        <w:tblStyle w:val="Tabellenraster"/>
        <w:tblW w:w="0" w:type="auto"/>
        <w:tblLook w:val="04A0" w:firstRow="1" w:lastRow="0" w:firstColumn="1" w:lastColumn="0" w:noHBand="0" w:noVBand="1"/>
      </w:tblPr>
      <w:tblGrid>
        <w:gridCol w:w="1214"/>
        <w:gridCol w:w="9411"/>
      </w:tblGrid>
      <w:tr w:rsidR="003B39C6" w14:paraId="17B49FEB" w14:textId="77777777" w:rsidTr="003B39C6">
        <w:trPr>
          <w:trHeight w:val="695"/>
        </w:trPr>
        <w:tc>
          <w:tcPr>
            <w:tcW w:w="1214" w:type="dxa"/>
            <w:shd w:val="clear" w:color="auto" w:fill="auto"/>
          </w:tcPr>
          <w:p w14:paraId="20F9FA24" w14:textId="77777777" w:rsidR="003B39C6" w:rsidRDefault="003B39C6" w:rsidP="003B39C6">
            <w:pPr>
              <w:pStyle w:val="KeinAbsatzformat"/>
              <w:rPr>
                <w:sz w:val="22"/>
                <w:szCs w:val="22"/>
                <w:lang w:val="en-US"/>
              </w:rPr>
            </w:pPr>
            <w:r>
              <w:rPr>
                <w:noProof/>
                <w:sz w:val="22"/>
                <w:szCs w:val="22"/>
                <w:lang w:eastAsia="de-DE"/>
              </w:rPr>
              <w:drawing>
                <wp:anchor distT="0" distB="0" distL="114300" distR="114300" simplePos="0" relativeHeight="251658241" behindDoc="1" locked="0" layoutInCell="1" allowOverlap="1" wp14:anchorId="3C363AF3" wp14:editId="078049AF">
                  <wp:simplePos x="0" y="0"/>
                  <wp:positionH relativeFrom="column">
                    <wp:posOffset>-7620</wp:posOffset>
                  </wp:positionH>
                  <wp:positionV relativeFrom="paragraph">
                    <wp:posOffset>0</wp:posOffset>
                  </wp:positionV>
                  <wp:extent cx="243205" cy="251460"/>
                  <wp:effectExtent l="0" t="0" r="4445" b="0"/>
                  <wp:wrapTight wrapText="bothSides">
                    <wp:wrapPolygon edited="0">
                      <wp:start x="0" y="0"/>
                      <wp:lineTo x="0" y="19636"/>
                      <wp:lineTo x="16919" y="19636"/>
                      <wp:lineTo x="20303" y="13091"/>
                      <wp:lineTo x="20303" y="4909"/>
                      <wp:lineTo x="16919" y="0"/>
                      <wp:lineTo x="0" y="0"/>
                    </wp:wrapPolygon>
                  </wp:wrapTight>
                  <wp:docPr id="10" name="Grafik 2" descr="\\psf\Home\\Desktop\00_heute\SIE_SCL_140916_Wordtemplate_Legal_Handbook\Examp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esktop\00_heute\SIE_SCL_140916_Wordtemplate_Legal_Handbook\Example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3205" cy="251460"/>
                          </a:xfrm>
                          <a:prstGeom prst="rect">
                            <a:avLst/>
                          </a:prstGeom>
                          <a:noFill/>
                          <a:ln>
                            <a:noFill/>
                          </a:ln>
                        </pic:spPr>
                      </pic:pic>
                    </a:graphicData>
                  </a:graphic>
                </wp:anchor>
              </w:drawing>
            </w:r>
          </w:p>
        </w:tc>
        <w:tc>
          <w:tcPr>
            <w:tcW w:w="9411" w:type="dxa"/>
            <w:shd w:val="clear" w:color="auto" w:fill="auto"/>
          </w:tcPr>
          <w:p w14:paraId="30FDE7DC" w14:textId="06EBB4F3" w:rsidR="003B39C6" w:rsidRPr="00655F45" w:rsidRDefault="003B39C6" w:rsidP="003B39C6">
            <w:pPr>
              <w:rPr>
                <w:sz w:val="22"/>
              </w:rPr>
            </w:pPr>
            <w:r>
              <w:rPr>
                <w:rFonts w:cs="Arial"/>
                <w:szCs w:val="20"/>
              </w:rPr>
              <w:t xml:space="preserve">An </w:t>
            </w:r>
            <w:r w:rsidRPr="00E334C1">
              <w:rPr>
                <w:rFonts w:cs="Arial"/>
                <w:b/>
                <w:szCs w:val="20"/>
              </w:rPr>
              <w:t>Entertainment Event</w:t>
            </w:r>
            <w:r>
              <w:rPr>
                <w:rFonts w:cs="Arial"/>
                <w:szCs w:val="20"/>
              </w:rPr>
              <w:t xml:space="preserve"> comprises any event where the price is </w:t>
            </w:r>
            <w:r w:rsidRPr="00E334C1">
              <w:rPr>
                <w:rFonts w:cs="Arial"/>
                <w:szCs w:val="20"/>
                <w:u w:val="single"/>
              </w:rPr>
              <w:t xml:space="preserve">not </w:t>
            </w:r>
            <w:r w:rsidR="00212618">
              <w:rPr>
                <w:rFonts w:cs="Arial"/>
                <w:szCs w:val="20"/>
                <w:u w:val="single"/>
              </w:rPr>
              <w:br/>
            </w:r>
            <w:r>
              <w:rPr>
                <w:rFonts w:cs="Arial"/>
                <w:szCs w:val="20"/>
              </w:rPr>
              <w:t xml:space="preserve">only paid for food and drinks but includes, for example, an (implicit) supplement </w:t>
            </w:r>
            <w:r w:rsidR="00212618">
              <w:rPr>
                <w:rFonts w:cs="Arial"/>
                <w:szCs w:val="20"/>
              </w:rPr>
              <w:br/>
            </w:r>
            <w:r>
              <w:rPr>
                <w:rFonts w:cs="Arial"/>
                <w:szCs w:val="20"/>
              </w:rPr>
              <w:t>for music or other entertainment. This encompasses folk festivals.</w:t>
            </w:r>
          </w:p>
        </w:tc>
      </w:tr>
    </w:tbl>
    <w:p w14:paraId="0767A84E" w14:textId="77777777" w:rsidR="003B39C6" w:rsidRDefault="003B39C6" w:rsidP="003B39C6">
      <w:pPr>
        <w:rPr>
          <w:rFonts w:eastAsiaTheme="majorEastAsia" w:cstheme="majorBidi"/>
          <w:b/>
          <w:iCs/>
          <w:color w:val="879BAA" w:themeColor="text2"/>
          <w:sz w:val="22"/>
        </w:rPr>
      </w:pPr>
      <w:r>
        <w:rPr>
          <w:rFonts w:eastAsiaTheme="majorEastAsia" w:cstheme="majorBidi"/>
          <w:b/>
          <w:iCs/>
          <w:color w:val="879BAA" w:themeColor="text2"/>
          <w:sz w:val="22"/>
        </w:rPr>
        <w:t>Specific Principles</w:t>
      </w:r>
    </w:p>
    <w:p w14:paraId="2EB07913" w14:textId="77777777" w:rsidR="003B39C6" w:rsidRPr="00C10DE1" w:rsidRDefault="003B39C6" w:rsidP="003B39C6">
      <w:pPr>
        <w:rPr>
          <w:szCs w:val="20"/>
        </w:rPr>
      </w:pPr>
      <w:r w:rsidRPr="00E334C1">
        <w:rPr>
          <w:rFonts w:cs="Arial"/>
          <w:szCs w:val="20"/>
        </w:rPr>
        <w:t xml:space="preserve">Besides the </w:t>
      </w:r>
      <w:hyperlink w:anchor="_1.1_Guidance_on" w:history="1">
        <w:r w:rsidRPr="00EC1F35">
          <w:rPr>
            <w:rStyle w:val="Hyperlink"/>
            <w:rFonts w:cs="Arial"/>
            <w:szCs w:val="20"/>
          </w:rPr>
          <w:t>general principles</w:t>
        </w:r>
      </w:hyperlink>
      <w:r w:rsidRPr="00E334C1">
        <w:rPr>
          <w:rFonts w:cs="Arial"/>
          <w:szCs w:val="20"/>
        </w:rPr>
        <w:t xml:space="preserve"> </w:t>
      </w:r>
      <w:r>
        <w:rPr>
          <w:rFonts w:cs="Arial"/>
          <w:szCs w:val="20"/>
        </w:rPr>
        <w:t xml:space="preserve">and possibly </w:t>
      </w:r>
      <w:hyperlink w:anchor="_1.5._Specific_Requirements*" w:history="1">
        <w:r w:rsidRPr="00EC1F35">
          <w:rPr>
            <w:rStyle w:val="Hyperlink"/>
            <w:rFonts w:cs="Arial"/>
            <w:szCs w:val="20"/>
          </w:rPr>
          <w:t>country or industry specific requirements</w:t>
        </w:r>
      </w:hyperlink>
      <w:r w:rsidRPr="00E334C1">
        <w:rPr>
          <w:rFonts w:cs="Arial"/>
          <w:szCs w:val="20"/>
        </w:rPr>
        <w:t xml:space="preserve">, </w:t>
      </w:r>
      <w:r w:rsidRPr="00C10DE1">
        <w:rPr>
          <w:szCs w:val="20"/>
        </w:rPr>
        <w:t>Entertainment Events shall comply with the following standards:</w:t>
      </w:r>
    </w:p>
    <w:p w14:paraId="6C09C18F" w14:textId="77777777" w:rsidR="003B39C6" w:rsidRDefault="003B39C6" w:rsidP="003B39C6">
      <w:pPr>
        <w:pStyle w:val="CopyBulletpoints"/>
        <w:ind w:left="470" w:hanging="357"/>
        <w:rPr>
          <w:rFonts w:cs="Arial"/>
          <w:szCs w:val="20"/>
        </w:rPr>
      </w:pPr>
      <w:r w:rsidRPr="00C10DE1">
        <w:rPr>
          <w:rFonts w:cs="Arial"/>
          <w:szCs w:val="20"/>
        </w:rPr>
        <w:t xml:space="preserve">Wherever possible, the Entertainment Event shall be </w:t>
      </w:r>
      <w:r w:rsidRPr="00E334C1">
        <w:rPr>
          <w:rFonts w:cs="Arial"/>
          <w:b/>
          <w:szCs w:val="20"/>
        </w:rPr>
        <w:t xml:space="preserve">part of a business </w:t>
      </w:r>
      <w:proofErr w:type="gramStart"/>
      <w:r w:rsidRPr="00E334C1">
        <w:rPr>
          <w:rFonts w:cs="Arial"/>
          <w:b/>
          <w:szCs w:val="20"/>
        </w:rPr>
        <w:t>program</w:t>
      </w:r>
      <w:r w:rsidRPr="00C10DE1">
        <w:rPr>
          <w:rFonts w:cs="Arial"/>
          <w:szCs w:val="20"/>
        </w:rPr>
        <w:t>;</w:t>
      </w:r>
      <w:proofErr w:type="gramEnd"/>
    </w:p>
    <w:p w14:paraId="7CD0F9D5" w14:textId="77777777" w:rsidR="003B39C6" w:rsidRPr="00C10DE1" w:rsidRDefault="003B39C6" w:rsidP="003B39C6">
      <w:pPr>
        <w:pStyle w:val="CopyBulletpoints"/>
        <w:ind w:left="470" w:hanging="357"/>
        <w:rPr>
          <w:rFonts w:cs="Arial"/>
          <w:szCs w:val="20"/>
        </w:rPr>
      </w:pPr>
      <w:r>
        <w:rPr>
          <w:rFonts w:cs="Arial"/>
          <w:szCs w:val="20"/>
        </w:rPr>
        <w:t xml:space="preserve">Review and </w:t>
      </w:r>
      <w:r w:rsidRPr="00EC1F35">
        <w:rPr>
          <w:rFonts w:cs="Arial"/>
          <w:b/>
          <w:szCs w:val="20"/>
        </w:rPr>
        <w:t>approval by the manager</w:t>
      </w:r>
      <w:r>
        <w:rPr>
          <w:rFonts w:cs="Arial"/>
          <w:szCs w:val="20"/>
        </w:rPr>
        <w:t xml:space="preserve"> responsible according to applicable signature regulations must be </w:t>
      </w:r>
      <w:r w:rsidRPr="00EC1F35">
        <w:rPr>
          <w:rFonts w:cs="Arial"/>
          <w:b/>
          <w:szCs w:val="20"/>
        </w:rPr>
        <w:t>documented</w:t>
      </w:r>
      <w:r>
        <w:rPr>
          <w:rFonts w:cs="Arial"/>
          <w:szCs w:val="20"/>
        </w:rPr>
        <w:t xml:space="preserve">. The manager shall review whether the intended activity is in line with Siemens rules as set out in these </w:t>
      </w:r>
      <w:proofErr w:type="gramStart"/>
      <w:r>
        <w:rPr>
          <w:rFonts w:cs="Arial"/>
          <w:szCs w:val="20"/>
        </w:rPr>
        <w:t>instructions;</w:t>
      </w:r>
      <w:proofErr w:type="gramEnd"/>
    </w:p>
    <w:p w14:paraId="780D4A8D" w14:textId="77777777" w:rsidR="003B39C6" w:rsidRDefault="003B39C6" w:rsidP="003B39C6">
      <w:pPr>
        <w:pStyle w:val="CopyBulletpoints"/>
        <w:spacing w:after="140"/>
        <w:ind w:left="470" w:hanging="357"/>
        <w:rPr>
          <w:rFonts w:cs="Arial"/>
          <w:szCs w:val="20"/>
        </w:rPr>
      </w:pPr>
      <w:r w:rsidRPr="00C10DE1">
        <w:rPr>
          <w:rFonts w:cs="Arial"/>
          <w:szCs w:val="20"/>
        </w:rPr>
        <w:t xml:space="preserve">Tickets must be acquired </w:t>
      </w:r>
      <w:r w:rsidRPr="00E334C1">
        <w:rPr>
          <w:rFonts w:cs="Arial"/>
          <w:b/>
          <w:szCs w:val="20"/>
        </w:rPr>
        <w:t>via official sales offers</w:t>
      </w:r>
      <w:r w:rsidRPr="00C10DE1">
        <w:rPr>
          <w:rFonts w:cs="Arial"/>
          <w:szCs w:val="20"/>
        </w:rPr>
        <w:t>, not on the black market.</w:t>
      </w:r>
    </w:p>
    <w:p w14:paraId="30F1EBE6" w14:textId="77777777" w:rsidR="003B39C6" w:rsidRPr="00E334C1" w:rsidRDefault="003B39C6" w:rsidP="003B39C6">
      <w:pPr>
        <w:rPr>
          <w:rFonts w:eastAsiaTheme="majorEastAsia" w:cstheme="majorBidi"/>
          <w:b/>
          <w:iCs/>
          <w:color w:val="879BAA" w:themeColor="text2"/>
          <w:sz w:val="22"/>
        </w:rPr>
      </w:pPr>
      <w:proofErr w:type="spellStart"/>
      <w:r w:rsidRPr="00E334C1">
        <w:rPr>
          <w:rFonts w:eastAsiaTheme="majorEastAsia" w:cstheme="majorBidi"/>
          <w:b/>
          <w:iCs/>
          <w:color w:val="879BAA" w:themeColor="text2"/>
          <w:sz w:val="22"/>
        </w:rPr>
        <w:t>SpoDoM</w:t>
      </w:r>
      <w:proofErr w:type="spellEnd"/>
      <w:r w:rsidRPr="00E334C1">
        <w:rPr>
          <w:rFonts w:eastAsiaTheme="majorEastAsia" w:cstheme="majorBidi"/>
          <w:b/>
          <w:iCs/>
          <w:color w:val="879BAA" w:themeColor="text2"/>
          <w:sz w:val="22"/>
        </w:rPr>
        <w:t>-Approval</w:t>
      </w:r>
    </w:p>
    <w:p w14:paraId="4BF3A6F4" w14:textId="1E1ADF98" w:rsidR="003B39C6" w:rsidRDefault="003B39C6" w:rsidP="003B39C6">
      <w:r w:rsidRPr="008C6368">
        <w:t xml:space="preserve">Regarding </w:t>
      </w:r>
      <w:r>
        <w:t xml:space="preserve">a </w:t>
      </w:r>
      <w:proofErr w:type="spellStart"/>
      <w:r>
        <w:t>Sp</w:t>
      </w:r>
      <w:r w:rsidRPr="008C6368">
        <w:t>oDoM</w:t>
      </w:r>
      <w:proofErr w:type="spellEnd"/>
      <w:r w:rsidRPr="008C6368">
        <w:t xml:space="preserve">-Approval for </w:t>
      </w:r>
      <w:r>
        <w:t xml:space="preserve">providing Entertainment Events to </w:t>
      </w:r>
      <w:r w:rsidRPr="00E334C1">
        <w:t>Government Officials and their Related Parties</w:t>
      </w:r>
      <w:r w:rsidRPr="008C6368">
        <w:rPr>
          <w:szCs w:val="20"/>
        </w:rPr>
        <w:t xml:space="preserve">, </w:t>
      </w:r>
      <w:r w:rsidRPr="00E334C1">
        <w:t>Healthcare Providers</w:t>
      </w:r>
      <w:r w:rsidRPr="008C6368">
        <w:rPr>
          <w:szCs w:val="20"/>
        </w:rPr>
        <w:t>,</w:t>
      </w:r>
      <w:r w:rsidRPr="00FF729D">
        <w:rPr>
          <w:szCs w:val="20"/>
        </w:rPr>
        <w:t xml:space="preserve"> members of a purchasing department</w:t>
      </w:r>
      <w:r w:rsidRPr="00FF729D">
        <w:t xml:space="preserve"> or</w:t>
      </w:r>
      <w:r w:rsidRPr="00FF729D">
        <w:rPr>
          <w:szCs w:val="20"/>
        </w:rPr>
        <w:t xml:space="preserve"> beneficiaries that are involved in important business decisions</w:t>
      </w:r>
      <w:r w:rsidRPr="00FF729D">
        <w:t xml:space="preserve"> (Risk</w:t>
      </w:r>
      <w:r w:rsidRPr="00080DA5">
        <w:t xml:space="preserve"> Groups</w:t>
      </w:r>
      <w:r w:rsidRPr="00FF729D">
        <w:t>)</w:t>
      </w:r>
      <w:r>
        <w:t xml:space="preserve"> see </w:t>
      </w:r>
      <w:hyperlink w:anchor="_1.3._Process_and" w:history="1">
        <w:r w:rsidR="004D3C1D">
          <w:rPr>
            <w:rStyle w:val="Hyperlink"/>
          </w:rPr>
          <w:t>C</w:t>
        </w:r>
        <w:r w:rsidRPr="00EC1F35">
          <w:rPr>
            <w:rStyle w:val="Hyperlink"/>
          </w:rPr>
          <w:t xml:space="preserve">hapter </w:t>
        </w:r>
        <w:r w:rsidR="00666E67">
          <w:rPr>
            <w:rStyle w:val="Hyperlink"/>
          </w:rPr>
          <w:t xml:space="preserve">A </w:t>
        </w:r>
        <w:r w:rsidRPr="00EC1F35">
          <w:rPr>
            <w:rStyle w:val="Hyperlink"/>
          </w:rPr>
          <w:t>1.3</w:t>
        </w:r>
      </w:hyperlink>
      <w:r>
        <w:t>.</w:t>
      </w:r>
    </w:p>
    <w:p w14:paraId="6C09C192" w14:textId="3B56D7F5" w:rsidR="003B39C6" w:rsidRDefault="003B7955" w:rsidP="003B39C6">
      <w:pPr>
        <w:pStyle w:val="berschrift3"/>
        <w:spacing w:after="240"/>
        <w:jc w:val="both"/>
      </w:pPr>
      <w:bookmarkStart w:id="19" w:name="_1.2.3._Travel_and"/>
      <w:bookmarkEnd w:id="19"/>
      <w:r>
        <w:t>1.2.3. Travel and Lodging Costs</w:t>
      </w:r>
    </w:p>
    <w:tbl>
      <w:tblPr>
        <w:tblStyle w:val="Tabellenraster"/>
        <w:tblW w:w="0" w:type="auto"/>
        <w:tblLook w:val="04A0" w:firstRow="1" w:lastRow="0" w:firstColumn="1" w:lastColumn="0" w:noHBand="0" w:noVBand="1"/>
      </w:tblPr>
      <w:tblGrid>
        <w:gridCol w:w="1214"/>
        <w:gridCol w:w="9411"/>
      </w:tblGrid>
      <w:tr w:rsidR="003B39C6" w14:paraId="2235F3AA" w14:textId="77777777" w:rsidTr="003B39C6">
        <w:trPr>
          <w:trHeight w:val="695"/>
        </w:trPr>
        <w:tc>
          <w:tcPr>
            <w:tcW w:w="1214" w:type="dxa"/>
            <w:shd w:val="clear" w:color="auto" w:fill="auto"/>
          </w:tcPr>
          <w:p w14:paraId="2F177EF4" w14:textId="77777777" w:rsidR="003B39C6" w:rsidRDefault="003B39C6" w:rsidP="003B39C6">
            <w:pPr>
              <w:pStyle w:val="KeinAbsatzformat"/>
              <w:rPr>
                <w:sz w:val="22"/>
                <w:szCs w:val="22"/>
                <w:lang w:val="en-US"/>
              </w:rPr>
            </w:pPr>
            <w:r>
              <w:rPr>
                <w:noProof/>
                <w:sz w:val="22"/>
                <w:szCs w:val="22"/>
                <w:lang w:eastAsia="de-DE"/>
              </w:rPr>
              <w:drawing>
                <wp:anchor distT="0" distB="0" distL="114300" distR="114300" simplePos="0" relativeHeight="251658242" behindDoc="1" locked="0" layoutInCell="1" allowOverlap="1" wp14:anchorId="5F976409" wp14:editId="4DE5A694">
                  <wp:simplePos x="0" y="0"/>
                  <wp:positionH relativeFrom="column">
                    <wp:posOffset>-7620</wp:posOffset>
                  </wp:positionH>
                  <wp:positionV relativeFrom="paragraph">
                    <wp:posOffset>0</wp:posOffset>
                  </wp:positionV>
                  <wp:extent cx="243205" cy="251460"/>
                  <wp:effectExtent l="0" t="0" r="4445" b="0"/>
                  <wp:wrapTight wrapText="bothSides">
                    <wp:wrapPolygon edited="0">
                      <wp:start x="0" y="0"/>
                      <wp:lineTo x="0" y="19636"/>
                      <wp:lineTo x="16919" y="19636"/>
                      <wp:lineTo x="20303" y="13091"/>
                      <wp:lineTo x="20303" y="4909"/>
                      <wp:lineTo x="16919" y="0"/>
                      <wp:lineTo x="0" y="0"/>
                    </wp:wrapPolygon>
                  </wp:wrapTight>
                  <wp:docPr id="11" name="Grafik 2" descr="\\psf\Home\\Desktop\00_heute\SIE_SCL_140916_Wordtemplate_Legal_Handbook\Examp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esktop\00_heute\SIE_SCL_140916_Wordtemplate_Legal_Handbook\Example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3205" cy="251460"/>
                          </a:xfrm>
                          <a:prstGeom prst="rect">
                            <a:avLst/>
                          </a:prstGeom>
                          <a:noFill/>
                          <a:ln>
                            <a:noFill/>
                          </a:ln>
                        </pic:spPr>
                      </pic:pic>
                    </a:graphicData>
                  </a:graphic>
                </wp:anchor>
              </w:drawing>
            </w:r>
          </w:p>
        </w:tc>
        <w:tc>
          <w:tcPr>
            <w:tcW w:w="9411" w:type="dxa"/>
            <w:shd w:val="clear" w:color="auto" w:fill="auto"/>
          </w:tcPr>
          <w:p w14:paraId="336E1C06" w14:textId="7BF4E345" w:rsidR="003B39C6" w:rsidRPr="00456D08" w:rsidRDefault="003B39C6" w:rsidP="003B39C6">
            <w:pPr>
              <w:rPr>
                <w:rFonts w:cs="Arial"/>
                <w:szCs w:val="20"/>
              </w:rPr>
            </w:pPr>
            <w:r w:rsidRPr="00E334C1">
              <w:rPr>
                <w:rFonts w:cs="Arial"/>
                <w:b/>
                <w:szCs w:val="20"/>
              </w:rPr>
              <w:t xml:space="preserve">Travel and </w:t>
            </w:r>
            <w:r>
              <w:rPr>
                <w:rFonts w:cs="Arial"/>
                <w:b/>
                <w:szCs w:val="20"/>
              </w:rPr>
              <w:t>L</w:t>
            </w:r>
            <w:r w:rsidRPr="00E334C1">
              <w:rPr>
                <w:rFonts w:cs="Arial"/>
                <w:b/>
                <w:szCs w:val="20"/>
              </w:rPr>
              <w:t xml:space="preserve">odging </w:t>
            </w:r>
            <w:r>
              <w:rPr>
                <w:rFonts w:cs="Arial"/>
                <w:b/>
                <w:szCs w:val="20"/>
              </w:rPr>
              <w:t>C</w:t>
            </w:r>
            <w:r w:rsidRPr="00E334C1">
              <w:rPr>
                <w:rFonts w:cs="Arial"/>
                <w:b/>
                <w:szCs w:val="20"/>
              </w:rPr>
              <w:t>osts</w:t>
            </w:r>
            <w:r>
              <w:rPr>
                <w:rFonts w:cs="Arial"/>
                <w:szCs w:val="20"/>
              </w:rPr>
              <w:t xml:space="preserve"> for third parties are e.g. costs for </w:t>
            </w:r>
            <w:r w:rsidR="00456D08">
              <w:rPr>
                <w:rFonts w:cs="Arial"/>
                <w:szCs w:val="20"/>
              </w:rPr>
              <w:br/>
            </w:r>
            <w:r>
              <w:rPr>
                <w:rFonts w:cs="Arial"/>
                <w:szCs w:val="20"/>
              </w:rPr>
              <w:t>inspection tours, acceptance visits, training.</w:t>
            </w:r>
          </w:p>
        </w:tc>
      </w:tr>
    </w:tbl>
    <w:p w14:paraId="738A373A" w14:textId="77777777" w:rsidR="003B39C6" w:rsidRPr="00685EE0" w:rsidRDefault="003B39C6" w:rsidP="003B39C6">
      <w:pPr>
        <w:rPr>
          <w:rFonts w:eastAsiaTheme="majorEastAsia" w:cstheme="majorBidi"/>
          <w:b/>
          <w:iCs/>
          <w:color w:val="879BAA" w:themeColor="text2"/>
          <w:sz w:val="22"/>
        </w:rPr>
      </w:pPr>
      <w:r w:rsidRPr="00685EE0">
        <w:rPr>
          <w:rFonts w:eastAsiaTheme="majorEastAsia" w:cstheme="majorBidi"/>
          <w:b/>
          <w:iCs/>
          <w:color w:val="879BAA" w:themeColor="text2"/>
          <w:sz w:val="22"/>
        </w:rPr>
        <w:t>Exceptions</w:t>
      </w:r>
    </w:p>
    <w:p w14:paraId="1875A0F6" w14:textId="50F8170A" w:rsidR="003B39C6" w:rsidRPr="000079E4" w:rsidRDefault="003B39C6" w:rsidP="003B39C6">
      <w:pPr>
        <w:rPr>
          <w:rFonts w:cs="Arial"/>
          <w:szCs w:val="20"/>
        </w:rPr>
      </w:pPr>
      <w:r w:rsidRPr="000079E4">
        <w:rPr>
          <w:rFonts w:cs="Arial"/>
          <w:szCs w:val="20"/>
        </w:rPr>
        <w:t xml:space="preserve">The reimbursement of travel costs for </w:t>
      </w:r>
      <w:r w:rsidRPr="000079E4">
        <w:rPr>
          <w:rFonts w:cs="Arial"/>
          <w:b/>
          <w:szCs w:val="20"/>
        </w:rPr>
        <w:t>job applicants</w:t>
      </w:r>
      <w:r w:rsidRPr="000079E4">
        <w:rPr>
          <w:rFonts w:cs="Arial"/>
          <w:szCs w:val="20"/>
        </w:rPr>
        <w:t xml:space="preserve"> is not considered a benefit for the purposes of these instructions. The same applies for occasionally and spontaneously driving employees of customers or other third parties or giving these persons a lift in one’s own taxi. However, this exemption does not apply for arrangements to drive someone repeatedly.</w:t>
      </w:r>
    </w:p>
    <w:p w14:paraId="73ACBEA0" w14:textId="5898C721" w:rsidR="003B39C6" w:rsidRPr="000079E4" w:rsidRDefault="003B39C6" w:rsidP="003B39C6">
      <w:pPr>
        <w:rPr>
          <w:rFonts w:cs="Arial"/>
          <w:szCs w:val="20"/>
        </w:rPr>
      </w:pPr>
      <w:r w:rsidRPr="000079E4">
        <w:rPr>
          <w:rFonts w:cs="Arial"/>
          <w:szCs w:val="20"/>
        </w:rPr>
        <w:lastRenderedPageBreak/>
        <w:t xml:space="preserve">The reimbursement of travel and lodging costs incurred by a </w:t>
      </w:r>
      <w:r w:rsidRPr="000079E4">
        <w:rPr>
          <w:rFonts w:cs="Arial"/>
          <w:b/>
          <w:szCs w:val="20"/>
        </w:rPr>
        <w:t>service provider</w:t>
      </w:r>
      <w:r w:rsidRPr="000079E4">
        <w:rPr>
          <w:rFonts w:cs="Arial"/>
          <w:szCs w:val="20"/>
        </w:rPr>
        <w:t xml:space="preserve"> that are necessarily implied in providing a service ordered by and performed for Siemens does not constitute a benefit in the sense of these instructions. </w:t>
      </w:r>
      <w:r>
        <w:t>Costs shall however</w:t>
      </w:r>
      <w:r w:rsidRPr="000079E4">
        <w:rPr>
          <w:rFonts w:cs="Arial"/>
          <w:szCs w:val="20"/>
        </w:rPr>
        <w:t xml:space="preserve"> only be reimbursed if reimbursement has been agreed in advance, for example by means of a contract or a purchase order.</w:t>
      </w:r>
    </w:p>
    <w:p w14:paraId="5F85D16A" w14:textId="77777777" w:rsidR="003B39C6" w:rsidRDefault="003B39C6" w:rsidP="003B39C6">
      <w:r>
        <w:t xml:space="preserve">The same applies for </w:t>
      </w:r>
      <w:r w:rsidRPr="00042CD9">
        <w:rPr>
          <w:b/>
        </w:rPr>
        <w:t>conference speakers</w:t>
      </w:r>
      <w:r>
        <w:t xml:space="preserve"> who have been invited to present a subject on behalf of Siemens on a conference or a congress. The reimbursement of these implied travel and lodging costs does not constitute a benefit in the sense of these instructions. However, specific regulations and reporting requirements may apply if the invited person works in the </w:t>
      </w:r>
      <w:hyperlink w:anchor="PublicSector" w:history="1">
        <w:r w:rsidRPr="006733D2">
          <w:rPr>
            <w:rStyle w:val="Hyperlink"/>
          </w:rPr>
          <w:t>public sector</w:t>
        </w:r>
      </w:hyperlink>
      <w:r>
        <w:t xml:space="preserve"> or is a </w:t>
      </w:r>
      <w:hyperlink w:anchor="_1.4.2._Specific_requirements" w:history="1">
        <w:r>
          <w:rPr>
            <w:rStyle w:val="Hyperlink"/>
          </w:rPr>
          <w:t>Healthcare Provider</w:t>
        </w:r>
      </w:hyperlink>
      <w:r>
        <w:t xml:space="preserve">. In such cases, </w:t>
      </w:r>
      <w:hyperlink w:anchor="_1.5._Specific_Requirements*" w:history="1">
        <w:r>
          <w:rPr>
            <w:rStyle w:val="Hyperlink"/>
          </w:rPr>
          <w:t>the applicable local and industry specific regulations</w:t>
        </w:r>
      </w:hyperlink>
      <w:r>
        <w:t xml:space="preserve"> must be checked or the responsible Compliance Officer shall be contacted.</w:t>
      </w:r>
    </w:p>
    <w:p w14:paraId="2BBFCA18" w14:textId="77777777" w:rsidR="003B39C6" w:rsidRDefault="003B39C6" w:rsidP="003B39C6">
      <w:pPr>
        <w:rPr>
          <w:rFonts w:eastAsiaTheme="majorEastAsia" w:cstheme="majorBidi"/>
          <w:b/>
          <w:iCs/>
          <w:color w:val="879BAA" w:themeColor="text2"/>
          <w:sz w:val="22"/>
        </w:rPr>
      </w:pPr>
      <w:bookmarkStart w:id="20" w:name="TravelCostSpecificPrinciples"/>
      <w:r>
        <w:rPr>
          <w:rFonts w:eastAsiaTheme="majorEastAsia" w:cstheme="majorBidi"/>
          <w:b/>
          <w:iCs/>
          <w:color w:val="879BAA" w:themeColor="text2"/>
          <w:sz w:val="22"/>
        </w:rPr>
        <w:t>Specific Principles</w:t>
      </w:r>
    </w:p>
    <w:bookmarkEnd w:id="20"/>
    <w:p w14:paraId="77B8B47C" w14:textId="77777777" w:rsidR="003B39C6" w:rsidRPr="00FD2D78" w:rsidRDefault="003B39C6" w:rsidP="003B39C6">
      <w:pPr>
        <w:rPr>
          <w:rFonts w:cs="Arial"/>
          <w:szCs w:val="20"/>
        </w:rPr>
      </w:pPr>
      <w:r w:rsidRPr="00FD2D78">
        <w:rPr>
          <w:rFonts w:cs="Arial"/>
          <w:szCs w:val="20"/>
        </w:rPr>
        <w:t xml:space="preserve">Besides the </w:t>
      </w:r>
      <w:hyperlink w:anchor="_Guidance_on_general" w:history="1">
        <w:r w:rsidRPr="00EC1F35">
          <w:rPr>
            <w:rStyle w:val="Hyperlink"/>
            <w:rFonts w:cs="Arial"/>
            <w:szCs w:val="20"/>
          </w:rPr>
          <w:t>general principles</w:t>
        </w:r>
      </w:hyperlink>
      <w:r w:rsidRPr="008D7D97">
        <w:rPr>
          <w:rFonts w:cs="Arial"/>
          <w:szCs w:val="20"/>
        </w:rPr>
        <w:t xml:space="preserve"> and</w:t>
      </w:r>
      <w:r>
        <w:rPr>
          <w:rFonts w:cs="Arial"/>
          <w:szCs w:val="20"/>
        </w:rPr>
        <w:t xml:space="preserve"> possibly </w:t>
      </w:r>
      <w:hyperlink w:anchor="_1.5._Specific_Requirements*" w:history="1">
        <w:r w:rsidRPr="00EC1F35">
          <w:rPr>
            <w:rStyle w:val="Hyperlink"/>
            <w:rFonts w:cs="Arial"/>
            <w:szCs w:val="20"/>
          </w:rPr>
          <w:t>country or industry specific requirements</w:t>
        </w:r>
      </w:hyperlink>
      <w:r w:rsidRPr="00FD2D78">
        <w:rPr>
          <w:rFonts w:cs="Arial"/>
          <w:szCs w:val="20"/>
        </w:rPr>
        <w:t xml:space="preserve">, reimbursing </w:t>
      </w:r>
      <w:r>
        <w:rPr>
          <w:rFonts w:cs="Arial"/>
          <w:szCs w:val="20"/>
        </w:rPr>
        <w:t>T</w:t>
      </w:r>
      <w:r w:rsidRPr="00FD2D78">
        <w:rPr>
          <w:rFonts w:cs="Arial"/>
          <w:szCs w:val="20"/>
        </w:rPr>
        <w:t xml:space="preserve">ravel and </w:t>
      </w:r>
      <w:r>
        <w:rPr>
          <w:rFonts w:cs="Arial"/>
          <w:szCs w:val="20"/>
        </w:rPr>
        <w:t>L</w:t>
      </w:r>
      <w:r w:rsidRPr="00FD2D78">
        <w:rPr>
          <w:rFonts w:cs="Arial"/>
          <w:szCs w:val="20"/>
        </w:rPr>
        <w:t xml:space="preserve">odging </w:t>
      </w:r>
      <w:r>
        <w:rPr>
          <w:rFonts w:cs="Arial"/>
          <w:szCs w:val="20"/>
        </w:rPr>
        <w:t>C</w:t>
      </w:r>
      <w:r w:rsidRPr="00FD2D78">
        <w:rPr>
          <w:rFonts w:cs="Arial"/>
          <w:szCs w:val="20"/>
        </w:rPr>
        <w:t>osts for third parties</w:t>
      </w:r>
      <w:r w:rsidRPr="00E334C1">
        <w:rPr>
          <w:rFonts w:cs="Arial"/>
          <w:szCs w:val="20"/>
        </w:rPr>
        <w:t xml:space="preserve"> </w:t>
      </w:r>
      <w:r w:rsidRPr="00FD2D78">
        <w:rPr>
          <w:szCs w:val="20"/>
        </w:rPr>
        <w:t>shall comply with the following</w:t>
      </w:r>
      <w:r>
        <w:rPr>
          <w:szCs w:val="20"/>
        </w:rPr>
        <w:t xml:space="preserve"> </w:t>
      </w:r>
      <w:r w:rsidRPr="00FD2D78">
        <w:rPr>
          <w:szCs w:val="20"/>
        </w:rPr>
        <w:t>standards:</w:t>
      </w:r>
    </w:p>
    <w:p w14:paraId="03F0FAFA" w14:textId="77777777" w:rsidR="003B39C6" w:rsidRPr="00E334C1" w:rsidRDefault="003B39C6" w:rsidP="003B39C6">
      <w:pPr>
        <w:pStyle w:val="CopyBulletpoints"/>
        <w:ind w:left="426" w:hanging="313"/>
        <w:rPr>
          <w:rFonts w:cs="Arial"/>
          <w:strike/>
          <w:szCs w:val="20"/>
        </w:rPr>
      </w:pPr>
      <w:r w:rsidRPr="00E334C1">
        <w:rPr>
          <w:rFonts w:cs="Arial"/>
          <w:szCs w:val="20"/>
        </w:rPr>
        <w:t xml:space="preserve">The reimbursement itself (instead of a payment by the third party itself), the number and function of the persons (e.g. few or many, with or without spouses) as well as the standard of the travel (e.g. </w:t>
      </w:r>
      <w:r>
        <w:rPr>
          <w:rFonts w:cs="Arial"/>
          <w:szCs w:val="20"/>
        </w:rPr>
        <w:t>economy</w:t>
      </w:r>
      <w:r w:rsidRPr="00E334C1">
        <w:rPr>
          <w:rFonts w:cs="Arial"/>
          <w:szCs w:val="20"/>
        </w:rPr>
        <w:t xml:space="preserve"> or business class) and lodging (e.g. three or four star hotel) </w:t>
      </w:r>
      <w:r>
        <w:rPr>
          <w:rFonts w:cs="Arial"/>
          <w:szCs w:val="20"/>
        </w:rPr>
        <w:t xml:space="preserve">and their duration </w:t>
      </w:r>
      <w:r w:rsidRPr="00E334C1">
        <w:rPr>
          <w:rFonts w:cs="Arial"/>
          <w:szCs w:val="20"/>
        </w:rPr>
        <w:t xml:space="preserve">must be justified by a </w:t>
      </w:r>
      <w:r w:rsidRPr="00EC1F35">
        <w:rPr>
          <w:rFonts w:cs="Arial"/>
          <w:b/>
          <w:szCs w:val="20"/>
        </w:rPr>
        <w:t>legitimate business purpose</w:t>
      </w:r>
      <w:r w:rsidRPr="00E334C1">
        <w:rPr>
          <w:rFonts w:cs="Arial"/>
          <w:szCs w:val="20"/>
        </w:rPr>
        <w:t>.</w:t>
      </w:r>
    </w:p>
    <w:p w14:paraId="4ED8FB19" w14:textId="77777777" w:rsidR="003B39C6" w:rsidRDefault="003B39C6" w:rsidP="003B39C6">
      <w:pPr>
        <w:pStyle w:val="CopyBulletpoints"/>
        <w:spacing w:after="140"/>
        <w:ind w:left="426" w:hanging="313"/>
        <w:jc w:val="both"/>
        <w:rPr>
          <w:rFonts w:cs="Arial"/>
          <w:szCs w:val="20"/>
        </w:rPr>
      </w:pPr>
      <w:r>
        <w:rPr>
          <w:rFonts w:cs="Arial"/>
          <w:szCs w:val="20"/>
        </w:rPr>
        <w:t>T</w:t>
      </w:r>
      <w:r w:rsidRPr="00E334C1">
        <w:rPr>
          <w:rFonts w:cs="Arial"/>
          <w:szCs w:val="20"/>
        </w:rPr>
        <w:t xml:space="preserve">he costs need to </w:t>
      </w:r>
      <w:r>
        <w:rPr>
          <w:rFonts w:cs="Arial"/>
          <w:szCs w:val="20"/>
        </w:rPr>
        <w:t xml:space="preserve">be </w:t>
      </w:r>
      <w:r w:rsidRPr="00EC1F35">
        <w:rPr>
          <w:rFonts w:cs="Arial"/>
          <w:b/>
          <w:szCs w:val="20"/>
        </w:rPr>
        <w:t>proportional</w:t>
      </w:r>
      <w:r>
        <w:rPr>
          <w:rFonts w:cs="Arial"/>
          <w:szCs w:val="20"/>
        </w:rPr>
        <w:t xml:space="preserve"> compared to </w:t>
      </w:r>
      <w:r w:rsidRPr="00E334C1">
        <w:rPr>
          <w:rFonts w:cs="Arial"/>
          <w:szCs w:val="20"/>
        </w:rPr>
        <w:t>what is received in return (the standard of travel and lodging</w:t>
      </w:r>
      <w:r>
        <w:rPr>
          <w:rFonts w:cs="Arial"/>
          <w:szCs w:val="20"/>
        </w:rPr>
        <w:t xml:space="preserve">, </w:t>
      </w:r>
      <w:r w:rsidRPr="00E334C1">
        <w:rPr>
          <w:rFonts w:cs="Arial"/>
          <w:szCs w:val="20"/>
        </w:rPr>
        <w:t>the travelling duration, as well as number of travelling persons</w:t>
      </w:r>
      <w:r>
        <w:rPr>
          <w:rFonts w:cs="Arial"/>
          <w:szCs w:val="20"/>
        </w:rPr>
        <w:t>)</w:t>
      </w:r>
      <w:r w:rsidRPr="00E334C1">
        <w:rPr>
          <w:rFonts w:cs="Arial"/>
          <w:szCs w:val="20"/>
        </w:rPr>
        <w:t>.</w:t>
      </w:r>
    </w:p>
    <w:p w14:paraId="7525C359" w14:textId="77777777" w:rsidR="003B39C6" w:rsidRPr="00EC1F35" w:rsidRDefault="003B39C6" w:rsidP="003B39C6">
      <w:pPr>
        <w:pStyle w:val="CopyBulletpoints"/>
        <w:spacing w:after="140"/>
        <w:ind w:left="426" w:hanging="313"/>
        <w:jc w:val="both"/>
        <w:rPr>
          <w:rFonts w:cs="Arial"/>
          <w:szCs w:val="20"/>
        </w:rPr>
      </w:pPr>
      <w:r>
        <w:rPr>
          <w:rFonts w:cs="Arial"/>
          <w:lang w:eastAsia="de-DE"/>
        </w:rPr>
        <w:t>Cost r</w:t>
      </w:r>
      <w:r w:rsidRPr="00EC1F35">
        <w:rPr>
          <w:rFonts w:cs="Arial"/>
          <w:lang w:eastAsia="de-DE"/>
        </w:rPr>
        <w:t xml:space="preserve">eimbursements may </w:t>
      </w:r>
      <w:r>
        <w:rPr>
          <w:rFonts w:cs="Arial"/>
          <w:b/>
          <w:lang w:eastAsia="de-DE"/>
        </w:rPr>
        <w:t>not</w:t>
      </w:r>
      <w:r w:rsidRPr="00EC1F35">
        <w:rPr>
          <w:rFonts w:cs="Arial"/>
          <w:b/>
          <w:lang w:eastAsia="de-DE"/>
        </w:rPr>
        <w:t xml:space="preserve"> be</w:t>
      </w:r>
      <w:r w:rsidRPr="00EC1F35" w:rsidDel="00CA6647">
        <w:rPr>
          <w:rFonts w:cs="Arial"/>
          <w:b/>
          <w:szCs w:val="20"/>
        </w:rPr>
        <w:t xml:space="preserve"> </w:t>
      </w:r>
      <w:r w:rsidRPr="00EC1F35">
        <w:rPr>
          <w:rFonts w:cs="Arial"/>
          <w:b/>
          <w:szCs w:val="20"/>
        </w:rPr>
        <w:t>made to private bank accounts</w:t>
      </w:r>
      <w:r w:rsidRPr="00EC1F35">
        <w:rPr>
          <w:rFonts w:cs="Arial"/>
          <w:szCs w:val="20"/>
        </w:rPr>
        <w:t xml:space="preserve"> or to individual persons</w:t>
      </w:r>
      <w:r>
        <w:rPr>
          <w:rFonts w:cs="Arial"/>
          <w:szCs w:val="20"/>
        </w:rPr>
        <w:t xml:space="preserve"> </w:t>
      </w:r>
      <w:r w:rsidRPr="00EC1F35">
        <w:rPr>
          <w:rFonts w:cs="Arial"/>
          <w:b/>
          <w:szCs w:val="20"/>
        </w:rPr>
        <w:t>or to third parties</w:t>
      </w:r>
      <w:r>
        <w:rPr>
          <w:rFonts w:cs="Arial"/>
          <w:szCs w:val="20"/>
        </w:rPr>
        <w:t xml:space="preserve"> (other than the employer of the beneficiary) for forwarding to the beneficiaries</w:t>
      </w:r>
      <w:r w:rsidRPr="00EC1F35">
        <w:rPr>
          <w:rFonts w:cs="Arial"/>
          <w:szCs w:val="20"/>
        </w:rPr>
        <w:t>.</w:t>
      </w:r>
    </w:p>
    <w:p w14:paraId="44C4224C" w14:textId="77777777" w:rsidR="003B39C6" w:rsidRDefault="003B39C6" w:rsidP="003B39C6">
      <w:pPr>
        <w:pStyle w:val="CopyBulletpoints"/>
        <w:ind w:left="426" w:hanging="313"/>
        <w:rPr>
          <w:rFonts w:cs="Arial"/>
          <w:lang w:eastAsia="de-DE"/>
        </w:rPr>
      </w:pPr>
      <w:r>
        <w:rPr>
          <w:rFonts w:cs="Arial"/>
          <w:lang w:eastAsia="de-DE"/>
        </w:rPr>
        <w:t xml:space="preserve">Because </w:t>
      </w:r>
      <w:r w:rsidRPr="00E334C1">
        <w:rPr>
          <w:rFonts w:cs="Arial"/>
          <w:b/>
          <w:lang w:eastAsia="de-DE"/>
        </w:rPr>
        <w:t>travel agencies</w:t>
      </w:r>
      <w:r>
        <w:rPr>
          <w:rFonts w:cs="Arial"/>
          <w:lang w:eastAsia="de-DE"/>
        </w:rPr>
        <w:t xml:space="preserve"> can be used to create slush funds, employees shall avoid reimbursement of costs for travelling or entertainment arranged by travel agencies for employees of the customer or other third party if Siemens has no sufficient control over the arrangements and their execution. In case the use of a travel agency is necessary, employees shall select agencies with high integrity and insist on an itemized, detailed proof of service and receipts of accommodation and travel providers.</w:t>
      </w:r>
    </w:p>
    <w:p w14:paraId="336485EB" w14:textId="77777777" w:rsidR="003B39C6" w:rsidRDefault="003B39C6" w:rsidP="003B39C6">
      <w:pPr>
        <w:pStyle w:val="scfbrieftext"/>
        <w:spacing w:after="140"/>
        <w:jc w:val="both"/>
        <w:rPr>
          <w:rFonts w:eastAsiaTheme="majorEastAsia" w:cstheme="majorBidi"/>
          <w:b/>
          <w:iCs/>
          <w:color w:val="879BAA" w:themeColor="text2"/>
          <w:sz w:val="22"/>
        </w:rPr>
      </w:pPr>
      <w:bookmarkStart w:id="21" w:name="LocalTravel"/>
      <w:r>
        <w:rPr>
          <w:rFonts w:eastAsiaTheme="majorEastAsia" w:cstheme="majorBidi"/>
          <w:b/>
          <w:iCs/>
          <w:color w:val="879BAA" w:themeColor="text2"/>
          <w:sz w:val="22"/>
        </w:rPr>
        <w:t>Local vs. Non-Local Travel Cost</w:t>
      </w:r>
    </w:p>
    <w:bookmarkEnd w:id="21"/>
    <w:p w14:paraId="327246B6" w14:textId="5A369714" w:rsidR="003B39C6" w:rsidRDefault="003B39C6" w:rsidP="003B39C6">
      <w:pPr>
        <w:rPr>
          <w:rFonts w:cs="Arial"/>
          <w:lang w:eastAsia="de-DE"/>
        </w:rPr>
      </w:pPr>
      <w:r w:rsidRPr="00247CA1">
        <w:rPr>
          <w:rFonts w:cs="Arial"/>
          <w:lang w:eastAsia="de-DE"/>
        </w:rPr>
        <w:t xml:space="preserve">As </w:t>
      </w:r>
      <w:r w:rsidRPr="00E334C1">
        <w:rPr>
          <w:rFonts w:cs="Arial"/>
          <w:lang w:eastAsia="de-DE"/>
        </w:rPr>
        <w:t>local trav</w:t>
      </w:r>
      <w:r w:rsidRPr="00247CA1">
        <w:rPr>
          <w:rFonts w:cs="Arial"/>
          <w:lang w:eastAsia="de-DE"/>
        </w:rPr>
        <w:t>el cost</w:t>
      </w:r>
      <w:r>
        <w:rPr>
          <w:rFonts w:cs="Arial"/>
          <w:lang w:eastAsia="de-DE"/>
        </w:rPr>
        <w:t>s</w:t>
      </w:r>
      <w:r w:rsidRPr="00247CA1">
        <w:rPr>
          <w:rFonts w:cs="Arial"/>
          <w:lang w:eastAsia="de-DE"/>
        </w:rPr>
        <w:t xml:space="preserve"> </w:t>
      </w:r>
      <w:r w:rsidRPr="00E334C1">
        <w:rPr>
          <w:rFonts w:cs="Arial"/>
          <w:lang w:eastAsia="de-DE"/>
        </w:rPr>
        <w:t>do not r</w:t>
      </w:r>
      <w:r w:rsidRPr="00247CA1">
        <w:rPr>
          <w:rFonts w:cs="Arial"/>
          <w:lang w:eastAsia="de-DE"/>
        </w:rPr>
        <w:t xml:space="preserve">equire </w:t>
      </w:r>
      <w:r>
        <w:rPr>
          <w:rFonts w:cs="Arial"/>
          <w:lang w:eastAsia="de-DE"/>
        </w:rPr>
        <w:t xml:space="preserve">a </w:t>
      </w:r>
      <w:proofErr w:type="spellStart"/>
      <w:r>
        <w:rPr>
          <w:rFonts w:cs="Arial"/>
          <w:lang w:eastAsia="de-DE"/>
        </w:rPr>
        <w:t>SpoDoM</w:t>
      </w:r>
      <w:proofErr w:type="spellEnd"/>
      <w:r>
        <w:rPr>
          <w:rFonts w:cs="Arial"/>
          <w:lang w:eastAsia="de-DE"/>
        </w:rPr>
        <w:t>-Approval,</w:t>
      </w:r>
      <w:r w:rsidRPr="00E334C1">
        <w:rPr>
          <w:rFonts w:cs="Arial"/>
          <w:lang w:eastAsia="de-DE"/>
        </w:rPr>
        <w:t xml:space="preserve"> </w:t>
      </w:r>
      <w:r>
        <w:rPr>
          <w:rFonts w:cs="Arial"/>
          <w:lang w:eastAsia="de-DE"/>
        </w:rPr>
        <w:t>i</w:t>
      </w:r>
      <w:r w:rsidRPr="00E334C1">
        <w:rPr>
          <w:rFonts w:cs="Arial"/>
          <w:lang w:eastAsia="de-DE"/>
        </w:rPr>
        <w:t>t is important to distinguish between local and non-local travel costs.</w:t>
      </w:r>
    </w:p>
    <w:p w14:paraId="650F92C0" w14:textId="6DF372C2" w:rsidR="003B39C6" w:rsidRDefault="003B39C6" w:rsidP="003B39C6">
      <w:pPr>
        <w:rPr>
          <w:rFonts w:cs="Arial"/>
          <w:lang w:eastAsia="de-DE"/>
        </w:rPr>
      </w:pPr>
      <w:r>
        <w:rPr>
          <w:rFonts w:cs="Arial"/>
          <w:lang w:eastAsia="de-DE"/>
        </w:rPr>
        <w:t xml:space="preserve">Crossing a </w:t>
      </w:r>
      <w:r w:rsidR="005963E2">
        <w:rPr>
          <w:rFonts w:cs="Arial"/>
          <w:lang w:eastAsia="de-DE"/>
        </w:rPr>
        <w:t>country border</w:t>
      </w:r>
      <w:r>
        <w:rPr>
          <w:rFonts w:cs="Arial"/>
          <w:lang w:eastAsia="de-DE"/>
        </w:rPr>
        <w:t xml:space="preserve"> does not per se imply that the travel must be considered non-local. In case the nearest transportation </w:t>
      </w:r>
      <w:proofErr w:type="gramStart"/>
      <w:r>
        <w:rPr>
          <w:rFonts w:cs="Arial"/>
          <w:lang w:eastAsia="de-DE"/>
        </w:rPr>
        <w:t>stop</w:t>
      </w:r>
      <w:proofErr w:type="gramEnd"/>
      <w:r>
        <w:rPr>
          <w:rFonts w:cs="Arial"/>
          <w:lang w:eastAsia="de-DE"/>
        </w:rPr>
        <w:t xml:space="preserve"> to or from a Siemens facility is nearby but in another country, the travel may still be considered “local” provided it otherwise fits into the criteria for local travel. An approval in the </w:t>
      </w:r>
      <w:proofErr w:type="spellStart"/>
      <w:r>
        <w:rPr>
          <w:rFonts w:cs="Arial"/>
          <w:lang w:eastAsia="de-DE"/>
        </w:rPr>
        <w:t>SpoDoM</w:t>
      </w:r>
      <w:proofErr w:type="spellEnd"/>
      <w:r>
        <w:rPr>
          <w:rFonts w:cs="Arial"/>
          <w:lang w:eastAsia="de-DE"/>
        </w:rPr>
        <w:t xml:space="preserve"> tool thus is not required if the employee of the customer or supplier must be brought to the nearest transportation stop (e.g. a taxi to the airport or train station) which happens to be abroad due to the location of the Siemens facility.</w:t>
      </w:r>
    </w:p>
    <w:p w14:paraId="217DB967" w14:textId="3B8D070B" w:rsidR="003B39C6" w:rsidRPr="00EC1F35" w:rsidRDefault="003B39C6" w:rsidP="003B39C6">
      <w:pPr>
        <w:rPr>
          <w:rFonts w:cs="Arial"/>
          <w:szCs w:val="20"/>
        </w:rPr>
      </w:pPr>
      <w:r>
        <w:rPr>
          <w:rFonts w:cs="Arial"/>
          <w:lang w:eastAsia="de-DE"/>
        </w:rPr>
        <w:t xml:space="preserve">Siemens regional companies may further define what falls under "local travel" for their respective country (for example with reference to a specific monetary threshold or a threshold regarding distance, means of transportation or otherwise). If there are various Siemens companies in the same country, the country specific definition shall be aligned among them. Country specific definitions of what is considered “local travel” shall be notified to the contact persons for gifts and hospitality at LC CO </w:t>
      </w:r>
      <w:r w:rsidR="00F93CEA">
        <w:rPr>
          <w:rFonts w:cs="Arial"/>
          <w:lang w:eastAsia="de-DE"/>
        </w:rPr>
        <w:t>PT</w:t>
      </w:r>
      <w:r>
        <w:rPr>
          <w:rFonts w:cs="Arial"/>
          <w:lang w:eastAsia="de-DE"/>
        </w:rPr>
        <w:t xml:space="preserve"> and LC CO R</w:t>
      </w:r>
      <w:r w:rsidR="00D26535">
        <w:rPr>
          <w:rFonts w:cs="Arial"/>
          <w:lang w:eastAsia="de-DE"/>
        </w:rPr>
        <w:t>FC</w:t>
      </w:r>
      <w:r>
        <w:rPr>
          <w:rFonts w:cs="Arial"/>
          <w:lang w:eastAsia="de-DE"/>
        </w:rPr>
        <w:t xml:space="preserve"> L</w:t>
      </w:r>
      <w:r w:rsidR="00D26535">
        <w:rPr>
          <w:rFonts w:cs="Arial"/>
          <w:lang w:eastAsia="de-DE"/>
        </w:rPr>
        <w:t>F</w:t>
      </w:r>
      <w:r>
        <w:rPr>
          <w:rFonts w:cs="Arial"/>
          <w:lang w:eastAsia="de-DE"/>
        </w:rPr>
        <w:t xml:space="preserve"> and shall be made </w:t>
      </w:r>
      <w:r w:rsidRPr="00EC1F35">
        <w:rPr>
          <w:rFonts w:cs="Arial"/>
          <w:lang w:eastAsia="de-DE"/>
        </w:rPr>
        <w:t xml:space="preserve">available via the </w:t>
      </w:r>
      <w:r>
        <w:rPr>
          <w:rFonts w:cs="Arial"/>
          <w:lang w:eastAsia="de-DE"/>
        </w:rPr>
        <w:t>Compliance intranet.</w:t>
      </w:r>
    </w:p>
    <w:p w14:paraId="6F3E5C3D" w14:textId="77777777" w:rsidR="003B39C6" w:rsidRDefault="003B39C6" w:rsidP="003B39C6">
      <w:pPr>
        <w:pStyle w:val="scfbrieftext"/>
        <w:spacing w:after="140"/>
        <w:jc w:val="both"/>
        <w:rPr>
          <w:rFonts w:eastAsiaTheme="majorEastAsia" w:cstheme="majorBidi"/>
          <w:b/>
          <w:iCs/>
          <w:color w:val="879BAA" w:themeColor="text2"/>
          <w:sz w:val="22"/>
        </w:rPr>
      </w:pPr>
      <w:proofErr w:type="spellStart"/>
      <w:r>
        <w:rPr>
          <w:rFonts w:eastAsiaTheme="majorEastAsia" w:cstheme="majorBidi"/>
          <w:b/>
          <w:iCs/>
          <w:color w:val="879BAA" w:themeColor="text2"/>
          <w:sz w:val="22"/>
        </w:rPr>
        <w:lastRenderedPageBreak/>
        <w:t>SpoDoM</w:t>
      </w:r>
      <w:proofErr w:type="spellEnd"/>
      <w:r>
        <w:rPr>
          <w:rFonts w:eastAsiaTheme="majorEastAsia" w:cstheme="majorBidi"/>
          <w:b/>
          <w:iCs/>
          <w:color w:val="879BAA" w:themeColor="text2"/>
          <w:sz w:val="22"/>
        </w:rPr>
        <w:t>-Approval</w:t>
      </w:r>
    </w:p>
    <w:p w14:paraId="4665765D" w14:textId="28400529" w:rsidR="003B39C6" w:rsidRDefault="003B39C6" w:rsidP="003B39C6">
      <w:r w:rsidRPr="008C6368">
        <w:t xml:space="preserve">Regarding </w:t>
      </w:r>
      <w:r>
        <w:t xml:space="preserve">a </w:t>
      </w:r>
      <w:proofErr w:type="spellStart"/>
      <w:r>
        <w:t>Sp</w:t>
      </w:r>
      <w:r w:rsidRPr="008C6368">
        <w:t>oDoM</w:t>
      </w:r>
      <w:proofErr w:type="spellEnd"/>
      <w:r w:rsidRPr="008C6368">
        <w:t xml:space="preserve">-Approval for </w:t>
      </w:r>
      <w:r>
        <w:t xml:space="preserve">providing </w:t>
      </w:r>
      <w:r w:rsidR="00DB2663">
        <w:t xml:space="preserve">lodging or </w:t>
      </w:r>
      <w:r>
        <w:t xml:space="preserve">non-local travel to </w:t>
      </w:r>
      <w:r w:rsidRPr="00E334C1">
        <w:t>Government Officials and their Related Parties</w:t>
      </w:r>
      <w:r w:rsidRPr="008C6368">
        <w:rPr>
          <w:szCs w:val="20"/>
        </w:rPr>
        <w:t xml:space="preserve">, </w:t>
      </w:r>
      <w:r w:rsidRPr="00E334C1">
        <w:t>Healthcare Providers</w:t>
      </w:r>
      <w:r w:rsidRPr="008C6368">
        <w:rPr>
          <w:szCs w:val="20"/>
        </w:rPr>
        <w:t>,</w:t>
      </w:r>
      <w:r w:rsidRPr="00FF729D">
        <w:rPr>
          <w:szCs w:val="20"/>
        </w:rPr>
        <w:t xml:space="preserve"> members of a purchasing department</w:t>
      </w:r>
      <w:r w:rsidRPr="00FF729D">
        <w:t xml:space="preserve"> or</w:t>
      </w:r>
      <w:r w:rsidRPr="00FF729D">
        <w:rPr>
          <w:szCs w:val="20"/>
        </w:rPr>
        <w:t xml:space="preserve"> beneficiaries that are involved in important business decisions</w:t>
      </w:r>
      <w:r w:rsidRPr="00FF729D">
        <w:t xml:space="preserve"> (Risk</w:t>
      </w:r>
      <w:r w:rsidRPr="00080DA5">
        <w:t xml:space="preserve"> Groups</w:t>
      </w:r>
      <w:r w:rsidRPr="00FF729D">
        <w:t>)</w:t>
      </w:r>
      <w:r>
        <w:t xml:space="preserve"> see </w:t>
      </w:r>
      <w:hyperlink w:anchor="_1.3._Process_and" w:history="1">
        <w:r w:rsidR="004D3C1D">
          <w:rPr>
            <w:rStyle w:val="Hyperlink"/>
          </w:rPr>
          <w:t>C</w:t>
        </w:r>
        <w:r w:rsidRPr="00EC1F35">
          <w:rPr>
            <w:rStyle w:val="Hyperlink"/>
          </w:rPr>
          <w:t xml:space="preserve">hapter </w:t>
        </w:r>
        <w:r w:rsidR="00666E67">
          <w:rPr>
            <w:rStyle w:val="Hyperlink"/>
          </w:rPr>
          <w:t xml:space="preserve">A </w:t>
        </w:r>
        <w:r w:rsidRPr="00EC1F35">
          <w:rPr>
            <w:rStyle w:val="Hyperlink"/>
          </w:rPr>
          <w:t>1.3</w:t>
        </w:r>
        <w:r w:rsidRPr="00247D9B">
          <w:rPr>
            <w:rStyle w:val="Hyperlink"/>
          </w:rPr>
          <w:t>.</w:t>
        </w:r>
      </w:hyperlink>
    </w:p>
    <w:p w14:paraId="3D7A9E55" w14:textId="54AEB72B" w:rsidR="003B39C6" w:rsidRDefault="003B7955" w:rsidP="003B39C6">
      <w:pPr>
        <w:pStyle w:val="berschrift4"/>
      </w:pPr>
      <w:bookmarkStart w:id="22" w:name="_1.2.3.1._Local_/"/>
      <w:bookmarkEnd w:id="22"/>
      <w:r>
        <w:t>1.2.3.1. Daily Allowances</w:t>
      </w:r>
    </w:p>
    <w:tbl>
      <w:tblPr>
        <w:tblStyle w:val="Tabellenraster"/>
        <w:tblW w:w="0" w:type="auto"/>
        <w:tblLook w:val="04A0" w:firstRow="1" w:lastRow="0" w:firstColumn="1" w:lastColumn="0" w:noHBand="0" w:noVBand="1"/>
      </w:tblPr>
      <w:tblGrid>
        <w:gridCol w:w="1214"/>
        <w:gridCol w:w="9411"/>
      </w:tblGrid>
      <w:tr w:rsidR="003B39C6" w14:paraId="6C70A894" w14:textId="77777777" w:rsidTr="003B39C6">
        <w:trPr>
          <w:trHeight w:val="695"/>
        </w:trPr>
        <w:tc>
          <w:tcPr>
            <w:tcW w:w="1214" w:type="dxa"/>
            <w:shd w:val="clear" w:color="auto" w:fill="auto"/>
          </w:tcPr>
          <w:p w14:paraId="241906D6" w14:textId="77777777" w:rsidR="003B39C6" w:rsidRDefault="003B39C6" w:rsidP="003B39C6">
            <w:pPr>
              <w:pStyle w:val="KeinAbsatzformat"/>
              <w:rPr>
                <w:sz w:val="22"/>
                <w:szCs w:val="22"/>
                <w:lang w:val="en-US"/>
              </w:rPr>
            </w:pPr>
            <w:r>
              <w:rPr>
                <w:noProof/>
                <w:sz w:val="22"/>
                <w:szCs w:val="22"/>
                <w:lang w:eastAsia="de-DE"/>
              </w:rPr>
              <w:drawing>
                <wp:anchor distT="0" distB="0" distL="114300" distR="114300" simplePos="0" relativeHeight="251658243" behindDoc="1" locked="0" layoutInCell="1" allowOverlap="1" wp14:anchorId="7E345886" wp14:editId="393507F0">
                  <wp:simplePos x="0" y="0"/>
                  <wp:positionH relativeFrom="column">
                    <wp:posOffset>-7620</wp:posOffset>
                  </wp:positionH>
                  <wp:positionV relativeFrom="paragraph">
                    <wp:posOffset>0</wp:posOffset>
                  </wp:positionV>
                  <wp:extent cx="243205" cy="251460"/>
                  <wp:effectExtent l="0" t="0" r="4445" b="0"/>
                  <wp:wrapTight wrapText="bothSides">
                    <wp:wrapPolygon edited="0">
                      <wp:start x="0" y="0"/>
                      <wp:lineTo x="0" y="19636"/>
                      <wp:lineTo x="16919" y="19636"/>
                      <wp:lineTo x="20303" y="13091"/>
                      <wp:lineTo x="20303" y="4909"/>
                      <wp:lineTo x="16919" y="0"/>
                      <wp:lineTo x="0" y="0"/>
                    </wp:wrapPolygon>
                  </wp:wrapTight>
                  <wp:docPr id="13" name="Grafik 2" descr="\\psf\Home\\Desktop\00_heute\SIE_SCL_140916_Wordtemplate_Legal_Handbook\Examp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esktop\00_heute\SIE_SCL_140916_Wordtemplate_Legal_Handbook\Example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3205" cy="251460"/>
                          </a:xfrm>
                          <a:prstGeom prst="rect">
                            <a:avLst/>
                          </a:prstGeom>
                          <a:noFill/>
                          <a:ln>
                            <a:noFill/>
                          </a:ln>
                        </pic:spPr>
                      </pic:pic>
                    </a:graphicData>
                  </a:graphic>
                </wp:anchor>
              </w:drawing>
            </w:r>
          </w:p>
        </w:tc>
        <w:tc>
          <w:tcPr>
            <w:tcW w:w="9411" w:type="dxa"/>
            <w:shd w:val="clear" w:color="auto" w:fill="auto"/>
          </w:tcPr>
          <w:p w14:paraId="6F27FF0E" w14:textId="19CFAE66" w:rsidR="003B39C6" w:rsidRPr="00655F45" w:rsidRDefault="003B39C6" w:rsidP="003B39C6">
            <w:pPr>
              <w:rPr>
                <w:sz w:val="22"/>
              </w:rPr>
            </w:pPr>
            <w:r w:rsidRPr="00E334C1">
              <w:rPr>
                <w:rFonts w:cs="Arial"/>
                <w:b/>
                <w:lang w:eastAsia="de-DE"/>
              </w:rPr>
              <w:t>Daily Allowances</w:t>
            </w:r>
            <w:r>
              <w:rPr>
                <w:rFonts w:cs="Arial"/>
                <w:lang w:eastAsia="de-DE"/>
              </w:rPr>
              <w:t xml:space="preserve"> are </w:t>
            </w:r>
            <w:r w:rsidR="002679A8">
              <w:rPr>
                <w:rFonts w:cs="Arial"/>
                <w:lang w:eastAsia="de-DE"/>
              </w:rPr>
              <w:t xml:space="preserve">intended for </w:t>
            </w:r>
            <w:r>
              <w:rPr>
                <w:rFonts w:cs="Arial"/>
                <w:lang w:eastAsia="de-DE"/>
              </w:rPr>
              <w:t>reimbursement of daily travel and lodging costs.</w:t>
            </w:r>
          </w:p>
        </w:tc>
      </w:tr>
    </w:tbl>
    <w:p w14:paraId="39003691" w14:textId="77777777" w:rsidR="003B39C6" w:rsidRDefault="003B39C6" w:rsidP="003B39C6">
      <w:pPr>
        <w:rPr>
          <w:rFonts w:eastAsiaTheme="majorEastAsia" w:cstheme="majorBidi"/>
          <w:b/>
          <w:iCs/>
          <w:color w:val="879BAA" w:themeColor="text2"/>
          <w:sz w:val="22"/>
        </w:rPr>
      </w:pPr>
      <w:r>
        <w:rPr>
          <w:rFonts w:eastAsiaTheme="majorEastAsia" w:cstheme="majorBidi"/>
          <w:b/>
          <w:iCs/>
          <w:color w:val="879BAA" w:themeColor="text2"/>
          <w:sz w:val="22"/>
        </w:rPr>
        <w:t>Specific Principles</w:t>
      </w:r>
    </w:p>
    <w:p w14:paraId="583A3BCE" w14:textId="77777777" w:rsidR="003B39C6" w:rsidRPr="00FD2D78" w:rsidRDefault="003B39C6" w:rsidP="003B39C6">
      <w:pPr>
        <w:rPr>
          <w:rFonts w:cs="Arial"/>
          <w:szCs w:val="20"/>
        </w:rPr>
      </w:pPr>
      <w:r w:rsidRPr="00FD2D78">
        <w:rPr>
          <w:rFonts w:cs="Arial"/>
          <w:szCs w:val="20"/>
        </w:rPr>
        <w:t xml:space="preserve">Besides the </w:t>
      </w:r>
      <w:hyperlink w:anchor="_Guidance_on_general" w:history="1">
        <w:r w:rsidRPr="00EC1F35">
          <w:rPr>
            <w:rStyle w:val="Hyperlink"/>
            <w:rFonts w:cs="Arial"/>
            <w:szCs w:val="20"/>
          </w:rPr>
          <w:t>general principles</w:t>
        </w:r>
      </w:hyperlink>
      <w:r w:rsidRPr="00FD2D78">
        <w:rPr>
          <w:rFonts w:cs="Arial"/>
          <w:szCs w:val="20"/>
        </w:rPr>
        <w:t xml:space="preserve"> </w:t>
      </w:r>
      <w:r>
        <w:rPr>
          <w:rFonts w:cs="Arial"/>
          <w:szCs w:val="20"/>
        </w:rPr>
        <w:t xml:space="preserve">and the </w:t>
      </w:r>
      <w:hyperlink w:anchor="TravelCostSpecificPrinciples" w:history="1">
        <w:r w:rsidRPr="00CF0EFD">
          <w:rPr>
            <w:rStyle w:val="Hyperlink"/>
            <w:rFonts w:cs="Arial"/>
            <w:szCs w:val="20"/>
          </w:rPr>
          <w:t>specific principles for travel and lodging costs</w:t>
        </w:r>
      </w:hyperlink>
      <w:r w:rsidRPr="00FD2D78">
        <w:rPr>
          <w:rFonts w:cs="Arial"/>
          <w:szCs w:val="20"/>
        </w:rPr>
        <w:t xml:space="preserve">, </w:t>
      </w:r>
      <w:r>
        <w:rPr>
          <w:rFonts w:cs="Arial"/>
          <w:szCs w:val="20"/>
        </w:rPr>
        <w:t>D</w:t>
      </w:r>
      <w:r>
        <w:rPr>
          <w:rFonts w:cs="Arial"/>
          <w:lang w:eastAsia="de-DE"/>
        </w:rPr>
        <w:t xml:space="preserve">aily Allowances </w:t>
      </w:r>
      <w:r w:rsidRPr="00FD2D78">
        <w:rPr>
          <w:rFonts w:cs="Arial"/>
          <w:szCs w:val="20"/>
        </w:rPr>
        <w:t>for third parties</w:t>
      </w:r>
      <w:r w:rsidRPr="00E45F0E">
        <w:rPr>
          <w:rFonts w:cs="Arial"/>
          <w:szCs w:val="20"/>
        </w:rPr>
        <w:t xml:space="preserve"> </w:t>
      </w:r>
      <w:r w:rsidRPr="00FD2D78">
        <w:rPr>
          <w:szCs w:val="20"/>
        </w:rPr>
        <w:t>shall comply with the following standards:</w:t>
      </w:r>
      <w:r w:rsidRPr="00FD2D78">
        <w:rPr>
          <w:rFonts w:cs="Arial"/>
          <w:szCs w:val="20"/>
        </w:rPr>
        <w:t xml:space="preserve"> </w:t>
      </w:r>
    </w:p>
    <w:p w14:paraId="4D153397" w14:textId="77777777" w:rsidR="003B39C6" w:rsidRPr="00EC1F35" w:rsidRDefault="003B39C6" w:rsidP="003B39C6">
      <w:pPr>
        <w:pStyle w:val="CopyBulletpoints"/>
        <w:ind w:left="470" w:hanging="357"/>
        <w:rPr>
          <w:rFonts w:cs="Arial"/>
          <w:szCs w:val="20"/>
          <w:u w:val="single"/>
        </w:rPr>
      </w:pPr>
      <w:r w:rsidRPr="00EC1F35">
        <w:rPr>
          <w:rFonts w:cs="Arial"/>
          <w:szCs w:val="20"/>
        </w:rPr>
        <w:t xml:space="preserve">The occasion and the amount shall, where possible, be </w:t>
      </w:r>
      <w:r w:rsidRPr="00EC1F35">
        <w:rPr>
          <w:rFonts w:cs="Arial"/>
          <w:b/>
          <w:szCs w:val="20"/>
        </w:rPr>
        <w:t>specified in the customer contract or tender documents</w:t>
      </w:r>
      <w:r w:rsidRPr="00EC1F35">
        <w:rPr>
          <w:rFonts w:cs="Arial"/>
          <w:szCs w:val="20"/>
        </w:rPr>
        <w:t>. If a Daily Allowance is requested but not yet specified, occasion and amount shall be made transparent to the customer and aligned with an authorized representative of the customer and the supervisor of the beneficiary. Try to amend the contract</w:t>
      </w:r>
      <w:r>
        <w:rPr>
          <w:rFonts w:cs="Arial"/>
          <w:szCs w:val="20"/>
        </w:rPr>
        <w:t xml:space="preserve">. </w:t>
      </w:r>
      <w:r w:rsidRPr="00EC1F35">
        <w:rPr>
          <w:rFonts w:cs="Arial"/>
          <w:szCs w:val="20"/>
        </w:rPr>
        <w:t xml:space="preserve">Have the customer guarantee if </w:t>
      </w:r>
      <w:proofErr w:type="gramStart"/>
      <w:r w:rsidRPr="00EC1F35">
        <w:rPr>
          <w:rFonts w:cs="Arial"/>
          <w:szCs w:val="20"/>
        </w:rPr>
        <w:t>possible</w:t>
      </w:r>
      <w:proofErr w:type="gramEnd"/>
      <w:r w:rsidRPr="00EC1F35">
        <w:rPr>
          <w:rFonts w:cs="Arial"/>
          <w:szCs w:val="20"/>
        </w:rPr>
        <w:t xml:space="preserve"> in the contract that the requested Daily Allowances are in line with local law</w:t>
      </w:r>
      <w:r>
        <w:rPr>
          <w:rFonts w:cs="Arial"/>
          <w:szCs w:val="20"/>
        </w:rPr>
        <w:t>;</w:t>
      </w:r>
    </w:p>
    <w:p w14:paraId="6C09C19E" w14:textId="77777777" w:rsidR="003B39C6" w:rsidRDefault="003B39C6" w:rsidP="003B39C6">
      <w:pPr>
        <w:pStyle w:val="CopyBulletpoints"/>
        <w:ind w:left="470" w:hanging="357"/>
        <w:rPr>
          <w:rFonts w:cs="Arial"/>
          <w:szCs w:val="20"/>
        </w:rPr>
      </w:pPr>
      <w:r w:rsidRPr="00FA2E84">
        <w:rPr>
          <w:rFonts w:cs="Arial"/>
          <w:szCs w:val="20"/>
        </w:rPr>
        <w:t xml:space="preserve">In case the customer did </w:t>
      </w:r>
      <w:r w:rsidRPr="00E334C1">
        <w:rPr>
          <w:rFonts w:cs="Arial"/>
          <w:b/>
          <w:szCs w:val="20"/>
        </w:rPr>
        <w:t>not determine the amount</w:t>
      </w:r>
      <w:r w:rsidRPr="00FA2E84">
        <w:rPr>
          <w:rFonts w:cs="Arial"/>
          <w:szCs w:val="20"/>
        </w:rPr>
        <w:t xml:space="preserve"> of the Daily Allowance, use the travel reimbursement guidelines of the customer for the country the Daily Allowance is granted as a guideline for what is adequate. Should the customer not have such a guideline, use Siemens travel guidelines for the country the Daily Allowance is </w:t>
      </w:r>
      <w:proofErr w:type="gramStart"/>
      <w:r w:rsidRPr="00FA2E84">
        <w:rPr>
          <w:rFonts w:cs="Arial"/>
          <w:szCs w:val="20"/>
        </w:rPr>
        <w:t>granted;</w:t>
      </w:r>
      <w:proofErr w:type="gramEnd"/>
    </w:p>
    <w:p w14:paraId="728A3152" w14:textId="77777777" w:rsidR="003B39C6" w:rsidRDefault="003B39C6" w:rsidP="003B39C6">
      <w:pPr>
        <w:pStyle w:val="CopyBulletpoints"/>
        <w:ind w:left="470" w:hanging="357"/>
        <w:rPr>
          <w:rFonts w:cs="Arial"/>
          <w:szCs w:val="20"/>
        </w:rPr>
      </w:pPr>
      <w:r w:rsidRPr="00E20CD7">
        <w:rPr>
          <w:rFonts w:cs="Arial"/>
          <w:szCs w:val="20"/>
        </w:rPr>
        <w:t xml:space="preserve">In case an authorized representative of the </w:t>
      </w:r>
      <w:r w:rsidRPr="00EC1F35">
        <w:rPr>
          <w:rFonts w:cs="Arial"/>
          <w:b/>
          <w:szCs w:val="20"/>
        </w:rPr>
        <w:t>customer requests</w:t>
      </w:r>
      <w:r w:rsidRPr="00E20CD7">
        <w:rPr>
          <w:rFonts w:cs="Arial"/>
          <w:szCs w:val="20"/>
        </w:rPr>
        <w:t xml:space="preserve"> Siemens </w:t>
      </w:r>
      <w:r w:rsidRPr="00EC1F35">
        <w:rPr>
          <w:rFonts w:cs="Arial"/>
          <w:b/>
          <w:szCs w:val="20"/>
        </w:rPr>
        <w:t>to transfer the Daily Allowance to his employees directly</w:t>
      </w:r>
      <w:r w:rsidRPr="00E20CD7">
        <w:rPr>
          <w:rFonts w:cs="Arial"/>
          <w:szCs w:val="20"/>
        </w:rPr>
        <w:t xml:space="preserve"> for legitimate reasons (e.g. money transfer or currency restrictions) indicating the account number(s), Daily Allowances may be paid to individual accounts, unless such transfer infringes applicable law or Siemens rules. The beneficiary must acknowledge the receipt. Customer’s request and beneficiary’s receipt must be documented. In all communications accompanying a payment or reimbursement, it must be clearly stated that it is being made to a recipient organization and not for the benefit of an individual </w:t>
      </w:r>
      <w:proofErr w:type="gramStart"/>
      <w:r w:rsidRPr="00E20CD7">
        <w:rPr>
          <w:rFonts w:cs="Arial"/>
          <w:szCs w:val="20"/>
        </w:rPr>
        <w:t>person</w:t>
      </w:r>
      <w:r>
        <w:rPr>
          <w:rFonts w:cs="Arial"/>
          <w:szCs w:val="20"/>
        </w:rPr>
        <w:t>;</w:t>
      </w:r>
      <w:proofErr w:type="gramEnd"/>
    </w:p>
    <w:p w14:paraId="3A92FA38" w14:textId="77777777" w:rsidR="003B39C6" w:rsidRDefault="003B39C6" w:rsidP="003B39C6">
      <w:pPr>
        <w:pStyle w:val="CopyBulletpoints"/>
        <w:ind w:left="470" w:hanging="357"/>
        <w:rPr>
          <w:rFonts w:cs="Arial"/>
          <w:szCs w:val="20"/>
        </w:rPr>
      </w:pPr>
      <w:r w:rsidRPr="00EC1F35">
        <w:rPr>
          <w:rFonts w:cs="Arial"/>
          <w:szCs w:val="20"/>
        </w:rPr>
        <w:t xml:space="preserve">If </w:t>
      </w:r>
      <w:r>
        <w:rPr>
          <w:rFonts w:cs="Arial"/>
          <w:szCs w:val="20"/>
        </w:rPr>
        <w:t xml:space="preserve">payment of Daily Allowances to a </w:t>
      </w:r>
      <w:r w:rsidRPr="00EC1F35">
        <w:rPr>
          <w:rFonts w:cs="Arial"/>
          <w:b/>
          <w:szCs w:val="20"/>
        </w:rPr>
        <w:t>third party</w:t>
      </w:r>
      <w:r>
        <w:rPr>
          <w:rFonts w:cs="Arial"/>
          <w:szCs w:val="20"/>
        </w:rPr>
        <w:t xml:space="preserve"> for </w:t>
      </w:r>
      <w:r w:rsidRPr="00EC1F35">
        <w:rPr>
          <w:rFonts w:cs="Arial"/>
          <w:b/>
          <w:szCs w:val="20"/>
        </w:rPr>
        <w:t>forwarding to the beneficiaries</w:t>
      </w:r>
      <w:r w:rsidRPr="00EC1F35">
        <w:rPr>
          <w:rFonts w:cs="Arial"/>
          <w:szCs w:val="20"/>
        </w:rPr>
        <w:t xml:space="preserve"> is absolutely necessary for legitimate reasons (e.g. money transfer or currency restrictions), confirm this with the customer and have the customer certify that this is in line with local law. Customer confirmation and receipt of the Daily Allowance by the beneficiaries shall be </w:t>
      </w:r>
      <w:proofErr w:type="gramStart"/>
      <w:r w:rsidRPr="00EC1F35">
        <w:rPr>
          <w:rFonts w:cs="Arial"/>
          <w:szCs w:val="20"/>
        </w:rPr>
        <w:t>documented;</w:t>
      </w:r>
      <w:proofErr w:type="gramEnd"/>
    </w:p>
    <w:p w14:paraId="339611AF" w14:textId="77777777" w:rsidR="003B39C6" w:rsidRPr="00F27E99" w:rsidRDefault="003B39C6" w:rsidP="003B39C6">
      <w:pPr>
        <w:pStyle w:val="CopyBulletpoints"/>
        <w:ind w:left="470" w:hanging="357"/>
        <w:rPr>
          <w:rFonts w:cs="Arial"/>
          <w:szCs w:val="20"/>
        </w:rPr>
      </w:pPr>
      <w:r w:rsidRPr="00EC1F35">
        <w:rPr>
          <w:rFonts w:cs="Arial"/>
          <w:szCs w:val="20"/>
        </w:rPr>
        <w:t xml:space="preserve">The beneficiary shall be reminded that the Daily Allowance might have to be </w:t>
      </w:r>
      <w:r w:rsidRPr="00EC1F35">
        <w:rPr>
          <w:rFonts w:cs="Arial"/>
          <w:b/>
          <w:szCs w:val="20"/>
        </w:rPr>
        <w:t>declared under local tax laws</w:t>
      </w:r>
      <w:r w:rsidRPr="00EC1F35">
        <w:rPr>
          <w:rFonts w:cs="Arial"/>
          <w:szCs w:val="20"/>
        </w:rPr>
        <w:t xml:space="preserve"> and that Siemens does not take over the tax. The customer or the beneficiary must evaluate and implement any such </w:t>
      </w:r>
      <w:proofErr w:type="gramStart"/>
      <w:r w:rsidRPr="00EC1F35">
        <w:rPr>
          <w:rFonts w:cs="Arial"/>
          <w:szCs w:val="20"/>
        </w:rPr>
        <w:t>requirement;</w:t>
      </w:r>
      <w:proofErr w:type="gramEnd"/>
    </w:p>
    <w:p w14:paraId="1F312A29" w14:textId="3B12B92E" w:rsidR="003B39C6" w:rsidRDefault="003B39C6" w:rsidP="003B39C6">
      <w:pPr>
        <w:pStyle w:val="CopyBulletpoints"/>
        <w:spacing w:after="140"/>
        <w:ind w:left="470" w:hanging="357"/>
        <w:rPr>
          <w:rFonts w:cs="Arial"/>
          <w:szCs w:val="20"/>
        </w:rPr>
      </w:pPr>
      <w:r>
        <w:rPr>
          <w:rFonts w:cs="Arial"/>
          <w:szCs w:val="20"/>
          <w:lang w:bidi="de-DE"/>
        </w:rPr>
        <w:t xml:space="preserve">There are additional prerequisites for </w:t>
      </w:r>
      <w:r w:rsidRPr="00E334C1">
        <w:rPr>
          <w:rFonts w:cs="Arial"/>
          <w:b/>
          <w:szCs w:val="20"/>
          <w:lang w:bidi="de-DE"/>
        </w:rPr>
        <w:t>handing out cash</w:t>
      </w:r>
      <w:r>
        <w:rPr>
          <w:rFonts w:cs="Arial"/>
          <w:szCs w:val="20"/>
          <w:lang w:bidi="de-DE"/>
        </w:rPr>
        <w:t xml:space="preserve"> as set forth in </w:t>
      </w:r>
      <w:hyperlink r:id="rId16" w:history="1">
        <w:r>
          <w:rPr>
            <w:rStyle w:val="Hyperlink"/>
            <w:rFonts w:cs="Arial"/>
            <w:szCs w:val="20"/>
            <w:lang w:bidi="de-DE"/>
          </w:rPr>
          <w:t>Siemens Circular No. 208</w:t>
        </w:r>
      </w:hyperlink>
      <w:r>
        <w:rPr>
          <w:rFonts w:cs="Arial"/>
          <w:szCs w:val="20"/>
          <w:lang w:bidi="de-DE"/>
        </w:rPr>
        <w:t>. Avoid handing out cash</w:t>
      </w:r>
      <w:r w:rsidR="00666E67">
        <w:rPr>
          <w:rFonts w:cs="Arial"/>
          <w:szCs w:val="20"/>
          <w:lang w:bidi="de-DE"/>
        </w:rPr>
        <w:t xml:space="preserve">, see also </w:t>
      </w:r>
      <w:hyperlink r:id="rId17" w:history="1">
        <w:r w:rsidR="004D3C1D">
          <w:rPr>
            <w:rStyle w:val="Hyperlink"/>
            <w:rFonts w:cs="Arial"/>
            <w:szCs w:val="20"/>
            <w:lang w:bidi="de-DE"/>
          </w:rPr>
          <w:t>C</w:t>
        </w:r>
        <w:r w:rsidR="00666E67">
          <w:rPr>
            <w:rStyle w:val="Hyperlink"/>
            <w:rFonts w:cs="Arial"/>
            <w:szCs w:val="20"/>
            <w:lang w:bidi="de-DE"/>
          </w:rPr>
          <w:t>hapter C</w:t>
        </w:r>
      </w:hyperlink>
      <w:r w:rsidR="00666E67">
        <w:rPr>
          <w:rFonts w:cs="Arial"/>
          <w:szCs w:val="20"/>
          <w:lang w:bidi="de-DE"/>
        </w:rPr>
        <w:t>.</w:t>
      </w:r>
    </w:p>
    <w:p w14:paraId="3C2B3A97" w14:textId="73F06568" w:rsidR="003B39C6" w:rsidRDefault="003B39C6" w:rsidP="003B39C6">
      <w:pPr>
        <w:pStyle w:val="berschrift3"/>
        <w:spacing w:after="240"/>
        <w:jc w:val="both"/>
      </w:pPr>
      <w:bookmarkStart w:id="23" w:name="_1.2.4._Other_Contributions"/>
      <w:bookmarkEnd w:id="23"/>
      <w:r>
        <w:t>1.2.4. Other Cont</w:t>
      </w:r>
      <w:r w:rsidR="003B7955">
        <w:t>ributions without Consideration</w:t>
      </w:r>
    </w:p>
    <w:tbl>
      <w:tblPr>
        <w:tblStyle w:val="Tabellenraster"/>
        <w:tblW w:w="0" w:type="auto"/>
        <w:tblLook w:val="04A0" w:firstRow="1" w:lastRow="0" w:firstColumn="1" w:lastColumn="0" w:noHBand="0" w:noVBand="1"/>
      </w:tblPr>
      <w:tblGrid>
        <w:gridCol w:w="1214"/>
        <w:gridCol w:w="9411"/>
      </w:tblGrid>
      <w:tr w:rsidR="003B39C6" w14:paraId="6A1AAEA5" w14:textId="77777777" w:rsidTr="003B39C6">
        <w:trPr>
          <w:trHeight w:val="695"/>
        </w:trPr>
        <w:tc>
          <w:tcPr>
            <w:tcW w:w="1214" w:type="dxa"/>
            <w:shd w:val="clear" w:color="auto" w:fill="auto"/>
          </w:tcPr>
          <w:p w14:paraId="61738892" w14:textId="77777777" w:rsidR="003B39C6" w:rsidRDefault="003B39C6" w:rsidP="003B39C6">
            <w:pPr>
              <w:pStyle w:val="KeinAbsatzformat"/>
              <w:rPr>
                <w:sz w:val="22"/>
                <w:szCs w:val="22"/>
                <w:lang w:val="en-US"/>
              </w:rPr>
            </w:pPr>
            <w:r>
              <w:rPr>
                <w:noProof/>
                <w:sz w:val="22"/>
                <w:szCs w:val="22"/>
                <w:lang w:eastAsia="de-DE"/>
              </w:rPr>
              <w:lastRenderedPageBreak/>
              <w:drawing>
                <wp:anchor distT="0" distB="0" distL="114300" distR="114300" simplePos="0" relativeHeight="251658249" behindDoc="1" locked="0" layoutInCell="1" allowOverlap="1" wp14:anchorId="427E5462" wp14:editId="03781769">
                  <wp:simplePos x="0" y="0"/>
                  <wp:positionH relativeFrom="column">
                    <wp:posOffset>-7620</wp:posOffset>
                  </wp:positionH>
                  <wp:positionV relativeFrom="paragraph">
                    <wp:posOffset>0</wp:posOffset>
                  </wp:positionV>
                  <wp:extent cx="243205" cy="251460"/>
                  <wp:effectExtent l="0" t="0" r="4445" b="0"/>
                  <wp:wrapTight wrapText="bothSides">
                    <wp:wrapPolygon edited="0">
                      <wp:start x="0" y="0"/>
                      <wp:lineTo x="0" y="19636"/>
                      <wp:lineTo x="16919" y="19636"/>
                      <wp:lineTo x="20303" y="13091"/>
                      <wp:lineTo x="20303" y="4909"/>
                      <wp:lineTo x="16919" y="0"/>
                      <wp:lineTo x="0" y="0"/>
                    </wp:wrapPolygon>
                  </wp:wrapTight>
                  <wp:docPr id="14" name="Grafik 2" descr="\\psf\Home\\Desktop\00_heute\SIE_SCL_140916_Wordtemplate_Legal_Handbook\Examp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esktop\00_heute\SIE_SCL_140916_Wordtemplate_Legal_Handbook\Example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3205" cy="251460"/>
                          </a:xfrm>
                          <a:prstGeom prst="rect">
                            <a:avLst/>
                          </a:prstGeom>
                          <a:noFill/>
                          <a:ln>
                            <a:noFill/>
                          </a:ln>
                        </pic:spPr>
                      </pic:pic>
                    </a:graphicData>
                  </a:graphic>
                </wp:anchor>
              </w:drawing>
            </w:r>
          </w:p>
        </w:tc>
        <w:tc>
          <w:tcPr>
            <w:tcW w:w="9411" w:type="dxa"/>
            <w:shd w:val="clear" w:color="auto" w:fill="auto"/>
          </w:tcPr>
          <w:p w14:paraId="284B4173" w14:textId="4C9CF348" w:rsidR="003B39C6" w:rsidRPr="00655F45" w:rsidRDefault="003B39C6" w:rsidP="001A64CD">
            <w:pPr>
              <w:rPr>
                <w:sz w:val="22"/>
              </w:rPr>
            </w:pPr>
            <w:r>
              <w:rPr>
                <w:rFonts w:cs="Arial"/>
                <w:b/>
                <w:lang w:eastAsia="de-DE"/>
              </w:rPr>
              <w:t xml:space="preserve">Other Contributions Without Consideration </w:t>
            </w:r>
            <w:r>
              <w:rPr>
                <w:rFonts w:cs="Arial"/>
                <w:lang w:eastAsia="de-DE"/>
              </w:rPr>
              <w:t xml:space="preserve">include any </w:t>
            </w:r>
            <w:r w:rsidR="001A64CD">
              <w:rPr>
                <w:rFonts w:cs="Arial"/>
                <w:lang w:eastAsia="de-DE"/>
              </w:rPr>
              <w:br/>
            </w:r>
            <w:r w:rsidRPr="00EC1F35">
              <w:rPr>
                <w:rFonts w:cs="Arial"/>
                <w:u w:val="single"/>
                <w:lang w:eastAsia="de-DE"/>
              </w:rPr>
              <w:t>voluntary contributions to entities</w:t>
            </w:r>
            <w:r w:rsidRPr="00505072">
              <w:rPr>
                <w:rFonts w:cs="Arial"/>
                <w:lang w:eastAsia="de-DE"/>
              </w:rPr>
              <w:t xml:space="preserve"> </w:t>
            </w:r>
            <w:r>
              <w:rPr>
                <w:rFonts w:cs="Arial"/>
                <w:lang w:eastAsia="de-DE"/>
              </w:rPr>
              <w:t xml:space="preserve">(as opposed to individuals) </w:t>
            </w:r>
            <w:r w:rsidRPr="00505072">
              <w:rPr>
                <w:rFonts w:cs="Arial"/>
                <w:lang w:eastAsia="de-DE"/>
              </w:rPr>
              <w:t>in</w:t>
            </w:r>
            <w:r>
              <w:rPr>
                <w:rFonts w:cs="Arial"/>
                <w:lang w:eastAsia="de-DE"/>
              </w:rPr>
              <w:t xml:space="preserve"> </w:t>
            </w:r>
            <w:r w:rsidR="001A64CD">
              <w:rPr>
                <w:rFonts w:cs="Arial"/>
                <w:lang w:eastAsia="de-DE"/>
              </w:rPr>
              <w:br/>
            </w:r>
            <w:r>
              <w:rPr>
                <w:rFonts w:cs="Arial"/>
                <w:lang w:eastAsia="de-DE"/>
              </w:rPr>
              <w:t xml:space="preserve">money or in kind without consideration that have a </w:t>
            </w:r>
            <w:r w:rsidR="001A64CD">
              <w:rPr>
                <w:rFonts w:cs="Arial"/>
                <w:u w:val="single"/>
                <w:lang w:eastAsia="de-DE"/>
              </w:rPr>
              <w:t>commercial</w:t>
            </w:r>
            <w:r w:rsidR="001A64CD">
              <w:rPr>
                <w:rFonts w:cs="Arial"/>
                <w:u w:val="single"/>
                <w:lang w:eastAsia="de-DE"/>
              </w:rPr>
              <w:br/>
            </w:r>
            <w:r w:rsidRPr="00EC1F35">
              <w:rPr>
                <w:rFonts w:cs="Arial"/>
                <w:u w:val="single"/>
                <w:lang w:eastAsia="de-DE"/>
              </w:rPr>
              <w:t>background</w:t>
            </w:r>
            <w:r w:rsidRPr="007A1202">
              <w:rPr>
                <w:rFonts w:cs="Arial"/>
                <w:lang w:eastAsia="de-DE"/>
              </w:rPr>
              <w:t>,</w:t>
            </w:r>
            <w:r>
              <w:rPr>
                <w:rFonts w:cs="Arial"/>
                <w:lang w:eastAsia="de-DE"/>
              </w:rPr>
              <w:t xml:space="preserve"> such as an existing business relationship with the </w:t>
            </w:r>
            <w:r w:rsidR="001A64CD">
              <w:rPr>
                <w:rFonts w:cs="Arial"/>
                <w:lang w:eastAsia="de-DE"/>
              </w:rPr>
              <w:br/>
            </w:r>
            <w:r>
              <w:rPr>
                <w:rFonts w:cs="Arial"/>
                <w:lang w:eastAsia="de-DE"/>
              </w:rPr>
              <w:t xml:space="preserve">recipient, but that do </w:t>
            </w:r>
            <w:r w:rsidRPr="00E334C1">
              <w:rPr>
                <w:rFonts w:cs="Arial"/>
                <w:u w:val="single"/>
                <w:lang w:eastAsia="de-DE"/>
              </w:rPr>
              <w:t>not</w:t>
            </w:r>
            <w:r>
              <w:rPr>
                <w:rFonts w:cs="Arial"/>
                <w:lang w:eastAsia="de-DE"/>
              </w:rPr>
              <w:t xml:space="preserve"> meet the prerequisites for a classification </w:t>
            </w:r>
            <w:r w:rsidR="001A64CD">
              <w:rPr>
                <w:rFonts w:cs="Arial"/>
                <w:lang w:eastAsia="de-DE"/>
              </w:rPr>
              <w:br/>
            </w:r>
            <w:r>
              <w:rPr>
                <w:rFonts w:cs="Arial"/>
                <w:lang w:eastAsia="de-DE"/>
              </w:rPr>
              <w:t xml:space="preserve">as </w:t>
            </w:r>
            <w:r w:rsidRPr="00EC1F35">
              <w:rPr>
                <w:rFonts w:cs="Arial"/>
                <w:u w:val="single"/>
                <w:lang w:eastAsia="de-DE"/>
              </w:rPr>
              <w:t>a Sponsoring or a Donation / Charitable Contribution</w:t>
            </w:r>
            <w:r>
              <w:rPr>
                <w:rFonts w:cs="Arial"/>
                <w:lang w:eastAsia="de-DE"/>
              </w:rPr>
              <w:t xml:space="preserve"> as set forth</w:t>
            </w:r>
            <w:r w:rsidR="001A64CD">
              <w:rPr>
                <w:rFonts w:cs="Arial"/>
                <w:lang w:eastAsia="de-DE"/>
              </w:rPr>
              <w:br/>
            </w:r>
            <w:r>
              <w:rPr>
                <w:rFonts w:cs="Arial"/>
                <w:lang w:eastAsia="de-DE"/>
              </w:rPr>
              <w:t xml:space="preserve">under </w:t>
            </w:r>
            <w:hyperlink r:id="rId18" w:history="1">
              <w:r>
                <w:rPr>
                  <w:rStyle w:val="Hyperlink"/>
                  <w:szCs w:val="20"/>
                  <w:lang w:val="en-GB" w:bidi="de-DE"/>
                </w:rPr>
                <w:t>Siemens Circular No. 186”</w:t>
              </w:r>
            </w:hyperlink>
            <w:r>
              <w:rPr>
                <w:rFonts w:cs="Arial"/>
                <w:lang w:eastAsia="de-DE"/>
              </w:rPr>
              <w:t>.</w:t>
            </w:r>
          </w:p>
        </w:tc>
      </w:tr>
    </w:tbl>
    <w:p w14:paraId="1CAACFED" w14:textId="77777777" w:rsidR="003B39C6" w:rsidRDefault="003B39C6" w:rsidP="003B39C6">
      <w:pPr>
        <w:rPr>
          <w:rFonts w:cs="Arial"/>
          <w:lang w:eastAsia="de-DE"/>
        </w:rPr>
      </w:pPr>
      <w:r>
        <w:t>Siemens provides Contributions with commercial background to existing or potential business partners or to other recipients to pursue legitimate business interests, such as building or nurturing contacts with customers and suppliers.</w:t>
      </w:r>
      <w:r w:rsidRPr="006F4079">
        <w:rPr>
          <w:rFonts w:cs="Arial"/>
          <w:lang w:eastAsia="de-DE"/>
        </w:rPr>
        <w:t xml:space="preserve"> </w:t>
      </w:r>
    </w:p>
    <w:p w14:paraId="27567C20" w14:textId="35138FAB" w:rsidR="003B39C6" w:rsidRDefault="003B39C6" w:rsidP="003B39C6">
      <w:r>
        <w:rPr>
          <w:rFonts w:cs="Arial"/>
          <w:lang w:eastAsia="de-DE"/>
        </w:rPr>
        <w:t>For example, a contribution to a customer’s or supplier’s company party would qualify as “Other Contribution without Consideration”. A contribution is still considered “without Consideration” if Siemens is offered a consideration in return that is of no or little value to Siemens.</w:t>
      </w:r>
    </w:p>
    <w:p w14:paraId="35AB8DF1" w14:textId="77777777" w:rsidR="003B39C6" w:rsidRDefault="003B39C6" w:rsidP="003B39C6">
      <w:pPr>
        <w:rPr>
          <w:rFonts w:eastAsiaTheme="majorEastAsia" w:cstheme="majorBidi"/>
          <w:b/>
          <w:iCs/>
          <w:color w:val="879BAA" w:themeColor="text2"/>
          <w:sz w:val="22"/>
        </w:rPr>
      </w:pPr>
      <w:r>
        <w:rPr>
          <w:rFonts w:eastAsiaTheme="majorEastAsia" w:cstheme="majorBidi"/>
          <w:b/>
          <w:iCs/>
          <w:color w:val="879BAA" w:themeColor="text2"/>
          <w:sz w:val="22"/>
        </w:rPr>
        <w:t>Exceptions</w:t>
      </w:r>
    </w:p>
    <w:p w14:paraId="4504DD1C" w14:textId="3CE0D6FC" w:rsidR="007A56D8" w:rsidRPr="007A56D8" w:rsidRDefault="003B39C6" w:rsidP="007A56D8">
      <w:pPr>
        <w:spacing w:after="0"/>
        <w:rPr>
          <w:rFonts w:cs="Arial"/>
          <w:lang w:eastAsia="de-DE"/>
        </w:rPr>
      </w:pPr>
      <w:r>
        <w:rPr>
          <w:rFonts w:cs="Arial"/>
          <w:lang w:eastAsia="de-DE"/>
        </w:rPr>
        <w:t xml:space="preserve">The following expenditures do not qualify as </w:t>
      </w:r>
      <w:r w:rsidR="007A56D8">
        <w:rPr>
          <w:rFonts w:cs="Arial"/>
          <w:lang w:eastAsia="de-DE"/>
        </w:rPr>
        <w:t xml:space="preserve">Other </w:t>
      </w:r>
      <w:r>
        <w:rPr>
          <w:rFonts w:cs="Arial"/>
          <w:lang w:eastAsia="de-DE"/>
        </w:rPr>
        <w:t>Contribution</w:t>
      </w:r>
      <w:r w:rsidR="007A56D8">
        <w:rPr>
          <w:rFonts w:cs="Arial"/>
          <w:lang w:eastAsia="de-DE"/>
        </w:rPr>
        <w:t xml:space="preserve"> without Consideration</w:t>
      </w:r>
      <w:r>
        <w:rPr>
          <w:rFonts w:cs="Arial"/>
          <w:lang w:eastAsia="de-DE"/>
        </w:rPr>
        <w:t>:</w:t>
      </w:r>
    </w:p>
    <w:p w14:paraId="258EC235" w14:textId="77777777" w:rsidR="003B39C6" w:rsidRDefault="003B39C6" w:rsidP="003B39C6">
      <w:pPr>
        <w:pStyle w:val="CopyBulletpoints"/>
        <w:ind w:left="470" w:hanging="357"/>
        <w:rPr>
          <w:rFonts w:cs="Arial"/>
          <w:szCs w:val="20"/>
        </w:rPr>
      </w:pPr>
      <w:r>
        <w:rPr>
          <w:rFonts w:cs="Arial"/>
          <w:szCs w:val="20"/>
        </w:rPr>
        <w:t>Mandatory charges pursuant to statutory obligations (for example, fees</w:t>
      </w:r>
      <w:proofErr w:type="gramStart"/>
      <w:r>
        <w:rPr>
          <w:rFonts w:cs="Arial"/>
          <w:szCs w:val="20"/>
        </w:rPr>
        <w:t>);</w:t>
      </w:r>
      <w:proofErr w:type="gramEnd"/>
    </w:p>
    <w:p w14:paraId="70BD2732" w14:textId="781C176C" w:rsidR="003B39C6" w:rsidRDefault="003B39C6" w:rsidP="003B39C6">
      <w:pPr>
        <w:pStyle w:val="CopyBulletpoints"/>
        <w:ind w:left="470" w:hanging="357"/>
        <w:rPr>
          <w:rFonts w:cs="Arial"/>
          <w:szCs w:val="20"/>
        </w:rPr>
      </w:pPr>
      <w:r>
        <w:rPr>
          <w:rFonts w:cs="Arial"/>
          <w:szCs w:val="20"/>
        </w:rPr>
        <w:t xml:space="preserve">Additional contributions in connection with existing Memberships (these are to be registered in the </w:t>
      </w:r>
      <w:proofErr w:type="spellStart"/>
      <w:r>
        <w:rPr>
          <w:rFonts w:cs="Arial"/>
          <w:szCs w:val="20"/>
        </w:rPr>
        <w:t>SpoDoM</w:t>
      </w:r>
      <w:proofErr w:type="spellEnd"/>
      <w:r>
        <w:rPr>
          <w:rFonts w:cs="Arial"/>
          <w:szCs w:val="20"/>
        </w:rPr>
        <w:t xml:space="preserve"> tool in the category Memberships of </w:t>
      </w:r>
      <w:hyperlink r:id="rId19" w:history="1">
        <w:r>
          <w:rPr>
            <w:rStyle w:val="Hyperlink"/>
            <w:rFonts w:cs="Arial"/>
            <w:szCs w:val="20"/>
          </w:rPr>
          <w:t>Siemens Circular No. 186</w:t>
        </w:r>
      </w:hyperlink>
      <w:r>
        <w:rPr>
          <w:rFonts w:cs="Arial"/>
          <w:szCs w:val="20"/>
        </w:rPr>
        <w:t>);</w:t>
      </w:r>
    </w:p>
    <w:p w14:paraId="23958EFE" w14:textId="77777777" w:rsidR="003B39C6" w:rsidRDefault="003B39C6" w:rsidP="003B39C6">
      <w:pPr>
        <w:pStyle w:val="CopyBulletpoints"/>
        <w:ind w:left="470" w:hanging="357"/>
        <w:rPr>
          <w:rFonts w:cs="Arial"/>
          <w:szCs w:val="20"/>
        </w:rPr>
      </w:pPr>
      <w:r>
        <w:rPr>
          <w:rFonts w:cs="Arial"/>
          <w:szCs w:val="20"/>
        </w:rPr>
        <w:t xml:space="preserve">Items from the Siemens advertising media </w:t>
      </w:r>
      <w:proofErr w:type="gramStart"/>
      <w:r>
        <w:rPr>
          <w:rFonts w:cs="Arial"/>
          <w:szCs w:val="20"/>
        </w:rPr>
        <w:t>catalogue;</w:t>
      </w:r>
      <w:proofErr w:type="gramEnd"/>
    </w:p>
    <w:p w14:paraId="3B9B7A6B" w14:textId="77777777" w:rsidR="003B39C6" w:rsidRDefault="003B39C6" w:rsidP="003B39C6">
      <w:pPr>
        <w:pStyle w:val="CopyBulletpoints"/>
        <w:ind w:left="470" w:hanging="357"/>
        <w:rPr>
          <w:rFonts w:cs="Arial"/>
          <w:szCs w:val="20"/>
        </w:rPr>
      </w:pPr>
      <w:r>
        <w:rPr>
          <w:rFonts w:cs="Arial"/>
          <w:szCs w:val="20"/>
        </w:rPr>
        <w:t xml:space="preserve">Deliveries of products or services free of charge if they have been </w:t>
      </w:r>
      <w:r w:rsidRPr="00EC1F35">
        <w:rPr>
          <w:rFonts w:cs="Arial"/>
          <w:szCs w:val="20"/>
          <w:u w:val="single"/>
        </w:rPr>
        <w:t>contractually agreed upon</w:t>
      </w:r>
      <w:r>
        <w:rPr>
          <w:rFonts w:cs="Arial"/>
          <w:szCs w:val="20"/>
        </w:rPr>
        <w:t xml:space="preserve"> and they:</w:t>
      </w:r>
    </w:p>
    <w:p w14:paraId="56B43409" w14:textId="77777777" w:rsidR="003B39C6" w:rsidRDefault="003B39C6" w:rsidP="003B39C6">
      <w:pPr>
        <w:pStyle w:val="CopyBulletpoints"/>
        <w:numPr>
          <w:ilvl w:val="1"/>
          <w:numId w:val="1"/>
        </w:numPr>
      </w:pPr>
      <w:r>
        <w:t>are required as samples for a specific, contractually defined business purpose and are appropriate and permitted under local law; or</w:t>
      </w:r>
    </w:p>
    <w:p w14:paraId="5A3D1CF4" w14:textId="77777777" w:rsidR="003B39C6" w:rsidRDefault="003B39C6" w:rsidP="003B39C6">
      <w:pPr>
        <w:pStyle w:val="CopyBulletpoints"/>
        <w:numPr>
          <w:ilvl w:val="1"/>
          <w:numId w:val="1"/>
        </w:numPr>
      </w:pPr>
      <w:r>
        <w:t>have been agreed upon as a pricing tool in connection with a customer order (for example, free additional services or spare parts deliveries for a system supplied by Siemens); or</w:t>
      </w:r>
    </w:p>
    <w:p w14:paraId="758C94C1" w14:textId="68BB93A7" w:rsidR="003B39C6" w:rsidRDefault="003B39C6" w:rsidP="003B39C6">
      <w:pPr>
        <w:pStyle w:val="CopyBulletpoints"/>
        <w:numPr>
          <w:ilvl w:val="1"/>
          <w:numId w:val="1"/>
        </w:numPr>
        <w:spacing w:after="140"/>
        <w:ind w:left="1434" w:hanging="357"/>
      </w:pPr>
      <w:r>
        <w:t xml:space="preserve">are implemented as part of a research partnership in accordance with </w:t>
      </w:r>
      <w:hyperlink r:id="rId20" w:history="1">
        <w:r>
          <w:rPr>
            <w:rStyle w:val="Hyperlink"/>
            <w:szCs w:val="20"/>
            <w:lang w:bidi="de-DE"/>
          </w:rPr>
          <w:t>Siemens Circular No. 212</w:t>
        </w:r>
      </w:hyperlink>
      <w:r>
        <w:t>, in which Siemens has obtained defined considerations, such as rights to use the research results.</w:t>
      </w:r>
    </w:p>
    <w:p w14:paraId="6730B8A4" w14:textId="77777777" w:rsidR="003B39C6" w:rsidRDefault="003B39C6" w:rsidP="003B39C6">
      <w:pPr>
        <w:pStyle w:val="CopyBulletpoints"/>
        <w:rPr>
          <w:lang w:eastAsia="de-DE"/>
        </w:rPr>
      </w:pPr>
      <w:r>
        <w:rPr>
          <w:lang w:eastAsia="de-DE"/>
        </w:rPr>
        <w:t xml:space="preserve">Sponsoring Activities, Memberships, Donations and Charitable Contributions provided to third party corporations and other external entities are governed by </w:t>
      </w:r>
      <w:hyperlink r:id="rId21" w:history="1">
        <w:r>
          <w:rPr>
            <w:rStyle w:val="Hyperlink"/>
            <w:rFonts w:cs="Arial"/>
            <w:lang w:eastAsia="de-DE"/>
          </w:rPr>
          <w:t>Siemens Circular No. 186</w:t>
        </w:r>
      </w:hyperlink>
      <w:r>
        <w:rPr>
          <w:lang w:eastAsia="de-DE"/>
        </w:rPr>
        <w:t xml:space="preserve"> and the pertinent explanatory documents.</w:t>
      </w:r>
    </w:p>
    <w:p w14:paraId="5328523B" w14:textId="77777777" w:rsidR="003B39C6" w:rsidRDefault="003B39C6" w:rsidP="003B39C6">
      <w:pPr>
        <w:rPr>
          <w:rFonts w:eastAsiaTheme="majorEastAsia" w:cstheme="majorBidi"/>
          <w:b/>
          <w:iCs/>
          <w:color w:val="879BAA" w:themeColor="text2"/>
          <w:sz w:val="22"/>
        </w:rPr>
      </w:pPr>
      <w:r>
        <w:rPr>
          <w:rFonts w:eastAsiaTheme="majorEastAsia" w:cstheme="majorBidi"/>
          <w:b/>
          <w:iCs/>
          <w:color w:val="879BAA" w:themeColor="text2"/>
          <w:sz w:val="22"/>
        </w:rPr>
        <w:t>Specific Principles</w:t>
      </w:r>
    </w:p>
    <w:p w14:paraId="4CE7756E" w14:textId="77777777" w:rsidR="003B39C6" w:rsidRPr="00FD2D78" w:rsidRDefault="003B39C6" w:rsidP="003B39C6">
      <w:pPr>
        <w:rPr>
          <w:rFonts w:cs="Arial"/>
          <w:szCs w:val="20"/>
        </w:rPr>
      </w:pPr>
      <w:r w:rsidRPr="00FD2D78">
        <w:rPr>
          <w:rFonts w:cs="Arial"/>
          <w:szCs w:val="20"/>
        </w:rPr>
        <w:t xml:space="preserve">Besides the </w:t>
      </w:r>
      <w:hyperlink w:anchor="_Guidance_on_general" w:history="1">
        <w:r w:rsidRPr="00EC1F35">
          <w:rPr>
            <w:rStyle w:val="Hyperlink"/>
            <w:rFonts w:cs="Arial"/>
            <w:szCs w:val="20"/>
          </w:rPr>
          <w:t>general principles</w:t>
        </w:r>
      </w:hyperlink>
      <w:r w:rsidRPr="00F73F59">
        <w:rPr>
          <w:rFonts w:cs="Arial"/>
          <w:szCs w:val="20"/>
        </w:rPr>
        <w:t xml:space="preserve"> </w:t>
      </w:r>
      <w:r>
        <w:rPr>
          <w:rFonts w:cs="Arial"/>
          <w:szCs w:val="20"/>
        </w:rPr>
        <w:t xml:space="preserve">and </w:t>
      </w:r>
      <w:hyperlink w:anchor="_1.5._Specific_Requirements*" w:history="1">
        <w:r w:rsidRPr="00627079">
          <w:rPr>
            <w:rStyle w:val="Hyperlink"/>
            <w:rFonts w:cs="Arial"/>
            <w:szCs w:val="20"/>
          </w:rPr>
          <w:t xml:space="preserve">possibly </w:t>
        </w:r>
        <w:r w:rsidRPr="00EC1F35">
          <w:rPr>
            <w:rStyle w:val="Hyperlink"/>
            <w:rFonts w:cs="Arial"/>
            <w:szCs w:val="20"/>
          </w:rPr>
          <w:t>country or industry</w:t>
        </w:r>
        <w:r w:rsidRPr="00627079">
          <w:rPr>
            <w:rStyle w:val="Hyperlink"/>
            <w:rFonts w:cs="Arial"/>
            <w:szCs w:val="20"/>
          </w:rPr>
          <w:t xml:space="preserve"> </w:t>
        </w:r>
        <w:r w:rsidRPr="00EC1F35">
          <w:rPr>
            <w:rStyle w:val="Hyperlink"/>
            <w:rFonts w:cs="Arial"/>
            <w:szCs w:val="20"/>
          </w:rPr>
          <w:t>specific requirements</w:t>
        </w:r>
      </w:hyperlink>
      <w:r w:rsidRPr="00FD2D78">
        <w:rPr>
          <w:rFonts w:cs="Arial"/>
          <w:szCs w:val="20"/>
        </w:rPr>
        <w:t xml:space="preserve">, </w:t>
      </w:r>
      <w:r>
        <w:rPr>
          <w:rFonts w:cs="Arial"/>
          <w:szCs w:val="20"/>
        </w:rPr>
        <w:t xml:space="preserve">Other Contributions without Consideration </w:t>
      </w:r>
      <w:r w:rsidRPr="00FD2D78">
        <w:rPr>
          <w:szCs w:val="20"/>
        </w:rPr>
        <w:t xml:space="preserve">shall comply with the following </w:t>
      </w:r>
      <w:r>
        <w:rPr>
          <w:szCs w:val="20"/>
        </w:rPr>
        <w:t xml:space="preserve">additional </w:t>
      </w:r>
      <w:r w:rsidRPr="00FD2D78">
        <w:rPr>
          <w:szCs w:val="20"/>
        </w:rPr>
        <w:t>standards:</w:t>
      </w:r>
      <w:r w:rsidRPr="00FD2D78">
        <w:rPr>
          <w:rFonts w:cs="Arial"/>
          <w:szCs w:val="20"/>
        </w:rPr>
        <w:t xml:space="preserve"> </w:t>
      </w:r>
    </w:p>
    <w:p w14:paraId="6690C830" w14:textId="77777777" w:rsidR="003B39C6" w:rsidRDefault="003B39C6" w:rsidP="003B39C6">
      <w:pPr>
        <w:pStyle w:val="CopyBulletpoints"/>
        <w:ind w:left="470" w:hanging="357"/>
        <w:rPr>
          <w:rFonts w:cs="Arial"/>
          <w:szCs w:val="20"/>
        </w:rPr>
      </w:pPr>
      <w:r>
        <w:rPr>
          <w:rFonts w:cs="Arial"/>
          <w:szCs w:val="20"/>
          <w:lang w:val="en-US"/>
        </w:rPr>
        <w:t>T</w:t>
      </w:r>
      <w:r>
        <w:rPr>
          <w:rFonts w:cs="Arial"/>
          <w:szCs w:val="20"/>
        </w:rPr>
        <w:t xml:space="preserve">he identity of the recipient, the reason for and the planned use of the contribution must be </w:t>
      </w:r>
      <w:r w:rsidRPr="006B5AE4">
        <w:rPr>
          <w:rFonts w:cs="Arial"/>
          <w:b/>
          <w:szCs w:val="20"/>
        </w:rPr>
        <w:t>clear</w:t>
      </w:r>
      <w:r>
        <w:rPr>
          <w:rFonts w:cs="Arial"/>
          <w:szCs w:val="20"/>
        </w:rPr>
        <w:t xml:space="preserve"> and </w:t>
      </w:r>
      <w:r w:rsidRPr="006B5AE4">
        <w:rPr>
          <w:rFonts w:cs="Arial"/>
          <w:b/>
          <w:szCs w:val="20"/>
        </w:rPr>
        <w:t>plausible</w:t>
      </w:r>
      <w:r>
        <w:rPr>
          <w:rFonts w:cs="Arial"/>
          <w:szCs w:val="20"/>
        </w:rPr>
        <w:t xml:space="preserve">, </w:t>
      </w:r>
      <w:r w:rsidRPr="006B5AE4">
        <w:rPr>
          <w:rFonts w:cs="Arial"/>
          <w:b/>
          <w:szCs w:val="20"/>
        </w:rPr>
        <w:t>legally justifiable</w:t>
      </w:r>
      <w:r>
        <w:rPr>
          <w:rFonts w:cs="Arial"/>
          <w:szCs w:val="20"/>
        </w:rPr>
        <w:t xml:space="preserve"> and </w:t>
      </w:r>
      <w:proofErr w:type="gramStart"/>
      <w:r w:rsidRPr="006B5AE4">
        <w:rPr>
          <w:rFonts w:cs="Arial"/>
          <w:b/>
          <w:szCs w:val="20"/>
        </w:rPr>
        <w:t>documented</w:t>
      </w:r>
      <w:r>
        <w:rPr>
          <w:rFonts w:cs="Arial"/>
          <w:szCs w:val="20"/>
        </w:rPr>
        <w:t>;</w:t>
      </w:r>
      <w:proofErr w:type="gramEnd"/>
    </w:p>
    <w:p w14:paraId="5B5CC15D" w14:textId="77777777" w:rsidR="003B39C6" w:rsidRDefault="003B39C6" w:rsidP="003B39C6">
      <w:pPr>
        <w:pStyle w:val="CopyBulletpoints"/>
        <w:ind w:left="470" w:hanging="357"/>
        <w:rPr>
          <w:rFonts w:cs="Arial"/>
          <w:szCs w:val="20"/>
        </w:rPr>
      </w:pPr>
      <w:r w:rsidRPr="00A02820">
        <w:rPr>
          <w:rFonts w:cs="Arial"/>
          <w:lang w:eastAsia="de-DE"/>
        </w:rPr>
        <w:t xml:space="preserve">Contributions </w:t>
      </w:r>
      <w:r w:rsidRPr="00E334C1">
        <w:rPr>
          <w:rFonts w:cs="Arial"/>
          <w:lang w:eastAsia="de-DE"/>
        </w:rPr>
        <w:t xml:space="preserve">may </w:t>
      </w:r>
      <w:r w:rsidRPr="00E334C1">
        <w:rPr>
          <w:rFonts w:cs="Arial"/>
          <w:b/>
          <w:lang w:eastAsia="de-DE"/>
        </w:rPr>
        <w:t>not be</w:t>
      </w:r>
      <w:r w:rsidRPr="00E334C1" w:rsidDel="00CA6647">
        <w:rPr>
          <w:rFonts w:cs="Arial"/>
          <w:b/>
          <w:szCs w:val="20"/>
        </w:rPr>
        <w:t xml:space="preserve"> </w:t>
      </w:r>
      <w:r w:rsidRPr="006B5AE4">
        <w:rPr>
          <w:rFonts w:cs="Arial"/>
          <w:b/>
          <w:szCs w:val="20"/>
        </w:rPr>
        <w:t>linked to sales transactions</w:t>
      </w:r>
      <w:r w:rsidRPr="00A02820">
        <w:rPr>
          <w:rFonts w:cs="Arial"/>
          <w:szCs w:val="20"/>
        </w:rPr>
        <w:t xml:space="preserve"> or other business decisions in such a way that they themselves could be considered a reward for those transactions, or in such a way that the impression arises </w:t>
      </w:r>
      <w:r w:rsidRPr="00A02820">
        <w:rPr>
          <w:rFonts w:cs="Arial"/>
          <w:szCs w:val="20"/>
        </w:rPr>
        <w:lastRenderedPageBreak/>
        <w:t>that a relation of reciprocity exists (e.g. a contribution is made without plausible legitimate reason before or immediately after a business decision has been made);</w:t>
      </w:r>
    </w:p>
    <w:p w14:paraId="1072E428" w14:textId="77777777" w:rsidR="003B39C6" w:rsidRDefault="003B39C6" w:rsidP="003B39C6">
      <w:pPr>
        <w:pStyle w:val="CopyBulletpoints"/>
        <w:spacing w:after="140"/>
        <w:ind w:left="470" w:hanging="357"/>
        <w:rPr>
          <w:rFonts w:cs="Arial"/>
          <w:szCs w:val="20"/>
        </w:rPr>
      </w:pPr>
      <w:r>
        <w:rPr>
          <w:rFonts w:cs="Arial"/>
          <w:szCs w:val="20"/>
        </w:rPr>
        <w:t xml:space="preserve">Contributions may not be paid to private bank accounts or made to individual persons. In all communications accompanying a contribution, it must be clearly stated that the contribution is being made to a recipient organization and not for the benefit of an individual </w:t>
      </w:r>
      <w:proofErr w:type="gramStart"/>
      <w:r>
        <w:rPr>
          <w:rFonts w:cs="Arial"/>
          <w:szCs w:val="20"/>
        </w:rPr>
        <w:t>person;</w:t>
      </w:r>
      <w:proofErr w:type="gramEnd"/>
    </w:p>
    <w:p w14:paraId="22A77E11" w14:textId="77777777" w:rsidR="003B39C6" w:rsidRPr="00A02820" w:rsidRDefault="003B39C6" w:rsidP="003B39C6">
      <w:pPr>
        <w:pStyle w:val="CopyBulletpoints"/>
        <w:spacing w:after="140"/>
        <w:ind w:left="470" w:hanging="357"/>
        <w:rPr>
          <w:rFonts w:cs="Arial"/>
          <w:szCs w:val="20"/>
        </w:rPr>
      </w:pPr>
      <w:r w:rsidRPr="00A02820">
        <w:rPr>
          <w:rFonts w:cs="Arial"/>
          <w:lang w:eastAsia="de-DE"/>
        </w:rPr>
        <w:t>Contributions may not be</w:t>
      </w:r>
      <w:r w:rsidRPr="00A02820" w:rsidDel="00CA6647">
        <w:rPr>
          <w:rFonts w:cs="Arial"/>
          <w:szCs w:val="20"/>
        </w:rPr>
        <w:t xml:space="preserve"> </w:t>
      </w:r>
      <w:r w:rsidRPr="00A02820">
        <w:rPr>
          <w:rFonts w:cs="Arial"/>
          <w:szCs w:val="20"/>
        </w:rPr>
        <w:t xml:space="preserve">made to recipients whose </w:t>
      </w:r>
      <w:r w:rsidRPr="00A02820">
        <w:rPr>
          <w:rFonts w:cs="Arial"/>
          <w:b/>
          <w:szCs w:val="20"/>
        </w:rPr>
        <w:t>goals are incompatible</w:t>
      </w:r>
      <w:r w:rsidRPr="00A02820">
        <w:rPr>
          <w:rFonts w:cs="Arial"/>
          <w:szCs w:val="20"/>
        </w:rPr>
        <w:t xml:space="preserve"> with Siemens’ company principles or would damage Siemens’ </w:t>
      </w:r>
      <w:proofErr w:type="gramStart"/>
      <w:r w:rsidRPr="00A02820">
        <w:rPr>
          <w:rFonts w:cs="Arial"/>
          <w:szCs w:val="20"/>
        </w:rPr>
        <w:t>reputation;</w:t>
      </w:r>
      <w:proofErr w:type="gramEnd"/>
    </w:p>
    <w:p w14:paraId="0E9C1A1C" w14:textId="77777777" w:rsidR="003B39C6" w:rsidRDefault="003B39C6" w:rsidP="003B39C6">
      <w:pPr>
        <w:pStyle w:val="CopyBulletpoints"/>
        <w:spacing w:after="140"/>
        <w:ind w:left="470" w:hanging="357"/>
        <w:rPr>
          <w:rFonts w:cs="Arial"/>
          <w:szCs w:val="20"/>
        </w:rPr>
      </w:pPr>
      <w:r>
        <w:rPr>
          <w:rFonts w:cs="Arial"/>
          <w:lang w:eastAsia="de-DE"/>
        </w:rPr>
        <w:t xml:space="preserve">Contributions </w:t>
      </w:r>
      <w:r w:rsidRPr="00A02820">
        <w:rPr>
          <w:rFonts w:cs="Arial"/>
          <w:lang w:eastAsia="de-DE"/>
        </w:rPr>
        <w:t>may not be</w:t>
      </w:r>
      <w:r w:rsidRPr="00A02820" w:rsidDel="00CA6647">
        <w:rPr>
          <w:rFonts w:cs="Arial"/>
          <w:szCs w:val="20"/>
        </w:rPr>
        <w:t xml:space="preserve"> </w:t>
      </w:r>
      <w:r w:rsidRPr="00A02820">
        <w:rPr>
          <w:rFonts w:cs="Arial"/>
          <w:szCs w:val="20"/>
        </w:rPr>
        <w:t>worth</w:t>
      </w:r>
      <w:r w:rsidRPr="00A02820">
        <w:rPr>
          <w:rFonts w:cs="Arial"/>
          <w:b/>
          <w:szCs w:val="20"/>
        </w:rPr>
        <w:t xml:space="preserve"> less than €100.00</w:t>
      </w:r>
      <w:r w:rsidRPr="00CA6647">
        <w:rPr>
          <w:rFonts w:cs="Arial"/>
          <w:szCs w:val="20"/>
        </w:rPr>
        <w:t xml:space="preserve"> or the corresponding amount in local currency, since the administrative burden for handling such small contributions exceeds their value.</w:t>
      </w:r>
    </w:p>
    <w:p w14:paraId="15A26609" w14:textId="77777777" w:rsidR="003B39C6" w:rsidRPr="00E334C1" w:rsidRDefault="003B39C6" w:rsidP="003B39C6">
      <w:pPr>
        <w:rPr>
          <w:rFonts w:eastAsiaTheme="majorEastAsia" w:cstheme="majorBidi"/>
          <w:b/>
          <w:iCs/>
          <w:color w:val="879BAA" w:themeColor="text2"/>
          <w:sz w:val="22"/>
        </w:rPr>
      </w:pPr>
      <w:bookmarkStart w:id="24" w:name="_Hlk35942349"/>
      <w:proofErr w:type="spellStart"/>
      <w:r w:rsidRPr="00E334C1">
        <w:rPr>
          <w:rFonts w:eastAsiaTheme="majorEastAsia" w:cstheme="majorBidi"/>
          <w:b/>
          <w:iCs/>
          <w:color w:val="879BAA" w:themeColor="text2"/>
          <w:sz w:val="22"/>
        </w:rPr>
        <w:t>SpoDoM</w:t>
      </w:r>
      <w:proofErr w:type="spellEnd"/>
      <w:r w:rsidRPr="00E334C1">
        <w:rPr>
          <w:rFonts w:eastAsiaTheme="majorEastAsia" w:cstheme="majorBidi"/>
          <w:b/>
          <w:iCs/>
          <w:color w:val="879BAA" w:themeColor="text2"/>
          <w:sz w:val="22"/>
        </w:rPr>
        <w:t>-Approval</w:t>
      </w:r>
    </w:p>
    <w:p w14:paraId="30F6C4FC" w14:textId="736E18BD" w:rsidR="00970C11" w:rsidRPr="00970C11" w:rsidRDefault="003B39C6" w:rsidP="00970C11">
      <w:pPr>
        <w:rPr>
          <w:lang w:eastAsia="de-DE"/>
        </w:rPr>
      </w:pPr>
      <w:r w:rsidRPr="00204027">
        <w:rPr>
          <w:lang w:eastAsia="de-DE"/>
        </w:rPr>
        <w:t xml:space="preserve">In addition to the requirements above, a prior </w:t>
      </w:r>
      <w:proofErr w:type="spellStart"/>
      <w:r w:rsidRPr="00204027">
        <w:rPr>
          <w:lang w:eastAsia="de-DE"/>
        </w:rPr>
        <w:t>SpoDoM</w:t>
      </w:r>
      <w:proofErr w:type="spellEnd"/>
      <w:r w:rsidRPr="00204027">
        <w:rPr>
          <w:lang w:eastAsia="de-DE"/>
        </w:rPr>
        <w:t xml:space="preserve">-Approval </w:t>
      </w:r>
      <w:r>
        <w:rPr>
          <w:lang w:eastAsia="de-DE"/>
        </w:rPr>
        <w:t>is mandatory for all Contributions without Consideration</w:t>
      </w:r>
      <w:r w:rsidR="00FD7A52">
        <w:rPr>
          <w:lang w:eastAsia="de-DE"/>
        </w:rPr>
        <w:t xml:space="preserve"> </w:t>
      </w:r>
      <w:r w:rsidR="00020168" w:rsidRPr="00020168">
        <w:rPr>
          <w:lang w:eastAsia="de-DE"/>
        </w:rPr>
        <w:t xml:space="preserve">of a value of EUR 20,000 or more </w:t>
      </w:r>
      <w:r w:rsidR="00970C11" w:rsidRPr="00970C11">
        <w:rPr>
          <w:lang w:eastAsia="de-DE"/>
        </w:rPr>
        <w:t xml:space="preserve">if the recipient organization is a </w:t>
      </w:r>
      <w:r w:rsidR="00970C11" w:rsidRPr="00970C11">
        <w:rPr>
          <w:u w:val="single"/>
          <w:lang w:eastAsia="de-DE"/>
        </w:rPr>
        <w:t xml:space="preserve">Government </w:t>
      </w:r>
      <w:hyperlink r:id="rId22" w:history="1">
        <w:r w:rsidR="00970C11" w:rsidRPr="00970C11">
          <w:rPr>
            <w:rStyle w:val="Hyperlink"/>
            <w:lang w:eastAsia="de-DE"/>
          </w:rPr>
          <w:t>Entity</w:t>
        </w:r>
      </w:hyperlink>
      <w:r w:rsidR="00970C11">
        <w:rPr>
          <w:lang w:eastAsia="de-DE"/>
        </w:rPr>
        <w:t xml:space="preserve"> or</w:t>
      </w:r>
      <w:r w:rsidR="00970C11" w:rsidRPr="00970C11">
        <w:rPr>
          <w:lang w:eastAsia="de-DE"/>
        </w:rPr>
        <w:t xml:space="preserve"> </w:t>
      </w:r>
      <w:hyperlink w:anchor="_1.4.2._Specific_requirements" w:history="1">
        <w:r w:rsidR="00970C11" w:rsidRPr="00970C11">
          <w:rPr>
            <w:rStyle w:val="Hyperlink"/>
            <w:lang w:eastAsia="de-DE"/>
          </w:rPr>
          <w:t>Healthcare Provider</w:t>
        </w:r>
      </w:hyperlink>
      <w:r w:rsidR="00970C11" w:rsidRPr="00970C11">
        <w:rPr>
          <w:lang w:eastAsia="de-DE"/>
        </w:rPr>
        <w:t xml:space="preserve"> or is involved in important business decisions, such as contract negotiations, the acceptance of a bid or a factory acceptance test.</w:t>
      </w:r>
      <w:r w:rsidR="002B3C4D">
        <w:rPr>
          <w:rStyle w:val="Funotenzeichen"/>
          <w:lang w:eastAsia="de-DE"/>
        </w:rPr>
        <w:footnoteReference w:id="2"/>
      </w:r>
    </w:p>
    <w:bookmarkEnd w:id="24"/>
    <w:p w14:paraId="04AA5739" w14:textId="30EAB045" w:rsidR="003B39C6" w:rsidRDefault="003B39C6" w:rsidP="003B39C6">
      <w:pPr>
        <w:pStyle w:val="berschrift4"/>
      </w:pPr>
      <w:r>
        <w:t>1.2.4.1. No polit</w:t>
      </w:r>
      <w:r w:rsidR="004052CB">
        <w:t>ical or religious contributions</w:t>
      </w:r>
    </w:p>
    <w:p w14:paraId="15E0C8C7" w14:textId="77777777" w:rsidR="003B39C6" w:rsidRPr="00C929A6" w:rsidRDefault="003B39C6" w:rsidP="003B39C6">
      <w:r>
        <w:rPr>
          <w:rFonts w:cs="Arial"/>
          <w:lang w:eastAsia="de-DE"/>
        </w:rPr>
        <w:t xml:space="preserve">Siemens is religiously and politically neutral. For this reason, the company’s contributions may not foster in a targeted manner either one religious group or one partisan political ideology vis-à-vis other persuasions or political viewpoints. Contributions without Consideration that benefit the activities of a religious denomination (for example, of a church or a clergy for missionary work or liturgical activities) or that support partisan political purposes or the representation of partisan political interests (for example, election events for political campaigns) are prohibited. Consequently, it is also not permitted to hold memberships, as defined in the </w:t>
      </w:r>
      <w:hyperlink r:id="rId23" w:history="1">
        <w:r>
          <w:rPr>
            <w:rStyle w:val="Hyperlink"/>
            <w:rFonts w:cs="Arial"/>
            <w:lang w:eastAsia="de-DE"/>
          </w:rPr>
          <w:t>Siemens Circular No. 186</w:t>
        </w:r>
      </w:hyperlink>
      <w:r>
        <w:rPr>
          <w:rFonts w:cs="Arial"/>
          <w:lang w:eastAsia="de-DE"/>
        </w:rPr>
        <w:t xml:space="preserve">, in </w:t>
      </w:r>
      <w:r w:rsidRPr="00C929A6">
        <w:t xml:space="preserve">political parties or religious organizations. </w:t>
      </w:r>
    </w:p>
    <w:p w14:paraId="6B832E11" w14:textId="77777777" w:rsidR="003B39C6" w:rsidRDefault="003B39C6" w:rsidP="003B39C6">
      <w:pPr>
        <w:rPr>
          <w:lang w:eastAsia="de-DE"/>
        </w:rPr>
      </w:pPr>
      <w:r>
        <w:rPr>
          <w:lang w:eastAsia="de-DE"/>
        </w:rPr>
        <w:t>However, permissible are:</w:t>
      </w:r>
    </w:p>
    <w:p w14:paraId="228B2FB9" w14:textId="77777777" w:rsidR="003B39C6" w:rsidRDefault="003B39C6" w:rsidP="003B39C6">
      <w:pPr>
        <w:pStyle w:val="CopyBulletpoints"/>
        <w:ind w:left="470" w:hanging="357"/>
        <w:rPr>
          <w:rFonts w:cs="Arial"/>
          <w:szCs w:val="20"/>
        </w:rPr>
      </w:pPr>
      <w:r>
        <w:rPr>
          <w:rFonts w:cs="Arial"/>
          <w:szCs w:val="20"/>
          <w:lang w:val="en-US"/>
        </w:rPr>
        <w:t>S</w:t>
      </w:r>
      <w:proofErr w:type="spellStart"/>
      <w:r>
        <w:rPr>
          <w:rFonts w:cs="Arial"/>
          <w:szCs w:val="20"/>
        </w:rPr>
        <w:t>upport</w:t>
      </w:r>
      <w:proofErr w:type="spellEnd"/>
      <w:r>
        <w:rPr>
          <w:rFonts w:cs="Arial"/>
          <w:szCs w:val="20"/>
        </w:rPr>
        <w:t xml:space="preserve"> for other activities of a religious organization or of a party-related organization that is non-partisan in accordance with its articles of association, as long as the Siemens strategic goals and the general requirements are complied </w:t>
      </w:r>
      <w:proofErr w:type="gramStart"/>
      <w:r>
        <w:rPr>
          <w:rFonts w:cs="Arial"/>
          <w:szCs w:val="20"/>
        </w:rPr>
        <w:t>with;</w:t>
      </w:r>
      <w:proofErr w:type="gramEnd"/>
    </w:p>
    <w:p w14:paraId="50B29543" w14:textId="26A6AE55" w:rsidR="003B39C6" w:rsidRDefault="003B39C6" w:rsidP="003B39C6">
      <w:pPr>
        <w:pStyle w:val="CopyBulletpoints"/>
        <w:spacing w:after="140"/>
        <w:ind w:left="470" w:hanging="357"/>
        <w:rPr>
          <w:rFonts w:cs="Arial"/>
          <w:szCs w:val="20"/>
        </w:rPr>
      </w:pPr>
      <w:r>
        <w:rPr>
          <w:rFonts w:cs="Arial"/>
          <w:szCs w:val="20"/>
        </w:rPr>
        <w:t>Contributions by Siemens employees in the U.S. to the Siemens Corporation Political Action Committee, since these are not contributions made by the company.</w:t>
      </w:r>
    </w:p>
    <w:p w14:paraId="418296C5" w14:textId="01C33C99" w:rsidR="00425561" w:rsidRDefault="00425561" w:rsidP="00425561">
      <w:pPr>
        <w:pStyle w:val="berschrift3"/>
        <w:spacing w:after="240"/>
        <w:jc w:val="both"/>
      </w:pPr>
      <w:bookmarkStart w:id="25" w:name="_1.2.5._Dealing_with"/>
      <w:bookmarkEnd w:id="25"/>
      <w:r>
        <w:t xml:space="preserve">1.2.5. </w:t>
      </w:r>
      <w:r w:rsidR="009309EA" w:rsidRPr="00E334C1">
        <w:rPr>
          <w:rFonts w:cs="Arial"/>
          <w:szCs w:val="20"/>
        </w:rPr>
        <w:t>Non-economic benefits</w:t>
      </w:r>
    </w:p>
    <w:p w14:paraId="0E96A065" w14:textId="06E7536E" w:rsidR="009309EA" w:rsidRPr="000C06E5" w:rsidRDefault="009309EA" w:rsidP="009309EA">
      <w:pPr>
        <w:pStyle w:val="KeinAbsatzformat"/>
        <w:rPr>
          <w:rFonts w:ascii="Arial" w:hAnsi="Arial" w:cstheme="minorBidi"/>
          <w:color w:val="auto"/>
          <w:sz w:val="20"/>
          <w:szCs w:val="20"/>
          <w:lang w:val="en-US"/>
        </w:rPr>
      </w:pPr>
      <w:r w:rsidRPr="000C06E5">
        <w:rPr>
          <w:rFonts w:ascii="Arial" w:hAnsi="Arial" w:cstheme="minorBidi"/>
          <w:color w:val="auto"/>
          <w:sz w:val="20"/>
          <w:szCs w:val="20"/>
          <w:lang w:val="en-US"/>
        </w:rPr>
        <w:t>Non-economic benefits are any no</w:t>
      </w:r>
      <w:r w:rsidR="00893FBA">
        <w:rPr>
          <w:rFonts w:ascii="Arial" w:hAnsi="Arial" w:cstheme="minorBidi"/>
          <w:color w:val="auto"/>
          <w:sz w:val="20"/>
          <w:szCs w:val="20"/>
          <w:lang w:val="en-US"/>
        </w:rPr>
        <w:t>n</w:t>
      </w:r>
      <w:r w:rsidRPr="000C06E5">
        <w:rPr>
          <w:rFonts w:ascii="Arial" w:hAnsi="Arial" w:cstheme="minorBidi"/>
          <w:color w:val="auto"/>
          <w:sz w:val="20"/>
          <w:szCs w:val="20"/>
          <w:lang w:val="en-US"/>
        </w:rPr>
        <w:t xml:space="preserve">-economic advantages. They may include, for example, a job or an internship for the recipient or the recipient's </w:t>
      </w:r>
      <w:hyperlink r:id="rId24" w:history="1">
        <w:r w:rsidRPr="000C06E5">
          <w:rPr>
            <w:rFonts w:ascii="Arial" w:hAnsi="Arial" w:cstheme="minorBidi"/>
            <w:color w:val="auto"/>
            <w:sz w:val="20"/>
            <w:lang w:val="en-US"/>
          </w:rPr>
          <w:t>Related Parties</w:t>
        </w:r>
      </w:hyperlink>
      <w:r w:rsidRPr="000C06E5">
        <w:rPr>
          <w:rFonts w:ascii="Arial" w:hAnsi="Arial" w:cstheme="minorBidi"/>
          <w:color w:val="auto"/>
          <w:sz w:val="20"/>
          <w:szCs w:val="20"/>
          <w:lang w:val="en-US"/>
        </w:rPr>
        <w:t>, the granting of a permit or an introduction to certain influential people.</w:t>
      </w:r>
    </w:p>
    <w:p w14:paraId="21CFD955" w14:textId="77777777" w:rsidR="009309EA" w:rsidRPr="000C06E5" w:rsidRDefault="009309EA" w:rsidP="000C06E5">
      <w:pPr>
        <w:pStyle w:val="KeinAbsatzformat"/>
        <w:rPr>
          <w:lang w:val="en-US"/>
        </w:rPr>
      </w:pPr>
    </w:p>
    <w:p w14:paraId="0A0FE58D" w14:textId="77777777" w:rsidR="009309EA" w:rsidRPr="0026250C" w:rsidRDefault="009309EA" w:rsidP="009309EA">
      <w:pPr>
        <w:rPr>
          <w:rFonts w:cs="Arial"/>
          <w:b/>
          <w:bCs/>
          <w:szCs w:val="20"/>
        </w:rPr>
      </w:pPr>
      <w:r w:rsidRPr="0026250C">
        <w:rPr>
          <w:rFonts w:cs="Arial"/>
          <w:b/>
          <w:bCs/>
          <w:szCs w:val="20"/>
        </w:rPr>
        <w:t xml:space="preserve">Awarding of </w:t>
      </w:r>
      <w:r>
        <w:rPr>
          <w:rFonts w:cs="Arial"/>
          <w:b/>
          <w:bCs/>
          <w:szCs w:val="20"/>
        </w:rPr>
        <w:t>J</w:t>
      </w:r>
      <w:r w:rsidRPr="0026250C">
        <w:rPr>
          <w:rFonts w:cs="Arial"/>
          <w:b/>
          <w:bCs/>
          <w:szCs w:val="20"/>
        </w:rPr>
        <w:t>obs (Dealing with Princelings)</w:t>
      </w:r>
    </w:p>
    <w:tbl>
      <w:tblPr>
        <w:tblStyle w:val="Tabellenraster"/>
        <w:tblW w:w="0" w:type="auto"/>
        <w:tblInd w:w="360" w:type="dxa"/>
        <w:tblLook w:val="04A0" w:firstRow="1" w:lastRow="0" w:firstColumn="1" w:lastColumn="0" w:noHBand="0" w:noVBand="1"/>
      </w:tblPr>
      <w:tblGrid>
        <w:gridCol w:w="10225"/>
      </w:tblGrid>
      <w:tr w:rsidR="00166885" w14:paraId="55DF74EE" w14:textId="77777777" w:rsidTr="00424376">
        <w:tc>
          <w:tcPr>
            <w:tcW w:w="10225" w:type="dxa"/>
          </w:tcPr>
          <w:p w14:paraId="745AAE59" w14:textId="76A75D62" w:rsidR="00166885" w:rsidRPr="00E334C1" w:rsidRDefault="00166885" w:rsidP="00DB121A">
            <w:pPr>
              <w:ind w:left="720"/>
            </w:pPr>
            <w:r w:rsidRPr="00166885">
              <w:rPr>
                <w:szCs w:val="20"/>
              </w:rPr>
              <w:lastRenderedPageBreak/>
              <w:t>The awarding of jobs – whether temporary, such as internships, or permanent – is exclusively to be made based on the personal and professional qualifications and suitability of the applicant (</w:t>
            </w:r>
            <w:hyperlink r:id="rId25" w:history="1">
              <w:r w:rsidRPr="00DB121A">
                <w:rPr>
                  <w:szCs w:val="20"/>
                </w:rPr>
                <w:t>BCG Chapter E</w:t>
              </w:r>
            </w:hyperlink>
            <w:r w:rsidRPr="00166885">
              <w:rPr>
                <w:szCs w:val="20"/>
              </w:rPr>
              <w:t xml:space="preserve">). This applies to the awarding of jobs to close relatives of actual or potential business partners, customers or policy makers </w:t>
            </w:r>
            <w:proofErr w:type="gramStart"/>
            <w:r w:rsidRPr="00DB121A">
              <w:rPr>
                <w:b/>
                <w:bCs/>
                <w:szCs w:val="20"/>
              </w:rPr>
              <w:t>(,Princelings</w:t>
            </w:r>
            <w:proofErr w:type="gramEnd"/>
            <w:r w:rsidRPr="00DB121A">
              <w:rPr>
                <w:b/>
                <w:bCs/>
                <w:szCs w:val="20"/>
              </w:rPr>
              <w:t>’)</w:t>
            </w:r>
            <w:r w:rsidRPr="00166885">
              <w:rPr>
                <w:szCs w:val="20"/>
              </w:rPr>
              <w:t>, or to these themselves.</w:t>
            </w:r>
          </w:p>
        </w:tc>
      </w:tr>
    </w:tbl>
    <w:p w14:paraId="6F80331A" w14:textId="77777777" w:rsidR="00BC3829" w:rsidRPr="000C06E5" w:rsidRDefault="00BC3829" w:rsidP="000C06E5">
      <w:pPr>
        <w:pStyle w:val="KeinAbsatzformat"/>
        <w:rPr>
          <w:lang w:val="en-US"/>
        </w:rPr>
      </w:pPr>
    </w:p>
    <w:p w14:paraId="1EE60B8C" w14:textId="4FDE0ACC" w:rsidR="009309EA" w:rsidRDefault="009309EA" w:rsidP="009309EA">
      <w:pPr>
        <w:rPr>
          <w:rFonts w:cs="Arial"/>
          <w:szCs w:val="20"/>
        </w:rPr>
      </w:pPr>
      <w:r>
        <w:rPr>
          <w:rFonts w:cs="Arial"/>
          <w:szCs w:val="20"/>
        </w:rPr>
        <w:t xml:space="preserve">Recruitment of “princelings”, </w:t>
      </w:r>
      <w:r w:rsidRPr="00987351">
        <w:rPr>
          <w:rFonts w:cs="Arial"/>
          <w:szCs w:val="20"/>
        </w:rPr>
        <w:t>who are awarded internships or permanent positions in companies outside of the normal employment process</w:t>
      </w:r>
      <w:r>
        <w:rPr>
          <w:rFonts w:cs="Arial"/>
          <w:szCs w:val="20"/>
        </w:rPr>
        <w:t xml:space="preserve">, </w:t>
      </w:r>
      <w:r w:rsidRPr="00E334C1">
        <w:rPr>
          <w:rFonts w:cs="Arial"/>
          <w:szCs w:val="20"/>
        </w:rPr>
        <w:t>generally create</w:t>
      </w:r>
      <w:r>
        <w:rPr>
          <w:rFonts w:cs="Arial"/>
          <w:szCs w:val="20"/>
        </w:rPr>
        <w:t>s</w:t>
      </w:r>
      <w:r w:rsidRPr="00E334C1">
        <w:rPr>
          <w:rFonts w:cs="Arial"/>
          <w:szCs w:val="20"/>
        </w:rPr>
        <w:t xml:space="preserve"> the appearance of bad faith or impropriety</w:t>
      </w:r>
      <w:r>
        <w:rPr>
          <w:rFonts w:cs="Arial"/>
          <w:szCs w:val="20"/>
        </w:rPr>
        <w:t xml:space="preserve"> and can be considered corruption in most jurisdictions.</w:t>
      </w:r>
      <w:r w:rsidRPr="00987351">
        <w:rPr>
          <w:rFonts w:cs="Arial"/>
          <w:szCs w:val="20"/>
        </w:rPr>
        <w:t xml:space="preserve"> </w:t>
      </w:r>
    </w:p>
    <w:p w14:paraId="7A55AB9C" w14:textId="77777777" w:rsidR="009309EA" w:rsidRPr="00C57697" w:rsidRDefault="009309EA" w:rsidP="009309EA">
      <w:pPr>
        <w:pStyle w:val="CopyBulletpoints"/>
        <w:ind w:left="470" w:hanging="357"/>
        <w:rPr>
          <w:rFonts w:cs="Arial"/>
          <w:szCs w:val="20"/>
        </w:rPr>
      </w:pPr>
      <w:r w:rsidRPr="00C57697">
        <w:rPr>
          <w:rFonts w:cs="Arial"/>
          <w:szCs w:val="20"/>
        </w:rPr>
        <w:t xml:space="preserve">As a </w:t>
      </w:r>
      <w:r w:rsidRPr="00C57697">
        <w:rPr>
          <w:rFonts w:cs="Arial"/>
          <w:b/>
          <w:bCs/>
          <w:szCs w:val="20"/>
        </w:rPr>
        <w:t>manager</w:t>
      </w:r>
      <w:r w:rsidRPr="00C57697">
        <w:rPr>
          <w:rFonts w:cs="Arial"/>
          <w:szCs w:val="20"/>
        </w:rPr>
        <w:t>: Adhere to the principle of basing a decision to award a job solely on the individual’s personal and professional qualifications and suitability.</w:t>
      </w:r>
    </w:p>
    <w:p w14:paraId="43A570E3" w14:textId="77777777" w:rsidR="009309EA" w:rsidRPr="00C57697" w:rsidRDefault="009309EA" w:rsidP="009309EA">
      <w:pPr>
        <w:pStyle w:val="CopyBulletpoints"/>
        <w:ind w:left="470" w:hanging="357"/>
        <w:rPr>
          <w:rFonts w:cs="Arial"/>
          <w:szCs w:val="20"/>
        </w:rPr>
      </w:pPr>
      <w:r w:rsidRPr="00C57697">
        <w:rPr>
          <w:rFonts w:cs="Arial"/>
          <w:szCs w:val="20"/>
        </w:rPr>
        <w:t xml:space="preserve">As an </w:t>
      </w:r>
      <w:r w:rsidRPr="00C57697">
        <w:rPr>
          <w:rFonts w:cs="Arial"/>
          <w:b/>
          <w:bCs/>
          <w:szCs w:val="20"/>
        </w:rPr>
        <w:t>employee</w:t>
      </w:r>
      <w:r w:rsidRPr="00C57697">
        <w:rPr>
          <w:rFonts w:cs="Arial"/>
          <w:szCs w:val="20"/>
        </w:rPr>
        <w:t>: If your manager wants to push through a job award, point out to him or her the proper process and why this important. If you feel uncomfortable, please turn to your compliance officer for help assessing the situation.</w:t>
      </w:r>
    </w:p>
    <w:p w14:paraId="3CE89FFD" w14:textId="77777777" w:rsidR="009309EA" w:rsidRPr="00C57697" w:rsidRDefault="009309EA" w:rsidP="009309EA">
      <w:pPr>
        <w:pStyle w:val="CopyBulletpoints"/>
        <w:ind w:left="470" w:hanging="357"/>
        <w:rPr>
          <w:rFonts w:cs="Arial"/>
          <w:szCs w:val="20"/>
        </w:rPr>
      </w:pPr>
      <w:r w:rsidRPr="00C57697">
        <w:rPr>
          <w:rFonts w:cs="Arial"/>
          <w:szCs w:val="20"/>
        </w:rPr>
        <w:t xml:space="preserve">For </w:t>
      </w:r>
      <w:r w:rsidRPr="00C57697">
        <w:rPr>
          <w:rFonts w:cs="Arial"/>
          <w:b/>
          <w:bCs/>
          <w:szCs w:val="20"/>
        </w:rPr>
        <w:t>both</w:t>
      </w:r>
      <w:r w:rsidRPr="00C57697">
        <w:rPr>
          <w:rFonts w:cs="Arial"/>
          <w:szCs w:val="20"/>
        </w:rPr>
        <w:t xml:space="preserve">: If you become aware of a seemingly strange, </w:t>
      </w:r>
      <w:proofErr w:type="gramStart"/>
      <w:r w:rsidRPr="00C57697">
        <w:rPr>
          <w:rFonts w:cs="Arial"/>
          <w:szCs w:val="20"/>
        </w:rPr>
        <w:t>quick</w:t>
      </w:r>
      <w:proofErr w:type="gramEnd"/>
      <w:r w:rsidRPr="00C57697">
        <w:rPr>
          <w:rFonts w:cs="Arial"/>
          <w:szCs w:val="20"/>
        </w:rPr>
        <w:t xml:space="preserve"> or unexpected hiring, directly approach the hiring manager or turn to your compliance officer for support.</w:t>
      </w:r>
    </w:p>
    <w:tbl>
      <w:tblPr>
        <w:tblStyle w:val="Tabellenraster"/>
        <w:tblW w:w="0" w:type="auto"/>
        <w:tblLook w:val="04A0" w:firstRow="1" w:lastRow="0" w:firstColumn="1" w:lastColumn="0" w:noHBand="0" w:noVBand="1"/>
      </w:tblPr>
      <w:tblGrid>
        <w:gridCol w:w="1184"/>
        <w:gridCol w:w="9411"/>
      </w:tblGrid>
      <w:tr w:rsidR="009309EA" w14:paraId="3288E2FA" w14:textId="77777777" w:rsidTr="00424376">
        <w:trPr>
          <w:trHeight w:val="695"/>
        </w:trPr>
        <w:tc>
          <w:tcPr>
            <w:tcW w:w="1184" w:type="dxa"/>
            <w:shd w:val="clear" w:color="auto" w:fill="auto"/>
          </w:tcPr>
          <w:p w14:paraId="434E797D" w14:textId="77777777" w:rsidR="009309EA" w:rsidRPr="00E76E3B" w:rsidRDefault="009309EA" w:rsidP="00424376">
            <w:pPr>
              <w:pStyle w:val="KeinAbsatzformat"/>
              <w:rPr>
                <w:sz w:val="22"/>
                <w:szCs w:val="22"/>
                <w:lang w:val="en-US"/>
              </w:rPr>
            </w:pPr>
            <w:r>
              <w:rPr>
                <w:noProof/>
                <w:sz w:val="22"/>
                <w:szCs w:val="22"/>
                <w:lang w:eastAsia="de-DE"/>
              </w:rPr>
              <w:drawing>
                <wp:anchor distT="0" distB="0" distL="114300" distR="114300" simplePos="0" relativeHeight="251658251" behindDoc="1" locked="0" layoutInCell="1" allowOverlap="1" wp14:anchorId="48786976" wp14:editId="4E72A923">
                  <wp:simplePos x="0" y="0"/>
                  <wp:positionH relativeFrom="column">
                    <wp:posOffset>6350</wp:posOffset>
                  </wp:positionH>
                  <wp:positionV relativeFrom="paragraph">
                    <wp:posOffset>-106680</wp:posOffset>
                  </wp:positionV>
                  <wp:extent cx="243205" cy="251460"/>
                  <wp:effectExtent l="0" t="0" r="4445" b="0"/>
                  <wp:wrapTight wrapText="bothSides">
                    <wp:wrapPolygon edited="0">
                      <wp:start x="0" y="0"/>
                      <wp:lineTo x="0" y="19636"/>
                      <wp:lineTo x="16919" y="19636"/>
                      <wp:lineTo x="20303" y="13091"/>
                      <wp:lineTo x="20303" y="4909"/>
                      <wp:lineTo x="16919" y="0"/>
                      <wp:lineTo x="0" y="0"/>
                    </wp:wrapPolygon>
                  </wp:wrapTight>
                  <wp:docPr id="2" name="Grafik 2" descr="\\psf\Home\\Desktop\00_heute\SIE_SCL_140916_Wordtemplate_Legal_Handbook\Examp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esktop\00_heute\SIE_SCL_140916_Wordtemplate_Legal_Handbook\Example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3205" cy="251460"/>
                          </a:xfrm>
                          <a:prstGeom prst="rect">
                            <a:avLst/>
                          </a:prstGeom>
                          <a:noFill/>
                          <a:ln>
                            <a:noFill/>
                          </a:ln>
                        </pic:spPr>
                      </pic:pic>
                    </a:graphicData>
                  </a:graphic>
                </wp:anchor>
              </w:drawing>
            </w:r>
          </w:p>
        </w:tc>
        <w:tc>
          <w:tcPr>
            <w:tcW w:w="9411" w:type="dxa"/>
            <w:shd w:val="clear" w:color="auto" w:fill="auto"/>
          </w:tcPr>
          <w:p w14:paraId="34977C50" w14:textId="77777777" w:rsidR="009309EA" w:rsidRDefault="009309EA" w:rsidP="00424376">
            <w:pPr>
              <w:rPr>
                <w:sz w:val="22"/>
              </w:rPr>
            </w:pPr>
            <w:r>
              <w:rPr>
                <w:b/>
              </w:rPr>
              <w:t>Please note:</w:t>
            </w:r>
            <w:r>
              <w:rPr>
                <w:i/>
              </w:rPr>
              <w:t xml:space="preserve"> “</w:t>
            </w:r>
            <w:r w:rsidRPr="005C06C8">
              <w:rPr>
                <w:i/>
              </w:rPr>
              <w:t>The awarding of jobs – whether temporary, such as internships, or permanent – is exclusively to be made based on the personal and professional qualifications and suitability of the applicant (</w:t>
            </w:r>
            <w:hyperlink r:id="rId26" w:history="1">
              <w:r w:rsidRPr="00FF079B">
                <w:rPr>
                  <w:rStyle w:val="Hyperlink"/>
                  <w:i/>
                </w:rPr>
                <w:t>BCG Chapter E</w:t>
              </w:r>
            </w:hyperlink>
            <w:r w:rsidRPr="005C06C8">
              <w:rPr>
                <w:i/>
              </w:rPr>
              <w:t>)</w:t>
            </w:r>
            <w:r>
              <w:rPr>
                <w:i/>
              </w:rPr>
              <w:t>.”</w:t>
            </w:r>
          </w:p>
        </w:tc>
      </w:tr>
    </w:tbl>
    <w:p w14:paraId="3F1C69A3" w14:textId="77777777" w:rsidR="009309EA" w:rsidRPr="009309EA" w:rsidRDefault="009309EA" w:rsidP="009309EA"/>
    <w:p w14:paraId="6E1508FF" w14:textId="715897F2" w:rsidR="003B39C6" w:rsidRDefault="003B39C6" w:rsidP="003B39C6">
      <w:pPr>
        <w:pStyle w:val="berschrift2"/>
        <w:tabs>
          <w:tab w:val="left" w:pos="3570"/>
        </w:tabs>
      </w:pPr>
      <w:bookmarkStart w:id="26" w:name="_1.3._Process_and"/>
      <w:bookmarkStart w:id="27" w:name="_1.3._Approval_for"/>
      <w:bookmarkStart w:id="28" w:name="_1.3._SpoDoM-Approval_for"/>
      <w:bookmarkEnd w:id="26"/>
      <w:bookmarkEnd w:id="27"/>
      <w:bookmarkEnd w:id="28"/>
      <w:r>
        <w:t xml:space="preserve">1.3. </w:t>
      </w:r>
      <w:proofErr w:type="spellStart"/>
      <w:r w:rsidR="00654734">
        <w:t>SpoDoM</w:t>
      </w:r>
      <w:proofErr w:type="spellEnd"/>
      <w:r w:rsidR="00654734">
        <w:t>-</w:t>
      </w:r>
      <w:r w:rsidR="004052CB">
        <w:t>Approval for providing benefits</w:t>
      </w:r>
    </w:p>
    <w:tbl>
      <w:tblPr>
        <w:tblStyle w:val="Tabellenraster"/>
        <w:tblW w:w="0" w:type="auto"/>
        <w:tblLook w:val="04A0" w:firstRow="1" w:lastRow="0" w:firstColumn="1" w:lastColumn="0" w:noHBand="0" w:noVBand="1"/>
      </w:tblPr>
      <w:tblGrid>
        <w:gridCol w:w="1214"/>
        <w:gridCol w:w="9411"/>
      </w:tblGrid>
      <w:tr w:rsidR="003B39C6" w14:paraId="7DC31FB5" w14:textId="77777777" w:rsidTr="003B39C6">
        <w:trPr>
          <w:trHeight w:val="695"/>
        </w:trPr>
        <w:tc>
          <w:tcPr>
            <w:tcW w:w="1214" w:type="dxa"/>
            <w:shd w:val="clear" w:color="auto" w:fill="auto"/>
          </w:tcPr>
          <w:p w14:paraId="380720CA" w14:textId="77777777" w:rsidR="003B39C6" w:rsidRDefault="003B39C6" w:rsidP="003B39C6">
            <w:pPr>
              <w:pStyle w:val="KeinAbsatzformat"/>
              <w:rPr>
                <w:sz w:val="22"/>
                <w:szCs w:val="22"/>
                <w:lang w:val="en-US"/>
              </w:rPr>
            </w:pPr>
            <w:bookmarkStart w:id="29" w:name="_Hlk21607798"/>
            <w:r>
              <w:rPr>
                <w:noProof/>
                <w:sz w:val="22"/>
                <w:szCs w:val="22"/>
                <w:lang w:eastAsia="de-DE"/>
              </w:rPr>
              <w:drawing>
                <wp:anchor distT="0" distB="0" distL="114300" distR="114300" simplePos="0" relativeHeight="251658248" behindDoc="1" locked="0" layoutInCell="1" allowOverlap="1" wp14:anchorId="3126C886" wp14:editId="37E78B0E">
                  <wp:simplePos x="0" y="0"/>
                  <wp:positionH relativeFrom="column">
                    <wp:posOffset>-83820</wp:posOffset>
                  </wp:positionH>
                  <wp:positionV relativeFrom="paragraph">
                    <wp:posOffset>-78105</wp:posOffset>
                  </wp:positionV>
                  <wp:extent cx="243205" cy="251460"/>
                  <wp:effectExtent l="19050" t="0" r="4445" b="0"/>
                  <wp:wrapTight wrapText="bothSides">
                    <wp:wrapPolygon edited="0">
                      <wp:start x="-1692" y="0"/>
                      <wp:lineTo x="-1692" y="19636"/>
                      <wp:lineTo x="16919" y="19636"/>
                      <wp:lineTo x="21995" y="9818"/>
                      <wp:lineTo x="21995" y="8182"/>
                      <wp:lineTo x="16919" y="0"/>
                      <wp:lineTo x="-1692" y="0"/>
                    </wp:wrapPolygon>
                  </wp:wrapTight>
                  <wp:docPr id="9" name="Grafik 2" descr="\\psf\Home\\Desktop\00_heute\SIE_SCL_140916_Wordtemplate_Legal_Handbook\Examp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esktop\00_heute\SIE_SCL_140916_Wordtemplate_Legal_Handbook\Example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3205" cy="251460"/>
                          </a:xfrm>
                          <a:prstGeom prst="rect">
                            <a:avLst/>
                          </a:prstGeom>
                          <a:noFill/>
                          <a:ln>
                            <a:noFill/>
                          </a:ln>
                        </pic:spPr>
                      </pic:pic>
                    </a:graphicData>
                  </a:graphic>
                </wp:anchor>
              </w:drawing>
            </w:r>
          </w:p>
        </w:tc>
        <w:tc>
          <w:tcPr>
            <w:tcW w:w="9411" w:type="dxa"/>
            <w:shd w:val="clear" w:color="auto" w:fill="auto"/>
          </w:tcPr>
          <w:p w14:paraId="0481AC7E" w14:textId="2ABCE26B" w:rsidR="003B39C6" w:rsidRDefault="003B39C6" w:rsidP="003B39C6">
            <w:pPr>
              <w:rPr>
                <w:sz w:val="22"/>
              </w:rPr>
            </w:pPr>
            <w:r>
              <w:rPr>
                <w:b/>
              </w:rPr>
              <w:t>Please note:</w:t>
            </w:r>
            <w:r>
              <w:rPr>
                <w:i/>
              </w:rPr>
              <w:t xml:space="preserve"> “Providing invitations to </w:t>
            </w:r>
            <w:hyperlink w:anchor="_1.2.2._Entertainment_Events" w:history="1">
              <w:r w:rsidRPr="00061F09">
                <w:rPr>
                  <w:rStyle w:val="Hyperlink"/>
                  <w:i/>
                </w:rPr>
                <w:t>Entertainment Events</w:t>
              </w:r>
            </w:hyperlink>
            <w:r>
              <w:rPr>
                <w:i/>
              </w:rPr>
              <w:t xml:space="preserve"> and </w:t>
            </w:r>
            <w:r w:rsidR="00CC630A">
              <w:rPr>
                <w:i/>
              </w:rPr>
              <w:br/>
            </w:r>
            <w:r>
              <w:rPr>
                <w:i/>
              </w:rPr>
              <w:t xml:space="preserve">the payment of </w:t>
            </w:r>
            <w:r w:rsidR="00DB2663">
              <w:rPr>
                <w:i/>
              </w:rPr>
              <w:t xml:space="preserve">Lodging or </w:t>
            </w:r>
            <w:hyperlink w:anchor="_1.2.3._Travel_and" w:history="1">
              <w:r>
                <w:rPr>
                  <w:rStyle w:val="Hyperlink"/>
                  <w:i/>
                </w:rPr>
                <w:t>Non-Local Travel Costs</w:t>
              </w:r>
            </w:hyperlink>
            <w:r>
              <w:rPr>
                <w:i/>
              </w:rPr>
              <w:t xml:space="preserve"> must be approved </w:t>
            </w:r>
            <w:r w:rsidR="00CC630A">
              <w:rPr>
                <w:i/>
              </w:rPr>
              <w:br/>
            </w:r>
            <w:r>
              <w:rPr>
                <w:i/>
              </w:rPr>
              <w:t xml:space="preserve">in advance in the </w:t>
            </w:r>
            <w:proofErr w:type="spellStart"/>
            <w:r>
              <w:rPr>
                <w:i/>
              </w:rPr>
              <w:t>SpoDoM</w:t>
            </w:r>
            <w:proofErr w:type="spellEnd"/>
            <w:r>
              <w:rPr>
                <w:i/>
              </w:rPr>
              <w:t xml:space="preserve"> tool, if the beneficiary belongs to any of the </w:t>
            </w:r>
            <w:r w:rsidR="00CC630A">
              <w:rPr>
                <w:i/>
              </w:rPr>
              <w:br/>
            </w:r>
            <w:r w:rsidRPr="00EC1F35">
              <w:rPr>
                <w:i/>
                <w:u w:val="single"/>
              </w:rPr>
              <w:t>Risk Groups</w:t>
            </w:r>
            <w:r>
              <w:rPr>
                <w:i/>
              </w:rPr>
              <w:t xml:space="preserve"> and the benefits are not stipulated in a contractual agreement </w:t>
            </w:r>
            <w:r w:rsidR="00CC630A">
              <w:rPr>
                <w:i/>
              </w:rPr>
              <w:br/>
            </w:r>
            <w:r>
              <w:rPr>
                <w:i/>
              </w:rPr>
              <w:t xml:space="preserve">as further specified below. Moreover, prior </w:t>
            </w:r>
            <w:proofErr w:type="spellStart"/>
            <w:r>
              <w:rPr>
                <w:i/>
              </w:rPr>
              <w:t>SpoDoM</w:t>
            </w:r>
            <w:proofErr w:type="spellEnd"/>
            <w:r>
              <w:rPr>
                <w:i/>
              </w:rPr>
              <w:t xml:space="preserve"> approval is always </w:t>
            </w:r>
            <w:r w:rsidR="00CC630A">
              <w:rPr>
                <w:i/>
              </w:rPr>
              <w:br/>
            </w:r>
            <w:r>
              <w:rPr>
                <w:i/>
              </w:rPr>
              <w:t xml:space="preserve">mandatory for </w:t>
            </w:r>
            <w:hyperlink w:anchor="_1.2.4._Other_Contributions" w:history="1">
              <w:r>
                <w:rPr>
                  <w:rStyle w:val="Hyperlink"/>
                  <w:i/>
                </w:rPr>
                <w:t>Other Contributions without Consideration</w:t>
              </w:r>
            </w:hyperlink>
            <w:r w:rsidR="00FD7A52">
              <w:rPr>
                <w:lang w:eastAsia="de-DE"/>
              </w:rPr>
              <w:t xml:space="preserve"> </w:t>
            </w:r>
            <w:bookmarkStart w:id="30" w:name="_Hlk536111035"/>
            <w:r w:rsidR="00020168" w:rsidRPr="009A7FC8">
              <w:rPr>
                <w:i/>
              </w:rPr>
              <w:t>of a value of EUR 20,000 or more</w:t>
            </w:r>
            <w:r w:rsidR="00020168" w:rsidRPr="00020168">
              <w:rPr>
                <w:lang w:eastAsia="de-DE"/>
              </w:rPr>
              <w:t xml:space="preserve"> </w:t>
            </w:r>
            <w:r w:rsidR="00FD7A52" w:rsidRPr="00FD7A52">
              <w:rPr>
                <w:i/>
              </w:rPr>
              <w:t xml:space="preserve">to entities </w:t>
            </w:r>
            <w:r w:rsidR="005D10C1">
              <w:rPr>
                <w:i/>
              </w:rPr>
              <w:t>belonging</w:t>
            </w:r>
            <w:r w:rsidR="00FD7A52" w:rsidRPr="00FD7A52">
              <w:rPr>
                <w:i/>
              </w:rPr>
              <w:t xml:space="preserve"> to a </w:t>
            </w:r>
            <w:r w:rsidR="00FD7A52" w:rsidRPr="00FD7A52">
              <w:rPr>
                <w:i/>
                <w:u w:val="single"/>
              </w:rPr>
              <w:t>Risk Group</w:t>
            </w:r>
            <w:r w:rsidR="00FD7A52" w:rsidRPr="00FD7A52">
              <w:rPr>
                <w:i/>
              </w:rPr>
              <w:t>.</w:t>
            </w:r>
            <w:bookmarkEnd w:id="30"/>
            <w:r w:rsidR="002B3C4D">
              <w:rPr>
                <w:rStyle w:val="Funotenzeichen"/>
                <w:i/>
              </w:rPr>
              <w:footnoteReference w:id="3"/>
            </w:r>
            <w:r>
              <w:rPr>
                <w:i/>
              </w:rPr>
              <w:t>”</w:t>
            </w:r>
          </w:p>
        </w:tc>
      </w:tr>
    </w:tbl>
    <w:bookmarkEnd w:id="29"/>
    <w:p w14:paraId="5BB86D69" w14:textId="617FD857" w:rsidR="006B5AE4" w:rsidRPr="00E334C1" w:rsidRDefault="006B5AE4" w:rsidP="006B5AE4">
      <w:pPr>
        <w:rPr>
          <w:rFonts w:eastAsiaTheme="majorEastAsia" w:cstheme="majorBidi"/>
          <w:b/>
          <w:iCs/>
          <w:color w:val="879BAA" w:themeColor="text2"/>
          <w:sz w:val="22"/>
        </w:rPr>
      </w:pPr>
      <w:r>
        <w:rPr>
          <w:rFonts w:eastAsiaTheme="majorEastAsia" w:cstheme="majorBidi"/>
          <w:b/>
          <w:iCs/>
          <w:color w:val="879BAA" w:themeColor="text2"/>
          <w:sz w:val="22"/>
        </w:rPr>
        <w:lastRenderedPageBreak/>
        <w:t>Risk Groups</w:t>
      </w:r>
    </w:p>
    <w:p w14:paraId="41A45CF6" w14:textId="4D4F539A" w:rsidR="003B39C6" w:rsidRDefault="003B39C6" w:rsidP="003B39C6">
      <w:pPr>
        <w:rPr>
          <w:rFonts w:cs="Arial"/>
          <w:lang w:eastAsia="de-DE"/>
        </w:rPr>
      </w:pPr>
      <w:r w:rsidRPr="006B5AE4">
        <w:rPr>
          <w:b/>
          <w:szCs w:val="20"/>
        </w:rPr>
        <w:t>“</w:t>
      </w:r>
      <w:bookmarkStart w:id="31" w:name="_Hlk35942846"/>
      <w:r w:rsidRPr="006B5AE4">
        <w:rPr>
          <w:b/>
          <w:szCs w:val="20"/>
        </w:rPr>
        <w:t>Risk Groups”</w:t>
      </w:r>
      <w:r>
        <w:rPr>
          <w:szCs w:val="20"/>
        </w:rPr>
        <w:t xml:space="preserve"> are </w:t>
      </w:r>
      <w:hyperlink r:id="rId27" w:history="1">
        <w:r w:rsidRPr="006400F6">
          <w:rPr>
            <w:rStyle w:val="Hyperlink"/>
          </w:rPr>
          <w:t>Government Officials</w:t>
        </w:r>
      </w:hyperlink>
      <w:r w:rsidRPr="006400F6">
        <w:t xml:space="preserve"> and their </w:t>
      </w:r>
      <w:bookmarkStart w:id="32" w:name="_Hlk860054"/>
      <w:r w:rsidR="00EB6524">
        <w:rPr>
          <w:rStyle w:val="Hyperlink"/>
        </w:rPr>
        <w:fldChar w:fldCharType="begin"/>
      </w:r>
      <w:r w:rsidR="00EB6524">
        <w:rPr>
          <w:rStyle w:val="Hyperlink"/>
        </w:rPr>
        <w:instrText xml:space="preserve"> HYPERLINK "https://webbooks.siemens.com/public/LC/chen/index.htm?n=General-Introduction,2.-Definitions-and-Abbreviations" </w:instrText>
      </w:r>
      <w:r w:rsidR="00EB6524">
        <w:rPr>
          <w:rStyle w:val="Hyperlink"/>
        </w:rPr>
        <w:fldChar w:fldCharType="separate"/>
      </w:r>
      <w:r w:rsidRPr="006400F6">
        <w:rPr>
          <w:rStyle w:val="Hyperlink"/>
        </w:rPr>
        <w:t>Related Parties</w:t>
      </w:r>
      <w:r w:rsidR="00EB6524">
        <w:rPr>
          <w:rStyle w:val="Hyperlink"/>
        </w:rPr>
        <w:fldChar w:fldCharType="end"/>
      </w:r>
      <w:bookmarkEnd w:id="32"/>
      <w:r>
        <w:rPr>
          <w:szCs w:val="20"/>
        </w:rPr>
        <w:t>,</w:t>
      </w:r>
      <w:r w:rsidR="00F91AD9">
        <w:rPr>
          <w:szCs w:val="20"/>
        </w:rPr>
        <w:t xml:space="preserve"> </w:t>
      </w:r>
      <w:r w:rsidR="00F91AD9" w:rsidRPr="00587024">
        <w:rPr>
          <w:rStyle w:val="Hyperlink"/>
        </w:rPr>
        <w:t xml:space="preserve">Government </w:t>
      </w:r>
      <w:hyperlink r:id="rId28" w:history="1">
        <w:r w:rsidR="00F91AD9" w:rsidRPr="00587024">
          <w:rPr>
            <w:rStyle w:val="Hyperlink"/>
          </w:rPr>
          <w:t>Entities</w:t>
        </w:r>
      </w:hyperlink>
      <w:r w:rsidR="00F91AD9">
        <w:rPr>
          <w:szCs w:val="20"/>
        </w:rPr>
        <w:t>,</w:t>
      </w:r>
      <w:r>
        <w:rPr>
          <w:szCs w:val="20"/>
        </w:rPr>
        <w:t xml:space="preserve"> </w:t>
      </w:r>
      <w:hyperlink w:anchor="_1.4.2._Specific_requirements" w:history="1">
        <w:r>
          <w:rPr>
            <w:rStyle w:val="Hyperlink"/>
            <w:szCs w:val="20"/>
          </w:rPr>
          <w:t>Healthcare Providers</w:t>
        </w:r>
      </w:hyperlink>
      <w:r>
        <w:rPr>
          <w:szCs w:val="20"/>
        </w:rPr>
        <w:t>, members of a purchasing department, beneficiaries that are involved in important business decisions, such as contract negotiations, the acceptance of a bid or a factory acceptance test</w:t>
      </w:r>
      <w:r>
        <w:rPr>
          <w:rStyle w:val="Funotenzeichen"/>
          <w:szCs w:val="20"/>
        </w:rPr>
        <w:footnoteReference w:id="4"/>
      </w:r>
      <w:r>
        <w:rPr>
          <w:szCs w:val="20"/>
        </w:rPr>
        <w:t>.</w:t>
      </w:r>
      <w:r>
        <w:rPr>
          <w:rFonts w:cs="Arial"/>
          <w:lang w:eastAsia="de-DE"/>
        </w:rPr>
        <w:t xml:space="preserve"> In case of doubt whether a person belongs to a purchasing organization or has the power to make an important business decision, this must be checked directly with the beneficiary</w:t>
      </w:r>
      <w:r>
        <w:rPr>
          <w:rStyle w:val="Funotenzeichen"/>
          <w:rFonts w:cs="Arial"/>
          <w:lang w:eastAsia="de-DE"/>
        </w:rPr>
        <w:footnoteReference w:id="5"/>
      </w:r>
      <w:r>
        <w:rPr>
          <w:rFonts w:cs="Arial"/>
          <w:lang w:eastAsia="de-DE"/>
        </w:rPr>
        <w:t xml:space="preserve">. An approval is required in the </w:t>
      </w:r>
      <w:proofErr w:type="spellStart"/>
      <w:r>
        <w:rPr>
          <w:rFonts w:cs="Arial"/>
          <w:lang w:eastAsia="de-DE"/>
        </w:rPr>
        <w:t>SpoDoM</w:t>
      </w:r>
      <w:proofErr w:type="spellEnd"/>
      <w:r>
        <w:rPr>
          <w:rFonts w:cs="Arial"/>
          <w:lang w:eastAsia="de-DE"/>
        </w:rPr>
        <w:t xml:space="preserve"> tool, if the beneficiary has alone or jointly with others the power to decide on a bid or to make any other important business decision for Siemens. To avoid any appearance of an improper influence, the approval requirement applies also when the important business decision has already been taken in the recent past.</w:t>
      </w:r>
    </w:p>
    <w:bookmarkEnd w:id="31"/>
    <w:p w14:paraId="6C09C1CA" w14:textId="36250368" w:rsidR="003B39C6" w:rsidRDefault="003B39C6" w:rsidP="003B39C6">
      <w:pPr>
        <w:pStyle w:val="scfbrieftext"/>
        <w:spacing w:after="140"/>
        <w:jc w:val="both"/>
        <w:rPr>
          <w:rFonts w:eastAsiaTheme="majorEastAsia" w:cstheme="majorBidi"/>
          <w:b/>
          <w:iCs/>
          <w:color w:val="879BAA" w:themeColor="text2"/>
          <w:sz w:val="22"/>
        </w:rPr>
      </w:pPr>
      <w:r>
        <w:rPr>
          <w:rFonts w:eastAsiaTheme="majorEastAsia" w:cstheme="majorBidi"/>
          <w:b/>
          <w:iCs/>
          <w:color w:val="879BAA" w:themeColor="text2"/>
          <w:sz w:val="22"/>
        </w:rPr>
        <w:t>Approval</w:t>
      </w:r>
    </w:p>
    <w:p w14:paraId="40DA4C31" w14:textId="77777777" w:rsidR="006B5AE4" w:rsidRDefault="006B5AE4" w:rsidP="006B5AE4">
      <w:pPr>
        <w:rPr>
          <w:rFonts w:cs="Arial"/>
          <w:lang w:eastAsia="de-DE"/>
        </w:rPr>
      </w:pPr>
      <w:r>
        <w:rPr>
          <w:rFonts w:cs="Arial"/>
          <w:lang w:eastAsia="de-DE"/>
        </w:rPr>
        <w:t xml:space="preserve">The approval in the </w:t>
      </w:r>
      <w:proofErr w:type="spellStart"/>
      <w:r>
        <w:rPr>
          <w:rFonts w:cs="Arial"/>
          <w:lang w:eastAsia="de-DE"/>
        </w:rPr>
        <w:t>SpoDoM</w:t>
      </w:r>
      <w:proofErr w:type="spellEnd"/>
      <w:r>
        <w:rPr>
          <w:rFonts w:cs="Arial"/>
          <w:lang w:eastAsia="de-DE"/>
        </w:rPr>
        <w:t xml:space="preserve"> tool must be obtained </w:t>
      </w:r>
      <w:r w:rsidRPr="006B5AE4">
        <w:rPr>
          <w:rFonts w:cs="Arial"/>
          <w:b/>
          <w:lang w:eastAsia="de-DE"/>
        </w:rPr>
        <w:t>before the benefit is offered</w:t>
      </w:r>
      <w:r>
        <w:rPr>
          <w:rFonts w:cs="Arial"/>
          <w:lang w:eastAsia="de-DE"/>
        </w:rPr>
        <w:t xml:space="preserve"> or the invitation is made. It is recommended to start the </w:t>
      </w:r>
      <w:proofErr w:type="spellStart"/>
      <w:r>
        <w:rPr>
          <w:rFonts w:cs="Arial"/>
          <w:lang w:eastAsia="de-DE"/>
        </w:rPr>
        <w:t>SpoDoM</w:t>
      </w:r>
      <w:proofErr w:type="spellEnd"/>
      <w:r>
        <w:rPr>
          <w:rFonts w:cs="Arial"/>
          <w:lang w:eastAsia="de-DE"/>
        </w:rPr>
        <w:t xml:space="preserve"> process and to obtain the approval well in advance of the event date to have sufficient time to clarify all issues and to finalize the invitation after the approval.</w:t>
      </w:r>
    </w:p>
    <w:p w14:paraId="11A9CC98" w14:textId="77777777" w:rsidR="006B5AE4" w:rsidRDefault="006B5AE4" w:rsidP="006B5AE4">
      <w:pPr>
        <w:rPr>
          <w:rFonts w:cs="Arial"/>
          <w:lang w:eastAsia="de-DE"/>
        </w:rPr>
      </w:pPr>
      <w:r>
        <w:rPr>
          <w:rFonts w:cs="Arial"/>
          <w:lang w:eastAsia="de-DE"/>
        </w:rPr>
        <w:t xml:space="preserve">National laws and internal rules of entities often take account of whether the beneficiary has informed his superior or received the authorization to accept a benefit. This applies </w:t>
      </w:r>
      <w:proofErr w:type="gramStart"/>
      <w:r>
        <w:rPr>
          <w:rFonts w:cs="Arial"/>
          <w:lang w:eastAsia="de-DE"/>
        </w:rPr>
        <w:t>in particular to</w:t>
      </w:r>
      <w:proofErr w:type="gramEnd"/>
      <w:r>
        <w:rPr>
          <w:rFonts w:cs="Arial"/>
          <w:lang w:eastAsia="de-DE"/>
        </w:rPr>
        <w:t xml:space="preserve"> the </w:t>
      </w:r>
      <w:hyperlink w:anchor="PublicSector" w:history="1">
        <w:r w:rsidRPr="00644193">
          <w:rPr>
            <w:rStyle w:val="Hyperlink"/>
            <w:rFonts w:cs="Arial"/>
            <w:lang w:eastAsia="de-DE"/>
          </w:rPr>
          <w:t>public sector</w:t>
        </w:r>
      </w:hyperlink>
      <w:r>
        <w:rPr>
          <w:rFonts w:cs="Arial"/>
          <w:lang w:eastAsia="de-DE"/>
        </w:rPr>
        <w:t xml:space="preserve"> but might also be applicable in the private sector. Thus, it should be checked if </w:t>
      </w:r>
      <w:hyperlink w:anchor="AuthorizationSuperior" w:history="1">
        <w:r>
          <w:rPr>
            <w:rStyle w:val="Hyperlink"/>
            <w:rFonts w:cs="Arial"/>
            <w:lang w:eastAsia="de-DE"/>
          </w:rPr>
          <w:t>in</w:t>
        </w:r>
        <w:r w:rsidRPr="00323B39">
          <w:rPr>
            <w:rStyle w:val="Hyperlink"/>
            <w:rFonts w:cs="Arial"/>
            <w:lang w:eastAsia="de-DE"/>
          </w:rPr>
          <w:t xml:space="preserve">formation </w:t>
        </w:r>
        <w:r>
          <w:rPr>
            <w:rStyle w:val="Hyperlink"/>
            <w:rFonts w:cs="Arial"/>
            <w:lang w:eastAsia="de-DE"/>
          </w:rPr>
          <w:t>t</w:t>
        </w:r>
        <w:r w:rsidRPr="00323B39">
          <w:rPr>
            <w:rStyle w:val="Hyperlink"/>
            <w:rFonts w:cs="Arial"/>
            <w:lang w:eastAsia="de-DE"/>
          </w:rPr>
          <w:t>o or authorization by the superior of the beneficiary</w:t>
        </w:r>
      </w:hyperlink>
      <w:r>
        <w:rPr>
          <w:rFonts w:cs="Arial"/>
          <w:lang w:eastAsia="de-DE"/>
        </w:rPr>
        <w:t xml:space="preserve"> is necessary and addressed appropriately, when providing a </w:t>
      </w:r>
      <w:hyperlink w:anchor="_1.2._Types_of" w:history="1">
        <w:r>
          <w:rPr>
            <w:rStyle w:val="Hyperlink"/>
            <w:rFonts w:cs="Arial"/>
            <w:lang w:eastAsia="de-DE"/>
          </w:rPr>
          <w:t>Benefit</w:t>
        </w:r>
      </w:hyperlink>
    </w:p>
    <w:p w14:paraId="3A1AA010" w14:textId="574F23B3" w:rsidR="006B5AE4" w:rsidRDefault="006B5AE4" w:rsidP="006B5AE4">
      <w:pPr>
        <w:rPr>
          <w:rFonts w:cs="Arial"/>
          <w:lang w:eastAsia="de-DE"/>
        </w:rPr>
      </w:pPr>
      <w:r>
        <w:rPr>
          <w:rFonts w:cs="Arial"/>
          <w:lang w:eastAsia="de-DE"/>
        </w:rPr>
        <w:t xml:space="preserve">The </w:t>
      </w:r>
      <w:proofErr w:type="spellStart"/>
      <w:r>
        <w:rPr>
          <w:rFonts w:cs="Arial"/>
          <w:lang w:eastAsia="de-DE"/>
        </w:rPr>
        <w:t>SpoDoM</w:t>
      </w:r>
      <w:proofErr w:type="spellEnd"/>
      <w:r>
        <w:rPr>
          <w:rFonts w:cs="Arial"/>
          <w:lang w:eastAsia="de-DE"/>
        </w:rPr>
        <w:t xml:space="preserve"> tool ensures the seamless and uniform documentation of </w:t>
      </w:r>
      <w:r w:rsidR="002679A8">
        <w:rPr>
          <w:rFonts w:cs="Arial"/>
          <w:lang w:eastAsia="de-DE"/>
        </w:rPr>
        <w:t xml:space="preserve">the </w:t>
      </w:r>
      <w:r w:rsidRPr="00EC1F35">
        <w:rPr>
          <w:rFonts w:cs="Arial"/>
          <w:lang w:eastAsia="de-DE"/>
        </w:rPr>
        <w:t>activities</w:t>
      </w:r>
      <w:r>
        <w:rPr>
          <w:rFonts w:cs="Arial"/>
          <w:lang w:eastAsia="de-DE"/>
        </w:rPr>
        <w:t xml:space="preserve">. The tool also offers a detailed checklist as to whether an approval in the </w:t>
      </w:r>
      <w:proofErr w:type="spellStart"/>
      <w:r>
        <w:rPr>
          <w:rFonts w:cs="Arial"/>
          <w:lang w:eastAsia="de-DE"/>
        </w:rPr>
        <w:t>SpoDoM</w:t>
      </w:r>
      <w:proofErr w:type="spellEnd"/>
      <w:r>
        <w:rPr>
          <w:rFonts w:cs="Arial"/>
          <w:lang w:eastAsia="de-DE"/>
        </w:rPr>
        <w:t xml:space="preserve"> tool is required. The result of this checklist can be printed and used for further documentation.</w:t>
      </w:r>
    </w:p>
    <w:p w14:paraId="2A7B4C2C" w14:textId="7B4867A6" w:rsidR="006B5AE4" w:rsidRDefault="006B5AE4" w:rsidP="006B5AE4">
      <w:pPr>
        <w:rPr>
          <w:rFonts w:cs="Arial"/>
          <w:lang w:eastAsia="de-DE"/>
        </w:rPr>
      </w:pPr>
      <w:r>
        <w:rPr>
          <w:lang w:eastAsia="de-DE"/>
        </w:rPr>
        <w:t xml:space="preserve">For an approval, the </w:t>
      </w:r>
      <w:hyperlink r:id="rId29" w:history="1">
        <w:proofErr w:type="spellStart"/>
        <w:r w:rsidRPr="006C5E82">
          <w:rPr>
            <w:rStyle w:val="Hyperlink"/>
            <w:lang w:eastAsia="de-DE"/>
          </w:rPr>
          <w:t>SpoDoM</w:t>
        </w:r>
        <w:proofErr w:type="spellEnd"/>
        <w:r w:rsidRPr="006C5E82">
          <w:rPr>
            <w:rStyle w:val="Hyperlink"/>
            <w:lang w:eastAsia="de-DE"/>
          </w:rPr>
          <w:t xml:space="preserve"> </w:t>
        </w:r>
        <w:r w:rsidR="002D1DD5">
          <w:rPr>
            <w:rStyle w:val="Hyperlink"/>
            <w:lang w:eastAsia="de-DE"/>
          </w:rPr>
          <w:t>t</w:t>
        </w:r>
        <w:r w:rsidRPr="006C5E82">
          <w:rPr>
            <w:rStyle w:val="Hyperlink"/>
            <w:lang w:eastAsia="de-DE"/>
          </w:rPr>
          <w:t>ool</w:t>
        </w:r>
      </w:hyperlink>
      <w:r>
        <w:rPr>
          <w:lang w:eastAsia="de-DE"/>
        </w:rPr>
        <w:t xml:space="preserve"> guides you through </w:t>
      </w:r>
      <w:r w:rsidR="00751430">
        <w:rPr>
          <w:lang w:eastAsia="de-DE"/>
        </w:rPr>
        <w:t>6</w:t>
      </w:r>
      <w:r>
        <w:rPr>
          <w:lang w:eastAsia="de-DE"/>
        </w:rPr>
        <w:t xml:space="preserve"> steps: </w:t>
      </w:r>
      <w:r w:rsidRPr="00417FDA">
        <w:rPr>
          <w:lang w:eastAsia="de-DE"/>
        </w:rPr>
        <w:t>Identification</w:t>
      </w:r>
      <w:r>
        <w:rPr>
          <w:lang w:eastAsia="de-DE"/>
        </w:rPr>
        <w:t xml:space="preserve">, </w:t>
      </w:r>
      <w:r w:rsidRPr="00417FDA">
        <w:rPr>
          <w:lang w:eastAsia="de-DE"/>
        </w:rPr>
        <w:t>Authorization</w:t>
      </w:r>
      <w:r>
        <w:rPr>
          <w:lang w:eastAsia="de-DE"/>
        </w:rPr>
        <w:t xml:space="preserve">, </w:t>
      </w:r>
      <w:r w:rsidR="002679A8">
        <w:rPr>
          <w:lang w:eastAsia="de-DE"/>
        </w:rPr>
        <w:t>Key Data Entry</w:t>
      </w:r>
      <w:r>
        <w:rPr>
          <w:lang w:eastAsia="de-DE"/>
        </w:rPr>
        <w:t xml:space="preserve">, </w:t>
      </w:r>
      <w:r w:rsidR="002679A8">
        <w:rPr>
          <w:lang w:eastAsia="de-DE"/>
        </w:rPr>
        <w:t>Assessment</w:t>
      </w:r>
      <w:r w:rsidR="00751430">
        <w:rPr>
          <w:lang w:eastAsia="de-DE"/>
        </w:rPr>
        <w:t>,</w:t>
      </w:r>
      <w:r w:rsidR="002679A8">
        <w:rPr>
          <w:lang w:eastAsia="de-DE"/>
        </w:rPr>
        <w:t xml:space="preserve"> </w:t>
      </w:r>
      <w:r w:rsidRPr="00E334C1">
        <w:rPr>
          <w:lang w:eastAsia="de-DE"/>
        </w:rPr>
        <w:t>Approval</w:t>
      </w:r>
      <w:r w:rsidR="00751430">
        <w:rPr>
          <w:lang w:eastAsia="de-DE"/>
        </w:rPr>
        <w:t xml:space="preserve"> and Execution</w:t>
      </w:r>
      <w:r>
        <w:rPr>
          <w:lang w:eastAsia="de-DE"/>
        </w:rPr>
        <w:t xml:space="preserve">. </w:t>
      </w:r>
      <w:r>
        <w:rPr>
          <w:rFonts w:cs="Arial"/>
          <w:lang w:eastAsia="de-DE"/>
        </w:rPr>
        <w:t xml:space="preserve">It is used to correctly categorize benefits. The tool also helps to find out if the beneficiary belongs to a </w:t>
      </w:r>
      <w:hyperlink w:anchor="_1.3._Process_and" w:history="1">
        <w:r>
          <w:rPr>
            <w:rStyle w:val="Hyperlink"/>
            <w:rFonts w:cs="Arial"/>
            <w:lang w:eastAsia="de-DE"/>
          </w:rPr>
          <w:t>Risk Group</w:t>
        </w:r>
      </w:hyperlink>
      <w:r>
        <w:rPr>
          <w:rFonts w:cs="Arial"/>
          <w:lang w:eastAsia="de-DE"/>
        </w:rPr>
        <w:t>.</w:t>
      </w:r>
    </w:p>
    <w:p w14:paraId="6AF742CC" w14:textId="284D0B04" w:rsidR="003B39C6" w:rsidRPr="00E334C1" w:rsidRDefault="003B39C6" w:rsidP="003B39C6">
      <w:pPr>
        <w:pStyle w:val="HighlightboxGreyBulletpoints"/>
        <w:rPr>
          <w:rFonts w:cs="Arial"/>
        </w:rPr>
      </w:pPr>
      <w:r w:rsidRPr="00E334C1">
        <w:rPr>
          <w:rFonts w:cs="Arial"/>
          <w:b w:val="0"/>
        </w:rPr>
        <w:t>Management</w:t>
      </w:r>
    </w:p>
    <w:p w14:paraId="34A49CD0" w14:textId="23BD4537" w:rsidR="003B39C6" w:rsidRDefault="003B39C6" w:rsidP="003B39C6">
      <w:pPr>
        <w:ind w:left="360"/>
        <w:rPr>
          <w:rFonts w:cs="Arial"/>
          <w:lang w:eastAsia="de-DE"/>
        </w:rPr>
      </w:pPr>
      <w:r>
        <w:rPr>
          <w:rFonts w:cs="Arial"/>
          <w:lang w:eastAsia="de-DE"/>
        </w:rPr>
        <w:t xml:space="preserve">After having entered the required data in </w:t>
      </w:r>
      <w:proofErr w:type="spellStart"/>
      <w:r>
        <w:rPr>
          <w:rFonts w:cs="Arial"/>
          <w:lang w:eastAsia="de-DE"/>
        </w:rPr>
        <w:t>SpoDoM</w:t>
      </w:r>
      <w:proofErr w:type="spellEnd"/>
      <w:r>
        <w:rPr>
          <w:rFonts w:cs="Arial"/>
          <w:lang w:eastAsia="de-DE"/>
        </w:rPr>
        <w:t>, the tool provides a list of one or more persons from the pertinent management group according to the applicable signature mandate rules who can be selected in the tool for approving the activity.</w:t>
      </w:r>
    </w:p>
    <w:p w14:paraId="6C8B03FF" w14:textId="7B6B9BC9" w:rsidR="003B39C6" w:rsidRDefault="003B39C6" w:rsidP="003B39C6">
      <w:pPr>
        <w:ind w:left="360"/>
        <w:rPr>
          <w:rFonts w:cs="Arial"/>
          <w:lang w:eastAsia="de-DE"/>
        </w:rPr>
      </w:pPr>
      <w:r>
        <w:rPr>
          <w:rFonts w:cs="Arial"/>
          <w:lang w:eastAsia="de-DE"/>
        </w:rPr>
        <w:lastRenderedPageBreak/>
        <w:t>Typically, the supervisor of the applicant (</w:t>
      </w:r>
      <w:proofErr w:type="spellStart"/>
      <w:r>
        <w:rPr>
          <w:rFonts w:cs="Arial"/>
          <w:lang w:eastAsia="de-DE"/>
        </w:rPr>
        <w:t>SpoDoM</w:t>
      </w:r>
      <w:proofErr w:type="spellEnd"/>
      <w:r>
        <w:rPr>
          <w:rFonts w:cs="Arial"/>
          <w:lang w:eastAsia="de-DE"/>
        </w:rPr>
        <w:t xml:space="preserve"> role: </w:t>
      </w:r>
      <w:r w:rsidR="002D1DD5">
        <w:rPr>
          <w:rFonts w:cs="Arial"/>
          <w:lang w:eastAsia="de-DE"/>
        </w:rPr>
        <w:t>O</w:t>
      </w:r>
      <w:r>
        <w:rPr>
          <w:rFonts w:cs="Arial"/>
          <w:lang w:eastAsia="de-DE"/>
        </w:rPr>
        <w:t>riginator) is responsible for the approval. Alternatively, the person who is going to authorize the payment for the activity may be selected. If the manager normally responsible for the authorization is himself/herself the host, as a rule, an additional manager must be involved.</w:t>
      </w:r>
    </w:p>
    <w:p w14:paraId="6C09C1CD" w14:textId="0E67CA5C" w:rsidR="003B39C6" w:rsidRPr="00E334C1" w:rsidRDefault="003B39C6" w:rsidP="003B39C6">
      <w:pPr>
        <w:pStyle w:val="HighlightboxGreyBulletpoints"/>
        <w:rPr>
          <w:rFonts w:cs="Arial"/>
        </w:rPr>
      </w:pPr>
      <w:r w:rsidRPr="00E334C1">
        <w:rPr>
          <w:rFonts w:cs="Arial"/>
          <w:b w:val="0"/>
        </w:rPr>
        <w:t xml:space="preserve">Compliance </w:t>
      </w:r>
    </w:p>
    <w:p w14:paraId="6C09C1CE" w14:textId="3ECAD143" w:rsidR="003B39C6" w:rsidRDefault="003B39C6" w:rsidP="003B39C6">
      <w:pPr>
        <w:ind w:left="360"/>
        <w:rPr>
          <w:rFonts w:cs="Arial"/>
          <w:lang w:eastAsia="de-DE"/>
        </w:rPr>
      </w:pPr>
      <w:r>
        <w:rPr>
          <w:rFonts w:cs="Arial"/>
          <w:lang w:eastAsia="de-DE"/>
        </w:rPr>
        <w:t xml:space="preserve">The </w:t>
      </w:r>
      <w:proofErr w:type="spellStart"/>
      <w:r>
        <w:rPr>
          <w:rFonts w:cs="Arial"/>
          <w:lang w:eastAsia="de-DE"/>
        </w:rPr>
        <w:t>SpoDoM</w:t>
      </w:r>
      <w:proofErr w:type="spellEnd"/>
      <w:r>
        <w:rPr>
          <w:rFonts w:cs="Arial"/>
          <w:lang w:eastAsia="de-DE"/>
        </w:rPr>
        <w:t xml:space="preserve"> tool will provide a list of persons from the Compliance organization of the respective entity that is authorized to decide on the activity. One of these persons shall be selected by the originator.</w:t>
      </w:r>
    </w:p>
    <w:p w14:paraId="6C09C1CF" w14:textId="71B36268" w:rsidR="003B39C6" w:rsidRPr="00E334C1" w:rsidRDefault="003B39C6" w:rsidP="003B39C6">
      <w:pPr>
        <w:pStyle w:val="HighlightboxGreyBulletpoints"/>
        <w:rPr>
          <w:rFonts w:cs="Arial"/>
        </w:rPr>
      </w:pPr>
      <w:r w:rsidRPr="00E334C1">
        <w:rPr>
          <w:rFonts w:cs="Arial"/>
          <w:b w:val="0"/>
        </w:rPr>
        <w:t>Communications/</w:t>
      </w:r>
      <w:r w:rsidR="006555F2">
        <w:rPr>
          <w:rFonts w:cs="Arial"/>
          <w:b w:val="0"/>
        </w:rPr>
        <w:t>C</w:t>
      </w:r>
      <w:r w:rsidRPr="00E334C1">
        <w:rPr>
          <w:rFonts w:cs="Arial"/>
          <w:b w:val="0"/>
        </w:rPr>
        <w:t xml:space="preserve">M CUS </w:t>
      </w:r>
    </w:p>
    <w:p w14:paraId="6C09C1D0" w14:textId="09D324F9" w:rsidR="003B39C6" w:rsidRDefault="003B39C6" w:rsidP="003B39C6">
      <w:pPr>
        <w:ind w:left="360"/>
        <w:rPr>
          <w:rFonts w:cs="Arial"/>
          <w:lang w:eastAsia="de-DE"/>
        </w:rPr>
      </w:pPr>
      <w:r>
        <w:rPr>
          <w:rFonts w:cs="Arial"/>
          <w:lang w:eastAsia="de-DE"/>
        </w:rPr>
        <w:t xml:space="preserve">An approval by </w:t>
      </w:r>
      <w:proofErr w:type="spellStart"/>
      <w:r>
        <w:rPr>
          <w:rFonts w:cs="Arial"/>
          <w:lang w:eastAsia="de-DE"/>
        </w:rPr>
        <w:t>Communcations</w:t>
      </w:r>
      <w:proofErr w:type="spellEnd"/>
      <w:r>
        <w:rPr>
          <w:rFonts w:cs="Arial"/>
          <w:lang w:eastAsia="de-DE"/>
        </w:rPr>
        <w:t>/</w:t>
      </w:r>
      <w:r w:rsidR="006555F2">
        <w:rPr>
          <w:rFonts w:cs="Arial"/>
          <w:lang w:eastAsia="de-DE"/>
        </w:rPr>
        <w:t>C</w:t>
      </w:r>
      <w:r>
        <w:rPr>
          <w:rFonts w:cs="Arial"/>
          <w:lang w:eastAsia="de-DE"/>
        </w:rPr>
        <w:t xml:space="preserve">M CUS might be necessary for Sponsorships, Donations and Memberships as defined in </w:t>
      </w:r>
      <w:hyperlink r:id="rId30" w:history="1">
        <w:r>
          <w:rPr>
            <w:rStyle w:val="Hyperlink"/>
            <w:rFonts w:cs="Arial"/>
            <w:lang w:eastAsia="de-DE"/>
          </w:rPr>
          <w:t>Siemens Circular No. 186</w:t>
        </w:r>
      </w:hyperlink>
      <w:r>
        <w:rPr>
          <w:rFonts w:cs="Arial"/>
          <w:lang w:eastAsia="de-DE"/>
        </w:rPr>
        <w:t>.</w:t>
      </w:r>
    </w:p>
    <w:p w14:paraId="5B3DE1E7" w14:textId="77777777" w:rsidR="003B39C6" w:rsidRDefault="003B39C6" w:rsidP="003B39C6">
      <w:pPr>
        <w:rPr>
          <w:rFonts w:cs="Arial"/>
          <w:lang w:eastAsia="de-DE"/>
        </w:rPr>
      </w:pPr>
      <w:r>
        <w:rPr>
          <w:rFonts w:cs="Arial"/>
          <w:lang w:eastAsia="de-DE"/>
        </w:rPr>
        <w:t xml:space="preserve">After the activity has been approved, the </w:t>
      </w:r>
      <w:proofErr w:type="spellStart"/>
      <w:r>
        <w:rPr>
          <w:rFonts w:cs="Arial"/>
          <w:lang w:eastAsia="de-DE"/>
        </w:rPr>
        <w:t>SpoDoM</w:t>
      </w:r>
      <w:proofErr w:type="spellEnd"/>
      <w:r>
        <w:rPr>
          <w:rFonts w:cs="Arial"/>
          <w:lang w:eastAsia="de-DE"/>
        </w:rPr>
        <w:t xml:space="preserve"> tool will generate an approval voucher. The voucher shall be attached to the documents for the relevant accounting unit when claiming payment of expenses related to a benefit.</w:t>
      </w:r>
    </w:p>
    <w:p w14:paraId="6AF483CE" w14:textId="4FEC7B96" w:rsidR="003B39C6" w:rsidRPr="008C76DE" w:rsidRDefault="003B39C6" w:rsidP="00D62797">
      <w:pPr>
        <w:pStyle w:val="berschrift3"/>
      </w:pPr>
      <w:bookmarkStart w:id="33" w:name="_1.3.1._Entertainment_/"/>
      <w:bookmarkStart w:id="34" w:name="_bookmark12"/>
      <w:bookmarkEnd w:id="33"/>
      <w:bookmarkEnd w:id="34"/>
      <w:r>
        <w:t xml:space="preserve">1.3.1. </w:t>
      </w:r>
      <w:r w:rsidRPr="008C76DE">
        <w:t xml:space="preserve">Approval </w:t>
      </w:r>
      <w:r>
        <w:t xml:space="preserve">Specifics </w:t>
      </w:r>
      <w:r w:rsidRPr="008C76DE">
        <w:t>f</w:t>
      </w:r>
      <w:r w:rsidR="006B5AE4">
        <w:t>or</w:t>
      </w:r>
      <w:r w:rsidRPr="008C76DE">
        <w:t xml:space="preserve"> Entertainment Events</w:t>
      </w:r>
    </w:p>
    <w:p w14:paraId="5025E962" w14:textId="77777777" w:rsidR="003B39C6" w:rsidRDefault="003B39C6">
      <w:pPr>
        <w:rPr>
          <w:rFonts w:cs="Arial"/>
          <w:lang w:eastAsia="de-DE"/>
        </w:rPr>
      </w:pPr>
      <w:r>
        <w:rPr>
          <w:rFonts w:cs="Arial"/>
          <w:lang w:eastAsia="de-DE"/>
        </w:rPr>
        <w:t xml:space="preserve">If any of the invitees to an </w:t>
      </w:r>
      <w:hyperlink w:anchor="_1.2.2._Entertainment_Events*" w:history="1">
        <w:r>
          <w:rPr>
            <w:rStyle w:val="Hyperlink"/>
            <w:rFonts w:cs="Arial"/>
            <w:lang w:eastAsia="de-DE"/>
          </w:rPr>
          <w:t>Entertainment Event</w:t>
        </w:r>
      </w:hyperlink>
      <w:r>
        <w:rPr>
          <w:rFonts w:cs="Arial"/>
          <w:lang w:eastAsia="de-DE"/>
        </w:rPr>
        <w:t xml:space="preserve"> belongs to any of the </w:t>
      </w:r>
      <w:hyperlink w:anchor="_1.3._Process_and" w:history="1">
        <w:r>
          <w:rPr>
            <w:rStyle w:val="Hyperlink"/>
            <w:rFonts w:cs="Arial"/>
            <w:lang w:eastAsia="de-DE"/>
          </w:rPr>
          <w:t>Risk Groups</w:t>
        </w:r>
      </w:hyperlink>
      <w:r>
        <w:rPr>
          <w:rFonts w:cs="Arial"/>
          <w:lang w:eastAsia="de-DE"/>
        </w:rPr>
        <w:t xml:space="preserve">, prior approval using the </w:t>
      </w:r>
      <w:proofErr w:type="spellStart"/>
      <w:r>
        <w:rPr>
          <w:rFonts w:cs="Arial"/>
          <w:lang w:eastAsia="de-DE"/>
        </w:rPr>
        <w:t>SpoDoM</w:t>
      </w:r>
      <w:proofErr w:type="spellEnd"/>
      <w:r>
        <w:rPr>
          <w:rFonts w:cs="Arial"/>
          <w:lang w:eastAsia="de-DE"/>
        </w:rPr>
        <w:t xml:space="preserve"> tool is required. It should also be checked if </w:t>
      </w:r>
      <w:hyperlink w:anchor="AuthorizationSuperior" w:history="1">
        <w:r>
          <w:rPr>
            <w:rStyle w:val="Hyperlink"/>
            <w:rFonts w:cs="Arial"/>
            <w:lang w:eastAsia="de-DE"/>
          </w:rPr>
          <w:t>in</w:t>
        </w:r>
        <w:r w:rsidRPr="00323B39">
          <w:rPr>
            <w:rStyle w:val="Hyperlink"/>
            <w:rFonts w:cs="Arial"/>
            <w:lang w:eastAsia="de-DE"/>
          </w:rPr>
          <w:t xml:space="preserve">formation </w:t>
        </w:r>
        <w:r>
          <w:rPr>
            <w:rStyle w:val="Hyperlink"/>
            <w:rFonts w:cs="Arial"/>
            <w:lang w:eastAsia="de-DE"/>
          </w:rPr>
          <w:t>t</w:t>
        </w:r>
        <w:r w:rsidRPr="00323B39">
          <w:rPr>
            <w:rStyle w:val="Hyperlink"/>
            <w:rFonts w:cs="Arial"/>
            <w:lang w:eastAsia="de-DE"/>
          </w:rPr>
          <w:t>o or authorization by the superior of the beneficiary</w:t>
        </w:r>
      </w:hyperlink>
      <w:r>
        <w:rPr>
          <w:rFonts w:cs="Arial"/>
          <w:lang w:eastAsia="de-DE"/>
        </w:rPr>
        <w:t xml:space="preserve"> is necessary and addressed appropriately.</w:t>
      </w:r>
    </w:p>
    <w:p w14:paraId="6C09C1E5" w14:textId="4A58859D" w:rsidR="003B39C6" w:rsidRDefault="003B39C6">
      <w:pPr>
        <w:rPr>
          <w:rFonts w:cs="Arial"/>
          <w:lang w:eastAsia="de-DE"/>
        </w:rPr>
      </w:pPr>
      <w:r>
        <w:rPr>
          <w:rFonts w:cs="Arial"/>
          <w:lang w:eastAsia="de-DE"/>
        </w:rPr>
        <w:t xml:space="preserve">The expenses for Entertainment Events shall be evaluated in their entirety. They may not be split separately into the meals, travel costs, lodging costs and the entertainment part. All costs for the entire event must be registered in the </w:t>
      </w:r>
      <w:proofErr w:type="spellStart"/>
      <w:r>
        <w:rPr>
          <w:rFonts w:cs="Arial"/>
          <w:lang w:eastAsia="de-DE"/>
        </w:rPr>
        <w:t>SpoDoM</w:t>
      </w:r>
      <w:proofErr w:type="spellEnd"/>
      <w:r>
        <w:rPr>
          <w:rFonts w:cs="Arial"/>
          <w:lang w:eastAsia="de-DE"/>
        </w:rPr>
        <w:t xml:space="preserve"> tool.</w:t>
      </w:r>
      <w:r w:rsidR="006B5AE4">
        <w:rPr>
          <w:rFonts w:cs="Arial"/>
          <w:lang w:eastAsia="de-DE"/>
        </w:rPr>
        <w:t xml:space="preserve"> </w:t>
      </w:r>
      <w:r>
        <w:rPr>
          <w:rFonts w:cs="Arial"/>
          <w:lang w:eastAsia="de-DE"/>
        </w:rPr>
        <w:t xml:space="preserve">In case a third party partly organizes and/or pays for an event together with Siemens, the complete agenda and expenses shall be included in the </w:t>
      </w:r>
      <w:proofErr w:type="spellStart"/>
      <w:r>
        <w:rPr>
          <w:rFonts w:cs="Arial"/>
          <w:lang w:eastAsia="de-DE"/>
        </w:rPr>
        <w:t>SpoDoM</w:t>
      </w:r>
      <w:proofErr w:type="spellEnd"/>
      <w:r>
        <w:rPr>
          <w:rFonts w:cs="Arial"/>
          <w:lang w:eastAsia="de-DE"/>
        </w:rPr>
        <w:t xml:space="preserve"> tool. For example, if a site visit organized and paid for by Siemens is tied to sight-seeing organized and paid for by a Siemens Business Partner, both site visit and sight-seeing must be registered in the </w:t>
      </w:r>
      <w:proofErr w:type="spellStart"/>
      <w:r>
        <w:rPr>
          <w:rFonts w:cs="Arial"/>
          <w:lang w:eastAsia="de-DE"/>
        </w:rPr>
        <w:t>SpoDoM</w:t>
      </w:r>
      <w:proofErr w:type="spellEnd"/>
      <w:r>
        <w:rPr>
          <w:rFonts w:cs="Arial"/>
          <w:lang w:eastAsia="de-DE"/>
        </w:rPr>
        <w:t xml:space="preserve"> tool for approval.</w:t>
      </w:r>
    </w:p>
    <w:p w14:paraId="6C09C1E6" w14:textId="4846DD9F" w:rsidR="003B39C6" w:rsidRPr="00E334C1" w:rsidRDefault="003B39C6">
      <w:pPr>
        <w:pStyle w:val="HighlightboxGreyBulletpoints"/>
        <w:rPr>
          <w:rFonts w:cs="Arial"/>
          <w:b w:val="0"/>
        </w:rPr>
      </w:pPr>
      <w:r w:rsidRPr="00F94DA8">
        <w:rPr>
          <w:rFonts w:cs="Arial"/>
          <w:b w:val="0"/>
        </w:rPr>
        <w:t>Buying Tickets</w:t>
      </w:r>
    </w:p>
    <w:p w14:paraId="525B1686" w14:textId="02479489" w:rsidR="003B39C6" w:rsidRDefault="003B39C6">
      <w:pPr>
        <w:ind w:left="360"/>
        <w:rPr>
          <w:rFonts w:cs="Arial"/>
          <w:lang w:eastAsia="de-DE"/>
        </w:rPr>
      </w:pPr>
      <w:r>
        <w:rPr>
          <w:rFonts w:cs="Arial"/>
          <w:lang w:eastAsia="de-DE"/>
        </w:rPr>
        <w:t xml:space="preserve">In case of tickets purchase, the </w:t>
      </w:r>
      <w:proofErr w:type="spellStart"/>
      <w:r w:rsidRPr="006B5AE4">
        <w:rPr>
          <w:rFonts w:cs="Arial"/>
          <w:b/>
          <w:lang w:eastAsia="de-DE"/>
        </w:rPr>
        <w:t>SpoDoM</w:t>
      </w:r>
      <w:proofErr w:type="spellEnd"/>
      <w:r w:rsidR="006B5AE4" w:rsidRPr="006B5AE4">
        <w:rPr>
          <w:rFonts w:cs="Arial"/>
          <w:b/>
          <w:lang w:eastAsia="de-DE"/>
        </w:rPr>
        <w:t>-A</w:t>
      </w:r>
      <w:r w:rsidRPr="006B5AE4">
        <w:rPr>
          <w:rFonts w:cs="Arial"/>
          <w:b/>
          <w:lang w:eastAsia="de-DE"/>
        </w:rPr>
        <w:t>pproval</w:t>
      </w:r>
      <w:r>
        <w:rPr>
          <w:rFonts w:cs="Arial"/>
          <w:lang w:eastAsia="de-DE"/>
        </w:rPr>
        <w:t xml:space="preserve"> shall be obtained </w:t>
      </w:r>
      <w:r w:rsidRPr="00E334C1">
        <w:rPr>
          <w:rFonts w:cs="Arial"/>
          <w:b/>
          <w:lang w:eastAsia="de-DE"/>
        </w:rPr>
        <w:t>before</w:t>
      </w:r>
      <w:r w:rsidRPr="006B5AE4">
        <w:rPr>
          <w:rFonts w:cs="Arial"/>
          <w:b/>
          <w:lang w:eastAsia="de-DE"/>
        </w:rPr>
        <w:t xml:space="preserve"> buying</w:t>
      </w:r>
      <w:r>
        <w:rPr>
          <w:rFonts w:cs="Arial"/>
          <w:lang w:eastAsia="de-DE"/>
        </w:rPr>
        <w:t xml:space="preserve"> tickets and the </w:t>
      </w:r>
      <w:proofErr w:type="spellStart"/>
      <w:r>
        <w:rPr>
          <w:rFonts w:cs="Arial"/>
          <w:lang w:eastAsia="de-DE"/>
        </w:rPr>
        <w:t>SpoDoM</w:t>
      </w:r>
      <w:proofErr w:type="spellEnd"/>
      <w:r>
        <w:rPr>
          <w:rFonts w:cs="Arial"/>
          <w:lang w:eastAsia="de-DE"/>
        </w:rPr>
        <w:t xml:space="preserve"> voucher shall be attached to the relevant accounting documents.</w:t>
      </w:r>
    </w:p>
    <w:p w14:paraId="19B5E2BB" w14:textId="71615046" w:rsidR="003B39C6" w:rsidRPr="00F30A04" w:rsidRDefault="003B39C6">
      <w:pPr>
        <w:ind w:left="360"/>
        <w:rPr>
          <w:rFonts w:cs="Arial"/>
          <w:lang w:eastAsia="de-DE"/>
        </w:rPr>
      </w:pPr>
      <w:r>
        <w:rPr>
          <w:rFonts w:cs="Arial"/>
          <w:lang w:eastAsia="de-DE"/>
        </w:rPr>
        <w:t>T</w:t>
      </w:r>
      <w:r w:rsidRPr="00F30A04">
        <w:rPr>
          <w:rFonts w:cs="Arial"/>
          <w:lang w:eastAsia="de-DE"/>
        </w:rPr>
        <w:t xml:space="preserve">he intended purpose of the event and risk category of invitees should be </w:t>
      </w:r>
      <w:r w:rsidRPr="00E334C1">
        <w:rPr>
          <w:rFonts w:cs="Arial"/>
          <w:b/>
          <w:lang w:eastAsia="de-DE"/>
        </w:rPr>
        <w:t>aligned</w:t>
      </w:r>
      <w:r w:rsidRPr="00F30A04">
        <w:rPr>
          <w:rFonts w:cs="Arial"/>
          <w:lang w:eastAsia="de-DE"/>
        </w:rPr>
        <w:t xml:space="preserve"> by the originator of the </w:t>
      </w:r>
      <w:proofErr w:type="spellStart"/>
      <w:r w:rsidRPr="00F30A04">
        <w:rPr>
          <w:rFonts w:cs="Arial"/>
          <w:lang w:eastAsia="de-DE"/>
        </w:rPr>
        <w:t>SpoDoM</w:t>
      </w:r>
      <w:proofErr w:type="spellEnd"/>
      <w:r w:rsidRPr="00F30A04">
        <w:rPr>
          <w:rFonts w:cs="Arial"/>
          <w:lang w:eastAsia="de-DE"/>
        </w:rPr>
        <w:t xml:space="preserve"> activity with the responsible person in the inviting business entity </w:t>
      </w:r>
      <w:r w:rsidRPr="00E334C1">
        <w:rPr>
          <w:rFonts w:cs="Arial"/>
          <w:b/>
          <w:lang w:eastAsia="de-DE"/>
        </w:rPr>
        <w:t>before</w:t>
      </w:r>
      <w:r w:rsidRPr="00F30A04">
        <w:rPr>
          <w:rFonts w:cs="Arial"/>
          <w:lang w:eastAsia="de-DE"/>
        </w:rPr>
        <w:t xml:space="preserve"> purchasing tickets. </w:t>
      </w:r>
      <w:r>
        <w:rPr>
          <w:rFonts w:cs="Arial"/>
          <w:lang w:eastAsia="de-DE"/>
        </w:rPr>
        <w:t>Evaluate whether the category and value of the intended event might hinder acceptance of the invitation by the intended invitees.</w:t>
      </w:r>
    </w:p>
    <w:p w14:paraId="14B405C9" w14:textId="3285CCA9" w:rsidR="003B39C6" w:rsidRDefault="003B39C6">
      <w:pPr>
        <w:ind w:left="360"/>
        <w:rPr>
          <w:rFonts w:cs="Arial"/>
          <w:lang w:eastAsia="de-DE"/>
        </w:rPr>
      </w:pPr>
      <w:r>
        <w:rPr>
          <w:rFonts w:cs="Arial"/>
          <w:lang w:eastAsia="de-DE"/>
        </w:rPr>
        <w:t xml:space="preserve">In case </w:t>
      </w:r>
      <w:r w:rsidRPr="00E334C1">
        <w:rPr>
          <w:rFonts w:cs="Arial"/>
          <w:b/>
          <w:lang w:eastAsia="de-DE"/>
        </w:rPr>
        <w:t>the invitees cannot yet be determined</w:t>
      </w:r>
      <w:r>
        <w:rPr>
          <w:rFonts w:cs="Arial"/>
          <w:lang w:eastAsia="de-DE"/>
        </w:rPr>
        <w:t xml:space="preserve">, the event shall be entered in the </w:t>
      </w:r>
      <w:proofErr w:type="spellStart"/>
      <w:r>
        <w:rPr>
          <w:rFonts w:cs="Arial"/>
          <w:lang w:eastAsia="de-DE"/>
        </w:rPr>
        <w:t>SpoDoM</w:t>
      </w:r>
      <w:proofErr w:type="spellEnd"/>
      <w:r>
        <w:rPr>
          <w:rFonts w:cs="Arial"/>
          <w:lang w:eastAsia="de-DE"/>
        </w:rPr>
        <w:t xml:space="preserve"> tool and evaluated </w:t>
      </w:r>
      <w:proofErr w:type="gramStart"/>
      <w:r>
        <w:rPr>
          <w:rFonts w:cs="Arial"/>
          <w:lang w:eastAsia="de-DE"/>
        </w:rPr>
        <w:t>on the basis of</w:t>
      </w:r>
      <w:proofErr w:type="gramEnd"/>
      <w:r>
        <w:rPr>
          <w:rFonts w:cs="Arial"/>
          <w:lang w:eastAsia="de-DE"/>
        </w:rPr>
        <w:t xml:space="preserve"> the anticipated category of invitees. The names of the invitees, the risk categorization and the evaluation must be adjusted to the actual invitees as soon as possible.</w:t>
      </w:r>
    </w:p>
    <w:p w14:paraId="6C09C1E7" w14:textId="1E558C68" w:rsidR="003B39C6" w:rsidRDefault="003B39C6">
      <w:pPr>
        <w:ind w:left="360"/>
        <w:rPr>
          <w:rFonts w:cs="Arial"/>
          <w:lang w:eastAsia="de-DE"/>
        </w:rPr>
      </w:pPr>
      <w:r>
        <w:rPr>
          <w:rFonts w:cs="Arial"/>
          <w:lang w:eastAsia="de-DE"/>
        </w:rPr>
        <w:t xml:space="preserve">The approval in the </w:t>
      </w:r>
      <w:proofErr w:type="spellStart"/>
      <w:r>
        <w:rPr>
          <w:rFonts w:cs="Arial"/>
          <w:lang w:eastAsia="de-DE"/>
        </w:rPr>
        <w:t>SpoDoM</w:t>
      </w:r>
      <w:proofErr w:type="spellEnd"/>
      <w:r>
        <w:rPr>
          <w:rFonts w:cs="Arial"/>
          <w:lang w:eastAsia="de-DE"/>
        </w:rPr>
        <w:t xml:space="preserve"> tool must be obtained </w:t>
      </w:r>
      <w:r w:rsidRPr="00E334C1">
        <w:rPr>
          <w:rFonts w:cs="Arial"/>
          <w:b/>
          <w:lang w:eastAsia="de-DE"/>
        </w:rPr>
        <w:t>before</w:t>
      </w:r>
      <w:r>
        <w:rPr>
          <w:rFonts w:cs="Arial"/>
          <w:lang w:eastAsia="de-DE"/>
        </w:rPr>
        <w:t xml:space="preserve"> the ticket is </w:t>
      </w:r>
      <w:r w:rsidRPr="006B5AE4">
        <w:rPr>
          <w:rFonts w:cs="Arial"/>
          <w:b/>
          <w:lang w:eastAsia="de-DE"/>
        </w:rPr>
        <w:t>offered</w:t>
      </w:r>
      <w:r>
        <w:rPr>
          <w:rFonts w:cs="Arial"/>
          <w:lang w:eastAsia="de-DE"/>
        </w:rPr>
        <w:t>.</w:t>
      </w:r>
    </w:p>
    <w:p w14:paraId="6C09C1E9" w14:textId="5906DFD7" w:rsidR="003B39C6" w:rsidRPr="00E334C1" w:rsidRDefault="003B39C6">
      <w:pPr>
        <w:pStyle w:val="HighlightboxGreyBulletpoints"/>
        <w:rPr>
          <w:rFonts w:cs="Arial"/>
          <w:b w:val="0"/>
        </w:rPr>
      </w:pPr>
      <w:r w:rsidRPr="00F94DA8">
        <w:rPr>
          <w:rFonts w:cs="Arial"/>
          <w:b w:val="0"/>
        </w:rPr>
        <w:t>Subsequent Approval in Exceptional Cases</w:t>
      </w:r>
    </w:p>
    <w:p w14:paraId="41D810AF" w14:textId="77777777" w:rsidR="003B39C6" w:rsidRDefault="003B39C6">
      <w:pPr>
        <w:ind w:left="360"/>
        <w:rPr>
          <w:rFonts w:cs="Arial"/>
          <w:lang w:eastAsia="de-DE"/>
        </w:rPr>
      </w:pPr>
      <w:r>
        <w:rPr>
          <w:rFonts w:cs="Arial"/>
          <w:lang w:eastAsia="de-DE"/>
        </w:rPr>
        <w:t xml:space="preserve">If, in </w:t>
      </w:r>
      <w:r w:rsidRPr="00E334C1">
        <w:rPr>
          <w:rFonts w:cs="Arial"/>
          <w:b/>
          <w:lang w:eastAsia="de-DE"/>
        </w:rPr>
        <w:t>exceptional</w:t>
      </w:r>
      <w:r>
        <w:rPr>
          <w:rFonts w:cs="Arial"/>
          <w:lang w:eastAsia="de-DE"/>
        </w:rPr>
        <w:t xml:space="preserve"> cases, the employee is for objective reasons not able to obtain the </w:t>
      </w:r>
      <w:proofErr w:type="spellStart"/>
      <w:r>
        <w:rPr>
          <w:rFonts w:cs="Arial"/>
          <w:lang w:eastAsia="de-DE"/>
        </w:rPr>
        <w:t>SpoDoM</w:t>
      </w:r>
      <w:proofErr w:type="spellEnd"/>
      <w:r>
        <w:rPr>
          <w:rFonts w:cs="Arial"/>
          <w:lang w:eastAsia="de-DE"/>
        </w:rPr>
        <w:t xml:space="preserve"> approval before the invitation (e.g. if the employee is travelling on business and has no access to the tool), the local </w:t>
      </w:r>
      <w:r>
        <w:rPr>
          <w:rFonts w:cs="Arial"/>
          <w:lang w:eastAsia="de-DE"/>
        </w:rPr>
        <w:lastRenderedPageBreak/>
        <w:t>manager and the responsible Compliance Officer shall be contacted by other means, such as e-mail or telephone, in order to obtain their assessment of the intended activity.</w:t>
      </w:r>
    </w:p>
    <w:p w14:paraId="6C09C1EB" w14:textId="59659A34" w:rsidR="003B39C6" w:rsidRDefault="003B39C6">
      <w:pPr>
        <w:ind w:left="360"/>
        <w:rPr>
          <w:rFonts w:cs="Arial"/>
          <w:lang w:eastAsia="de-DE"/>
        </w:rPr>
      </w:pPr>
      <w:r>
        <w:rPr>
          <w:rFonts w:cs="Arial"/>
          <w:lang w:eastAsia="de-DE"/>
        </w:rPr>
        <w:t xml:space="preserve">The activity and the reason for the belated entry shall be </w:t>
      </w:r>
      <w:r w:rsidRPr="00E334C1">
        <w:rPr>
          <w:rFonts w:cs="Arial"/>
          <w:b/>
          <w:lang w:eastAsia="de-DE"/>
        </w:rPr>
        <w:t>documented</w:t>
      </w:r>
      <w:r>
        <w:rPr>
          <w:rFonts w:cs="Arial"/>
          <w:lang w:eastAsia="de-DE"/>
        </w:rPr>
        <w:t xml:space="preserve"> in the </w:t>
      </w:r>
      <w:proofErr w:type="spellStart"/>
      <w:r>
        <w:rPr>
          <w:rFonts w:cs="Arial"/>
          <w:lang w:eastAsia="de-DE"/>
        </w:rPr>
        <w:t>SpoDoM</w:t>
      </w:r>
      <w:proofErr w:type="spellEnd"/>
      <w:r>
        <w:rPr>
          <w:rFonts w:cs="Arial"/>
          <w:lang w:eastAsia="de-DE"/>
        </w:rPr>
        <w:t xml:space="preserve"> Tool as soon as possible,</w:t>
      </w:r>
      <w:r w:rsidRPr="00F30A04">
        <w:rPr>
          <w:rFonts w:cs="Arial"/>
          <w:lang w:eastAsia="de-DE"/>
        </w:rPr>
        <w:t xml:space="preserve"> </w:t>
      </w:r>
      <w:r>
        <w:rPr>
          <w:rFonts w:cs="Arial"/>
          <w:lang w:eastAsia="de-DE"/>
        </w:rPr>
        <w:t xml:space="preserve">at the latest within four weeks after the end date of the event. After this period, the employee must provide the Compliance Officer in writing with the reasons for the belated entry and the Compliance Officer can assist in making the entry in the </w:t>
      </w:r>
      <w:proofErr w:type="spellStart"/>
      <w:r>
        <w:rPr>
          <w:rFonts w:cs="Arial"/>
          <w:lang w:eastAsia="de-DE"/>
        </w:rPr>
        <w:t>SpoDoM</w:t>
      </w:r>
      <w:proofErr w:type="spellEnd"/>
      <w:r>
        <w:rPr>
          <w:rFonts w:cs="Arial"/>
          <w:lang w:eastAsia="de-DE"/>
        </w:rPr>
        <w:t xml:space="preserve"> tool.</w:t>
      </w:r>
    </w:p>
    <w:p w14:paraId="6C09C1EC" w14:textId="4C6435C6" w:rsidR="003B39C6" w:rsidRPr="00E334C1" w:rsidRDefault="003B39C6">
      <w:pPr>
        <w:pStyle w:val="HighlightboxGreyBulletpoints"/>
        <w:rPr>
          <w:rFonts w:cs="Arial"/>
          <w:b w:val="0"/>
        </w:rPr>
      </w:pPr>
      <w:r w:rsidRPr="00F94DA8">
        <w:rPr>
          <w:rFonts w:cs="Arial"/>
          <w:b w:val="0"/>
        </w:rPr>
        <w:t>Spontaneous Guests</w:t>
      </w:r>
    </w:p>
    <w:p w14:paraId="6C09C1EE" w14:textId="700E194E" w:rsidR="003B39C6" w:rsidRDefault="003B39C6">
      <w:pPr>
        <w:ind w:left="360"/>
        <w:rPr>
          <w:rFonts w:cs="Arial"/>
          <w:lang w:eastAsia="de-DE"/>
        </w:rPr>
      </w:pPr>
      <w:r>
        <w:rPr>
          <w:rFonts w:cs="Arial"/>
          <w:lang w:eastAsia="de-DE"/>
        </w:rPr>
        <w:t xml:space="preserve">If an invitee brings along an uninvited guest, the rules of courtesy shall apply. If it were impolite to refuse inviting the unexpected guest in the specific situation, the host may </w:t>
      </w:r>
      <w:r w:rsidRPr="00E334C1">
        <w:rPr>
          <w:rFonts w:cs="Arial"/>
          <w:b/>
          <w:lang w:eastAsia="de-DE"/>
        </w:rPr>
        <w:t xml:space="preserve">exceptionally </w:t>
      </w:r>
      <w:r>
        <w:rPr>
          <w:rFonts w:cs="Arial"/>
          <w:lang w:eastAsia="de-DE"/>
        </w:rPr>
        <w:t>extent the invitation to that person.</w:t>
      </w:r>
      <w:r w:rsidR="006B5AE4">
        <w:rPr>
          <w:rFonts w:cs="Arial"/>
          <w:lang w:eastAsia="de-DE"/>
        </w:rPr>
        <w:t xml:space="preserve"> </w:t>
      </w:r>
      <w:r>
        <w:rPr>
          <w:rFonts w:cs="Arial"/>
          <w:lang w:eastAsia="de-DE"/>
        </w:rPr>
        <w:t xml:space="preserve">However, the participation of the spontaneous guest must be in line with the </w:t>
      </w:r>
      <w:hyperlink w:anchor="_1.2.2._Entertainment_Events*" w:history="1">
        <w:r w:rsidRPr="00EC1F35">
          <w:rPr>
            <w:rStyle w:val="Hyperlink"/>
            <w:rFonts w:cs="Arial"/>
            <w:lang w:eastAsia="de-DE"/>
          </w:rPr>
          <w:t>general and specific principles</w:t>
        </w:r>
      </w:hyperlink>
      <w:r>
        <w:rPr>
          <w:rFonts w:cs="Arial"/>
          <w:lang w:eastAsia="de-DE"/>
        </w:rPr>
        <w:t xml:space="preserve"> for Entertainment Events. The incident must be </w:t>
      </w:r>
      <w:r w:rsidRPr="00E334C1">
        <w:rPr>
          <w:rFonts w:cs="Arial"/>
          <w:b/>
          <w:lang w:eastAsia="de-DE"/>
        </w:rPr>
        <w:t xml:space="preserve">documented </w:t>
      </w:r>
      <w:r>
        <w:rPr>
          <w:rFonts w:cs="Arial"/>
          <w:lang w:eastAsia="de-DE"/>
        </w:rPr>
        <w:t xml:space="preserve">in the </w:t>
      </w:r>
      <w:proofErr w:type="spellStart"/>
      <w:r>
        <w:rPr>
          <w:rFonts w:cs="Arial"/>
          <w:lang w:eastAsia="de-DE"/>
        </w:rPr>
        <w:t>SpoDoM</w:t>
      </w:r>
      <w:proofErr w:type="spellEnd"/>
      <w:r>
        <w:rPr>
          <w:rFonts w:cs="Arial"/>
          <w:lang w:eastAsia="de-DE"/>
        </w:rPr>
        <w:t xml:space="preserve"> tool. In case of a recurring invitation the invitee shall be informed that Siemens expects him/her to announce an intention to bring along uninvited participants.</w:t>
      </w:r>
    </w:p>
    <w:p w14:paraId="6C09C1EF" w14:textId="655580E8" w:rsidR="003B39C6" w:rsidRPr="00E334C1" w:rsidRDefault="003B39C6">
      <w:pPr>
        <w:pStyle w:val="HighlightboxGreyBulletpoints"/>
        <w:rPr>
          <w:rFonts w:cs="Arial"/>
          <w:b w:val="0"/>
        </w:rPr>
      </w:pPr>
      <w:r w:rsidRPr="00F94DA8">
        <w:rPr>
          <w:rFonts w:cs="Arial"/>
          <w:b w:val="0"/>
        </w:rPr>
        <w:t>Invitations of Siemens Employees’ Guests</w:t>
      </w:r>
    </w:p>
    <w:p w14:paraId="7060218A" w14:textId="043E1B3C" w:rsidR="003B39C6" w:rsidRPr="001C7C8E" w:rsidRDefault="003B39C6">
      <w:pPr>
        <w:ind w:left="360"/>
        <w:rPr>
          <w:rFonts w:cs="Arial"/>
          <w:lang w:eastAsia="de-DE"/>
        </w:rPr>
      </w:pPr>
      <w:r w:rsidRPr="00E334C1">
        <w:rPr>
          <w:rFonts w:cs="Arial"/>
          <w:lang w:eastAsia="de-DE"/>
        </w:rPr>
        <w:t xml:space="preserve">Please see </w:t>
      </w:r>
      <w:hyperlink w:anchor="InvitationsSiemensEmployeesGuests" w:history="1">
        <w:r w:rsidR="005A6EC6">
          <w:rPr>
            <w:rStyle w:val="Hyperlink"/>
            <w:rFonts w:cs="Arial"/>
            <w:lang w:eastAsia="de-DE"/>
          </w:rPr>
          <w:t>C</w:t>
        </w:r>
        <w:r w:rsidRPr="00F305A5">
          <w:rPr>
            <w:rStyle w:val="Hyperlink"/>
            <w:rFonts w:cs="Arial"/>
            <w:lang w:eastAsia="de-DE"/>
          </w:rPr>
          <w:t>hapter 1.4.</w:t>
        </w:r>
      </w:hyperlink>
      <w:r w:rsidRPr="00E334C1">
        <w:rPr>
          <w:rFonts w:cs="Arial"/>
          <w:lang w:eastAsia="de-DE"/>
        </w:rPr>
        <w:t>.</w:t>
      </w:r>
    </w:p>
    <w:p w14:paraId="32F39A41" w14:textId="77777777" w:rsidR="003B39C6" w:rsidRPr="00EC1F35" w:rsidRDefault="003B39C6" w:rsidP="00D62797">
      <w:pPr>
        <w:pStyle w:val="berschrift3"/>
        <w:rPr>
          <w:b w:val="0"/>
        </w:rPr>
      </w:pPr>
      <w:bookmarkStart w:id="35" w:name="_1.3.2._Exception:_Siemens-Organized"/>
      <w:bookmarkEnd w:id="35"/>
      <w:r>
        <w:t xml:space="preserve">1.3.2. </w:t>
      </w:r>
      <w:r w:rsidRPr="00EC1F35">
        <w:t>Exception: Siemens</w:t>
      </w:r>
      <w:r>
        <w:t>-O</w:t>
      </w:r>
      <w:r w:rsidRPr="00EC1F35">
        <w:t>rganized Events</w:t>
      </w:r>
    </w:p>
    <w:p w14:paraId="445ED9A1" w14:textId="77777777" w:rsidR="00C26FA9" w:rsidRPr="00C26FA9" w:rsidRDefault="00C26FA9">
      <w:bookmarkStart w:id="36" w:name="_Hlk35945412"/>
      <w:r w:rsidRPr="00C26FA9">
        <w:t xml:space="preserve">Siemens-organized events are events that are organized or hosted by Siemens. These include, for instance, product presentations, media events or lecture series of Siemens panels. An external event cannot be classified as a Siemens-organized event even if it is financed entirely by Siemens. </w:t>
      </w:r>
    </w:p>
    <w:p w14:paraId="05CFC90A" w14:textId="77777777" w:rsidR="00C26FA9" w:rsidRPr="00C26FA9" w:rsidRDefault="00C26FA9">
      <w:r w:rsidRPr="00C26FA9">
        <w:t xml:space="preserve">Invitations to </w:t>
      </w:r>
      <w:bookmarkStart w:id="37" w:name="_Hlk35945485"/>
      <w:r w:rsidRPr="00C26FA9">
        <w:t xml:space="preserve">Siemens-organized or hosted events </w:t>
      </w:r>
      <w:bookmarkEnd w:id="37"/>
      <w:r w:rsidRPr="00C26FA9">
        <w:t xml:space="preserve">do not have to be approved in the </w:t>
      </w:r>
      <w:proofErr w:type="spellStart"/>
      <w:r w:rsidRPr="00C26FA9">
        <w:t>SpoDoM</w:t>
      </w:r>
      <w:proofErr w:type="spellEnd"/>
      <w:r w:rsidRPr="00C26FA9">
        <w:t xml:space="preserve"> tool if:</w:t>
      </w:r>
    </w:p>
    <w:p w14:paraId="0F60260E" w14:textId="1AC5E58A" w:rsidR="00C26FA9" w:rsidRPr="00C26FA9" w:rsidRDefault="00C26FA9">
      <w:pPr>
        <w:numPr>
          <w:ilvl w:val="0"/>
          <w:numId w:val="10"/>
        </w:numPr>
      </w:pPr>
      <w:r w:rsidRPr="00C26FA9">
        <w:t xml:space="preserve">their purpose is to disseminate scientific or technical information of use to the invitees or to serve as a forum for the discussion of cultural or political topics </w:t>
      </w:r>
      <w:r w:rsidRPr="00C26FA9">
        <w:rPr>
          <w:u w:val="single"/>
        </w:rPr>
        <w:t>and</w:t>
      </w:r>
      <w:r w:rsidRPr="00C26FA9">
        <w:t xml:space="preserve"> </w:t>
      </w:r>
    </w:p>
    <w:p w14:paraId="76A09B02" w14:textId="77777777" w:rsidR="00C26FA9" w:rsidRPr="00C26FA9" w:rsidRDefault="00C26FA9">
      <w:pPr>
        <w:numPr>
          <w:ilvl w:val="0"/>
          <w:numId w:val="10"/>
        </w:numPr>
      </w:pPr>
      <w:r w:rsidRPr="00C26FA9">
        <w:t xml:space="preserve">at which any other benefits provided for invitees are appropriate in relation to the overall event. </w:t>
      </w:r>
    </w:p>
    <w:p w14:paraId="0A679736" w14:textId="77777777" w:rsidR="00C26FA9" w:rsidRPr="00C26FA9" w:rsidRDefault="00C26FA9">
      <w:r w:rsidRPr="00C26FA9">
        <w:t>Appropriate benefits, in the context of such an event organized by Siemens, are usually those that are directly related to the nature of the event, such as snacks or light meals, background music, a small souvenir of the location or related to the subject matter of the event, or a USB stick containing the presentation documents.</w:t>
      </w:r>
    </w:p>
    <w:p w14:paraId="4320B348" w14:textId="6988C963" w:rsidR="00C26FA9" w:rsidRPr="00C26FA9" w:rsidRDefault="00C26FA9">
      <w:r w:rsidRPr="00C26FA9">
        <w:t xml:space="preserve">If therefore any other </w:t>
      </w:r>
      <w:r w:rsidR="00742BBF">
        <w:t>b</w:t>
      </w:r>
      <w:r w:rsidRPr="00C26FA9">
        <w:t xml:space="preserve">enefits provided to invitees could be considered inappropriate in relation to the overall event, an approval in the </w:t>
      </w:r>
      <w:proofErr w:type="spellStart"/>
      <w:r w:rsidRPr="00C26FA9">
        <w:t>SpoDoM</w:t>
      </w:r>
      <w:proofErr w:type="spellEnd"/>
      <w:r w:rsidRPr="00C26FA9">
        <w:t xml:space="preserve"> tool is required for </w:t>
      </w:r>
      <w:hyperlink w:anchor="_1.3._Process_and" w:history="1">
        <w:r w:rsidR="00742BBF" w:rsidRPr="00A55BF2">
          <w:rPr>
            <w:rStyle w:val="Hyperlink"/>
            <w:lang w:eastAsia="de-DE"/>
          </w:rPr>
          <w:t>Risk Group</w:t>
        </w:r>
      </w:hyperlink>
      <w:r w:rsidR="00742BBF">
        <w:rPr>
          <w:rStyle w:val="Hyperlink"/>
          <w:lang w:eastAsia="de-DE"/>
        </w:rPr>
        <w:t>s</w:t>
      </w:r>
      <w:r w:rsidRPr="00C26FA9">
        <w:t xml:space="preserve">. This can often occur with product </w:t>
      </w:r>
      <w:proofErr w:type="gramStart"/>
      <w:r w:rsidRPr="00C26FA9">
        <w:t>presentations in particular, if</w:t>
      </w:r>
      <w:proofErr w:type="gramEnd"/>
      <w:r w:rsidRPr="00C26FA9">
        <w:t xml:space="preserve"> – as is often the case - the presentation of the actual product is enhanced by the venue and ambiance of the event and by additional entertainment elements. </w:t>
      </w:r>
    </w:p>
    <w:p w14:paraId="601E40E5" w14:textId="77777777" w:rsidR="00C26FA9" w:rsidRDefault="00C26FA9"/>
    <w:p w14:paraId="051E28DA" w14:textId="2FCCD5B8" w:rsidR="003B39C6" w:rsidRPr="00BA2358" w:rsidRDefault="003B39C6" w:rsidP="00D62797">
      <w:pPr>
        <w:pStyle w:val="berschrift3"/>
      </w:pPr>
      <w:bookmarkStart w:id="38" w:name="_1.3.1.2._Exception:_Event/Travel/Lo"/>
      <w:bookmarkEnd w:id="38"/>
      <w:bookmarkEnd w:id="36"/>
      <w:r w:rsidRPr="00BA2358">
        <w:t>1.3.</w:t>
      </w:r>
      <w:r>
        <w:t>3</w:t>
      </w:r>
      <w:r w:rsidRPr="00BA2358">
        <w:t>.</w:t>
      </w:r>
      <w:r w:rsidRPr="00732D10">
        <w:t xml:space="preserve"> </w:t>
      </w:r>
      <w:r>
        <w:t xml:space="preserve">Exception: </w:t>
      </w:r>
      <w:r w:rsidRPr="00BA2358">
        <w:t>Event/</w:t>
      </w:r>
      <w:r>
        <w:t>Travel/Lodging</w:t>
      </w:r>
      <w:r w:rsidRPr="00BA2358">
        <w:t xml:space="preserve"> stipulated in a contract</w:t>
      </w:r>
    </w:p>
    <w:p w14:paraId="594F0930" w14:textId="6F929260" w:rsidR="003B39C6" w:rsidRDefault="003B39C6">
      <w:pPr>
        <w:rPr>
          <w:lang w:eastAsia="de-DE"/>
        </w:rPr>
      </w:pPr>
      <w:bookmarkStart w:id="39" w:name="_1.3.26.1._Siemens_organized"/>
      <w:bookmarkEnd w:id="39"/>
      <w:r w:rsidRPr="00732D10">
        <w:rPr>
          <w:lang w:eastAsia="de-DE"/>
        </w:rPr>
        <w:t xml:space="preserve">An approval in the </w:t>
      </w:r>
      <w:proofErr w:type="spellStart"/>
      <w:r w:rsidRPr="00732D10">
        <w:rPr>
          <w:lang w:eastAsia="de-DE"/>
        </w:rPr>
        <w:t>SpoDoM</w:t>
      </w:r>
      <w:proofErr w:type="spellEnd"/>
      <w:r w:rsidRPr="00732D10">
        <w:rPr>
          <w:lang w:eastAsia="de-DE"/>
        </w:rPr>
        <w:t xml:space="preserve"> tool is not required for </w:t>
      </w:r>
      <w:hyperlink w:anchor="_1.2.2._Entertainment_Events*" w:history="1">
        <w:r w:rsidRPr="00732D10">
          <w:rPr>
            <w:rStyle w:val="Hyperlink"/>
            <w:rFonts w:cs="Arial"/>
            <w:lang w:eastAsia="de-DE"/>
          </w:rPr>
          <w:t>Entertainment Events</w:t>
        </w:r>
      </w:hyperlink>
      <w:r w:rsidRPr="00732D10">
        <w:rPr>
          <w:lang w:eastAsia="de-DE"/>
        </w:rPr>
        <w:t xml:space="preserve">, </w:t>
      </w:r>
      <w:hyperlink w:anchor="_1.2.3._Travel_and" w:history="1">
        <w:r w:rsidR="00D13EB1">
          <w:rPr>
            <w:rStyle w:val="Hyperlink"/>
            <w:rFonts w:cs="Arial"/>
            <w:lang w:eastAsia="de-DE"/>
          </w:rPr>
          <w:t>Lodging or N</w:t>
        </w:r>
        <w:r w:rsidRPr="00732D10">
          <w:rPr>
            <w:rStyle w:val="Hyperlink"/>
            <w:rFonts w:cs="Arial"/>
            <w:lang w:eastAsia="de-DE"/>
          </w:rPr>
          <w:t>on-</w:t>
        </w:r>
        <w:r>
          <w:rPr>
            <w:rStyle w:val="Hyperlink"/>
            <w:rFonts w:cs="Arial"/>
            <w:lang w:eastAsia="de-DE"/>
          </w:rPr>
          <w:t>L</w:t>
        </w:r>
        <w:r w:rsidRPr="00732D10">
          <w:rPr>
            <w:rStyle w:val="Hyperlink"/>
            <w:rFonts w:cs="Arial"/>
            <w:lang w:eastAsia="de-DE"/>
          </w:rPr>
          <w:t xml:space="preserve">ocal </w:t>
        </w:r>
        <w:r>
          <w:rPr>
            <w:rStyle w:val="Hyperlink"/>
            <w:rFonts w:cs="Arial"/>
            <w:lang w:eastAsia="de-DE"/>
          </w:rPr>
          <w:t>T</w:t>
        </w:r>
        <w:r w:rsidRPr="00732D10">
          <w:rPr>
            <w:rStyle w:val="Hyperlink"/>
            <w:rFonts w:cs="Arial"/>
            <w:lang w:eastAsia="de-DE"/>
          </w:rPr>
          <w:t>ravel</w:t>
        </w:r>
      </w:hyperlink>
      <w:r w:rsidRPr="00732D10">
        <w:rPr>
          <w:lang w:eastAsia="de-DE"/>
        </w:rPr>
        <w:t xml:space="preserve"> for a</w:t>
      </w:r>
      <w:r>
        <w:rPr>
          <w:lang w:eastAsia="de-DE"/>
        </w:rPr>
        <w:t xml:space="preserve"> member of a </w:t>
      </w:r>
      <w:hyperlink w:anchor="_1.3._Process_and" w:history="1">
        <w:r w:rsidRPr="00A55BF2">
          <w:rPr>
            <w:rStyle w:val="Hyperlink"/>
            <w:lang w:eastAsia="de-DE"/>
          </w:rPr>
          <w:t>Risk Group</w:t>
        </w:r>
      </w:hyperlink>
      <w:r>
        <w:rPr>
          <w:lang w:eastAsia="de-DE"/>
        </w:rPr>
        <w:t xml:space="preserve"> where</w:t>
      </w:r>
    </w:p>
    <w:p w14:paraId="25131888" w14:textId="65065240" w:rsidR="003B39C6" w:rsidRDefault="003B39C6">
      <w:pPr>
        <w:pStyle w:val="CopyBulletpoints"/>
        <w:ind w:left="470" w:hanging="357"/>
        <w:rPr>
          <w:rFonts w:cs="Arial"/>
          <w:szCs w:val="20"/>
        </w:rPr>
      </w:pPr>
      <w:r>
        <w:rPr>
          <w:rFonts w:cs="Arial"/>
          <w:szCs w:val="20"/>
        </w:rPr>
        <w:lastRenderedPageBreak/>
        <w:t xml:space="preserve">the </w:t>
      </w:r>
      <w:r w:rsidR="00D13EB1">
        <w:rPr>
          <w:rFonts w:cs="Arial"/>
          <w:szCs w:val="20"/>
        </w:rPr>
        <w:t xml:space="preserve">Lodging, </w:t>
      </w:r>
      <w:r>
        <w:rPr>
          <w:rFonts w:cs="Arial"/>
          <w:szCs w:val="20"/>
        </w:rPr>
        <w:t>Non-Local Travel</w:t>
      </w:r>
      <w:r w:rsidR="00D13EB1">
        <w:rPr>
          <w:rFonts w:cs="Arial"/>
          <w:szCs w:val="20"/>
        </w:rPr>
        <w:t xml:space="preserve"> </w:t>
      </w:r>
      <w:r>
        <w:rPr>
          <w:rFonts w:cs="Arial"/>
          <w:szCs w:val="20"/>
        </w:rPr>
        <w:t>or Entertainment Event has been contractually agreed upon (e.g. in a turn-key contract or a public offer of a reward); and</w:t>
      </w:r>
    </w:p>
    <w:p w14:paraId="1A474A62" w14:textId="77777777" w:rsidR="003B39C6" w:rsidRDefault="003B39C6">
      <w:pPr>
        <w:pStyle w:val="CopyBulletpoints"/>
        <w:spacing w:after="140"/>
        <w:ind w:left="470" w:hanging="357"/>
        <w:rPr>
          <w:rFonts w:cs="Arial"/>
          <w:szCs w:val="20"/>
        </w:rPr>
      </w:pPr>
      <w:r>
        <w:rPr>
          <w:rFonts w:cs="Arial"/>
          <w:szCs w:val="20"/>
        </w:rPr>
        <w:t>the respective contractual clauses have been reviewed by a member of the legal organization of the affected entity.</w:t>
      </w:r>
    </w:p>
    <w:p w14:paraId="7D67BA2F" w14:textId="77777777" w:rsidR="003B39C6" w:rsidRDefault="003B39C6">
      <w:r>
        <w:t xml:space="preserve">Nonetheless, the general and specific principles of </w:t>
      </w:r>
      <w:hyperlink w:anchor="_1.2.2._Entertainment_Events*" w:history="1">
        <w:r w:rsidRPr="00732D10">
          <w:rPr>
            <w:rStyle w:val="Hyperlink"/>
            <w:rFonts w:cs="Arial"/>
            <w:lang w:eastAsia="de-DE"/>
          </w:rPr>
          <w:t>Entertainment Events</w:t>
        </w:r>
      </w:hyperlink>
      <w:r>
        <w:rPr>
          <w:rStyle w:val="Hyperlink"/>
          <w:rFonts w:cs="Arial"/>
          <w:lang w:eastAsia="de-DE"/>
        </w:rPr>
        <w:t>,</w:t>
      </w:r>
      <w:r w:rsidRPr="00732D10">
        <w:rPr>
          <w:lang w:eastAsia="de-DE"/>
        </w:rPr>
        <w:t xml:space="preserve"> or </w:t>
      </w:r>
      <w:hyperlink w:anchor="_1.2.3._Travel_and" w:history="1">
        <w:r>
          <w:rPr>
            <w:rStyle w:val="Hyperlink"/>
            <w:rFonts w:cs="Arial"/>
            <w:lang w:eastAsia="de-DE"/>
          </w:rPr>
          <w:t>T</w:t>
        </w:r>
        <w:r w:rsidRPr="00732D10">
          <w:rPr>
            <w:rStyle w:val="Hyperlink"/>
            <w:rFonts w:cs="Arial"/>
            <w:lang w:eastAsia="de-DE"/>
          </w:rPr>
          <w:t xml:space="preserve">ravel and </w:t>
        </w:r>
        <w:r>
          <w:rPr>
            <w:rStyle w:val="Hyperlink"/>
            <w:rFonts w:cs="Arial"/>
            <w:lang w:eastAsia="de-DE"/>
          </w:rPr>
          <w:t>L</w:t>
        </w:r>
        <w:r w:rsidRPr="00732D10">
          <w:rPr>
            <w:rStyle w:val="Hyperlink"/>
            <w:rFonts w:cs="Arial"/>
            <w:lang w:eastAsia="de-DE"/>
          </w:rPr>
          <w:t>odging</w:t>
        </w:r>
      </w:hyperlink>
      <w:r>
        <w:rPr>
          <w:rStyle w:val="Hyperlink"/>
          <w:rFonts w:cs="Arial"/>
          <w:lang w:eastAsia="de-DE"/>
        </w:rPr>
        <w:t xml:space="preserve"> </w:t>
      </w:r>
      <w:r>
        <w:t>need to be observed.</w:t>
      </w:r>
    </w:p>
    <w:p w14:paraId="7EB75D47" w14:textId="77777777" w:rsidR="003B39C6" w:rsidRDefault="003B39C6">
      <w:r>
        <w:t>The contract must have been checked and approved by the legal department of the affected entity before it is signed. The legal department may delegate this task to another person with a legal background, e.g. a contract manager of the respective business unit or Siemens entity or an external lawyer.</w:t>
      </w:r>
    </w:p>
    <w:p w14:paraId="5B8271A4" w14:textId="3E8E5850" w:rsidR="003B39C6" w:rsidRDefault="003B39C6">
      <w:r>
        <w:t>The content and extent of entertainment</w:t>
      </w:r>
      <w:r w:rsidR="00D13EB1">
        <w:t>, lodging</w:t>
      </w:r>
      <w:r>
        <w:t xml:space="preserve"> or non-local travel shall be stipulated in the contract in as much detail as possible </w:t>
      </w:r>
      <w:proofErr w:type="gramStart"/>
      <w:r>
        <w:t>in order to</w:t>
      </w:r>
      <w:proofErr w:type="gramEnd"/>
      <w:r>
        <w:t xml:space="preserve"> rule out subsequent disputes because of ambiguities in their interpretation. It should address at least the following items:</w:t>
      </w:r>
    </w:p>
    <w:p w14:paraId="364E7C5E" w14:textId="77777777" w:rsidR="003B39C6" w:rsidRDefault="003B39C6">
      <w:pPr>
        <w:pStyle w:val="CopyBulletpoints"/>
        <w:ind w:left="470" w:hanging="357"/>
        <w:rPr>
          <w:rFonts w:cs="Arial"/>
          <w:szCs w:val="20"/>
        </w:rPr>
      </w:pPr>
      <w:r>
        <w:rPr>
          <w:rFonts w:cs="Arial"/>
          <w:szCs w:val="20"/>
        </w:rPr>
        <w:t xml:space="preserve">Scope and purpose of the travel </w:t>
      </w:r>
      <w:proofErr w:type="gramStart"/>
      <w:r>
        <w:rPr>
          <w:rFonts w:cs="Arial"/>
          <w:szCs w:val="20"/>
        </w:rPr>
        <w:t>activity;</w:t>
      </w:r>
      <w:proofErr w:type="gramEnd"/>
    </w:p>
    <w:p w14:paraId="7C05E92D" w14:textId="77777777" w:rsidR="003B39C6" w:rsidRDefault="003B39C6">
      <w:pPr>
        <w:pStyle w:val="CopyBulletpoints"/>
        <w:ind w:left="470" w:hanging="357"/>
        <w:rPr>
          <w:rFonts w:cs="Arial"/>
          <w:szCs w:val="20"/>
        </w:rPr>
      </w:pPr>
      <w:r>
        <w:rPr>
          <w:rFonts w:cs="Arial"/>
          <w:szCs w:val="20"/>
        </w:rPr>
        <w:t xml:space="preserve">Duration of the </w:t>
      </w:r>
      <w:proofErr w:type="gramStart"/>
      <w:r>
        <w:rPr>
          <w:rFonts w:cs="Arial"/>
          <w:szCs w:val="20"/>
        </w:rPr>
        <w:t>stay;</w:t>
      </w:r>
      <w:proofErr w:type="gramEnd"/>
    </w:p>
    <w:p w14:paraId="09CF6B0C" w14:textId="77777777" w:rsidR="003B39C6" w:rsidRDefault="003B39C6">
      <w:pPr>
        <w:pStyle w:val="CopyBulletpoints"/>
        <w:ind w:left="470" w:hanging="357"/>
        <w:rPr>
          <w:rFonts w:cs="Arial"/>
          <w:szCs w:val="20"/>
        </w:rPr>
      </w:pPr>
      <w:r>
        <w:rPr>
          <w:rFonts w:cs="Arial"/>
          <w:szCs w:val="20"/>
        </w:rPr>
        <w:t xml:space="preserve">Number and – to the extent possible – function of the persons for which costs will be </w:t>
      </w:r>
      <w:proofErr w:type="gramStart"/>
      <w:r>
        <w:rPr>
          <w:rFonts w:cs="Arial"/>
          <w:szCs w:val="20"/>
        </w:rPr>
        <w:t>paid;</w:t>
      </w:r>
      <w:proofErr w:type="gramEnd"/>
    </w:p>
    <w:p w14:paraId="754A5D09" w14:textId="77777777" w:rsidR="003B39C6" w:rsidRDefault="003B39C6">
      <w:pPr>
        <w:pStyle w:val="CopyBulletpoints"/>
        <w:ind w:left="470" w:hanging="357"/>
        <w:rPr>
          <w:rFonts w:cs="Arial"/>
          <w:szCs w:val="20"/>
        </w:rPr>
      </w:pPr>
      <w:r>
        <w:rPr>
          <w:rFonts w:cs="Arial"/>
          <w:szCs w:val="20"/>
        </w:rPr>
        <w:t xml:space="preserve">Specification of booking classes (or reference to applicable travel regulations such as the Siemens travel regulations) for transportation and </w:t>
      </w:r>
      <w:proofErr w:type="gramStart"/>
      <w:r>
        <w:rPr>
          <w:rFonts w:cs="Arial"/>
          <w:szCs w:val="20"/>
        </w:rPr>
        <w:t>accommodation;</w:t>
      </w:r>
      <w:proofErr w:type="gramEnd"/>
    </w:p>
    <w:p w14:paraId="40E00C85" w14:textId="77777777" w:rsidR="003B39C6" w:rsidRDefault="003B39C6">
      <w:pPr>
        <w:pStyle w:val="CopyBulletpoints"/>
        <w:spacing w:after="140"/>
        <w:ind w:left="470" w:hanging="357"/>
        <w:rPr>
          <w:rFonts w:cs="Arial"/>
          <w:szCs w:val="20"/>
        </w:rPr>
      </w:pPr>
      <w:r>
        <w:rPr>
          <w:rFonts w:cs="Arial"/>
          <w:szCs w:val="20"/>
        </w:rPr>
        <w:t>Additional payments or benefits to be provided, if any (e.g. meals, incidentals, entertainment).</w:t>
      </w:r>
    </w:p>
    <w:p w14:paraId="6E4D1385" w14:textId="77777777" w:rsidR="003B39C6" w:rsidRDefault="003B39C6">
      <w:r>
        <w:t>If the contract clause does not address a specific item which the customer requests to be reimbursed or if the customer asks for a modification of the contract, for example the participation of additional persons, an extended stay, five star instead of a four star hotel, the legal and compliance departments shall be involved to draft or review the proposed amendment of the contract.</w:t>
      </w:r>
    </w:p>
    <w:p w14:paraId="10C19219" w14:textId="77777777" w:rsidR="003B39C6" w:rsidRDefault="003B39C6">
      <w:r>
        <w:t>Should an employee who shall process the reimbursement of the costs conclude that the contractual rules require amendments in order to ensure compliance with these instructions, he/she shall contact the responsible legal department and eventually the compliance department in order to define further steps.</w:t>
      </w:r>
    </w:p>
    <w:tbl>
      <w:tblPr>
        <w:tblStyle w:val="Tabellenraster"/>
        <w:tblW w:w="0" w:type="auto"/>
        <w:tblLook w:val="04A0" w:firstRow="1" w:lastRow="0" w:firstColumn="1" w:lastColumn="0" w:noHBand="0" w:noVBand="1"/>
      </w:tblPr>
      <w:tblGrid>
        <w:gridCol w:w="1184"/>
        <w:gridCol w:w="9411"/>
      </w:tblGrid>
      <w:tr w:rsidR="003B39C6" w14:paraId="53D00110" w14:textId="77777777" w:rsidTr="003B39C6">
        <w:trPr>
          <w:trHeight w:val="695"/>
        </w:trPr>
        <w:tc>
          <w:tcPr>
            <w:tcW w:w="814" w:type="dxa"/>
            <w:shd w:val="clear" w:color="auto" w:fill="auto"/>
          </w:tcPr>
          <w:p w14:paraId="6D0E86E5" w14:textId="77777777" w:rsidR="003B39C6" w:rsidRDefault="003B39C6">
            <w:pPr>
              <w:pStyle w:val="KeinAbsatzformat"/>
              <w:rPr>
                <w:sz w:val="22"/>
                <w:szCs w:val="22"/>
                <w:lang w:val="en-US"/>
              </w:rPr>
            </w:pPr>
            <w:r>
              <w:rPr>
                <w:noProof/>
                <w:sz w:val="22"/>
                <w:szCs w:val="22"/>
                <w:lang w:eastAsia="de-DE"/>
              </w:rPr>
              <w:drawing>
                <wp:anchor distT="0" distB="0" distL="114300" distR="114300" simplePos="0" relativeHeight="251658246" behindDoc="1" locked="0" layoutInCell="1" allowOverlap="1" wp14:anchorId="2E4E252D" wp14:editId="06F4FCD4">
                  <wp:simplePos x="0" y="0"/>
                  <wp:positionH relativeFrom="column">
                    <wp:posOffset>15240</wp:posOffset>
                  </wp:positionH>
                  <wp:positionV relativeFrom="paragraph">
                    <wp:posOffset>0</wp:posOffset>
                  </wp:positionV>
                  <wp:extent cx="243205" cy="251460"/>
                  <wp:effectExtent l="0" t="0" r="4445" b="0"/>
                  <wp:wrapTight wrapText="bothSides">
                    <wp:wrapPolygon edited="0">
                      <wp:start x="0" y="0"/>
                      <wp:lineTo x="0" y="19636"/>
                      <wp:lineTo x="16919" y="19636"/>
                      <wp:lineTo x="20303" y="13091"/>
                      <wp:lineTo x="20303" y="4909"/>
                      <wp:lineTo x="16919" y="0"/>
                      <wp:lineTo x="0" y="0"/>
                    </wp:wrapPolygon>
                  </wp:wrapTight>
                  <wp:docPr id="3" name="Grafik 3" descr="\\psf\Home\\Desktop\00_heute\SIE_SCL_140916_Wordtemplate_Legal_Handbook\Examp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esktop\00_heute\SIE_SCL_140916_Wordtemplate_Legal_Handbook\Example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3205" cy="251460"/>
                          </a:xfrm>
                          <a:prstGeom prst="rect">
                            <a:avLst/>
                          </a:prstGeom>
                          <a:noFill/>
                          <a:ln>
                            <a:noFill/>
                          </a:ln>
                        </pic:spPr>
                      </pic:pic>
                    </a:graphicData>
                  </a:graphic>
                </wp:anchor>
              </w:drawing>
            </w:r>
          </w:p>
        </w:tc>
        <w:tc>
          <w:tcPr>
            <w:tcW w:w="9411" w:type="dxa"/>
            <w:shd w:val="clear" w:color="auto" w:fill="auto"/>
          </w:tcPr>
          <w:p w14:paraId="6159F9C6" w14:textId="0636EC59" w:rsidR="003B39C6" w:rsidRDefault="003B39C6">
            <w:pPr>
              <w:rPr>
                <w:sz w:val="22"/>
              </w:rPr>
            </w:pPr>
            <w:r>
              <w:rPr>
                <w:b/>
              </w:rPr>
              <w:t>Please note:</w:t>
            </w:r>
            <w:r>
              <w:rPr>
                <w:i/>
              </w:rPr>
              <w:t xml:space="preserve"> “A positive answer in the Limits of Authority (</w:t>
            </w:r>
            <w:proofErr w:type="spellStart"/>
            <w:r>
              <w:rPr>
                <w:i/>
              </w:rPr>
              <w:t>LoA</w:t>
            </w:r>
            <w:proofErr w:type="spellEnd"/>
            <w:r>
              <w:rPr>
                <w:i/>
              </w:rPr>
              <w:t xml:space="preserve">) </w:t>
            </w:r>
            <w:r w:rsidR="00D575F6">
              <w:rPr>
                <w:i/>
              </w:rPr>
              <w:br/>
            </w:r>
            <w:r>
              <w:rPr>
                <w:i/>
              </w:rPr>
              <w:t xml:space="preserve">Tool in relation to ACRA question 3.2 (“Review of the terms of the </w:t>
            </w:r>
            <w:r w:rsidR="00D575F6">
              <w:rPr>
                <w:i/>
              </w:rPr>
              <w:br/>
            </w:r>
            <w:r>
              <w:rPr>
                <w:i/>
              </w:rPr>
              <w:t xml:space="preserve">contract by Legal or Contract Management”) does not automatically </w:t>
            </w:r>
            <w:r w:rsidR="00D575F6">
              <w:rPr>
                <w:i/>
              </w:rPr>
              <w:br/>
            </w:r>
            <w:r>
              <w:rPr>
                <w:i/>
              </w:rPr>
              <w:t xml:space="preserve">imply that a </w:t>
            </w:r>
            <w:proofErr w:type="spellStart"/>
            <w:r>
              <w:rPr>
                <w:i/>
              </w:rPr>
              <w:t>SpoDoM</w:t>
            </w:r>
            <w:proofErr w:type="spellEnd"/>
            <w:r>
              <w:rPr>
                <w:i/>
              </w:rPr>
              <w:t xml:space="preserve">-Approval is not necessary. The above </w:t>
            </w:r>
            <w:r w:rsidR="00D575F6">
              <w:rPr>
                <w:i/>
              </w:rPr>
              <w:br/>
            </w:r>
            <w:r>
              <w:rPr>
                <w:i/>
              </w:rPr>
              <w:t xml:space="preserve">requirements as to the reimbursement must be stipulated in </w:t>
            </w:r>
            <w:r w:rsidR="00D575F6">
              <w:rPr>
                <w:i/>
              </w:rPr>
              <w:br/>
            </w:r>
            <w:r>
              <w:rPr>
                <w:i/>
              </w:rPr>
              <w:t xml:space="preserve">the contract. If the contract only contains a very short clause </w:t>
            </w:r>
            <w:r w:rsidR="00D575F6">
              <w:rPr>
                <w:i/>
              </w:rPr>
              <w:br/>
            </w:r>
            <w:r>
              <w:rPr>
                <w:i/>
              </w:rPr>
              <w:t xml:space="preserve">without any details as to the scope and appropriateness of the </w:t>
            </w:r>
            <w:r w:rsidR="00D575F6">
              <w:rPr>
                <w:i/>
              </w:rPr>
              <w:br/>
            </w:r>
            <w:r>
              <w:rPr>
                <w:i/>
              </w:rPr>
              <w:t xml:space="preserve">costs to be reimbursed, a </w:t>
            </w:r>
            <w:proofErr w:type="spellStart"/>
            <w:r>
              <w:rPr>
                <w:i/>
              </w:rPr>
              <w:t>SpoDoM</w:t>
            </w:r>
            <w:proofErr w:type="spellEnd"/>
            <w:r>
              <w:rPr>
                <w:i/>
              </w:rPr>
              <w:t xml:space="preserve">-Approval of the specific </w:t>
            </w:r>
            <w:r w:rsidR="00D575F6">
              <w:rPr>
                <w:i/>
              </w:rPr>
              <w:br/>
            </w:r>
            <w:r>
              <w:rPr>
                <w:i/>
              </w:rPr>
              <w:t>reimbursement is necessary.”</w:t>
            </w:r>
          </w:p>
        </w:tc>
      </w:tr>
    </w:tbl>
    <w:p w14:paraId="6DC59E5F" w14:textId="2971E6A5" w:rsidR="003B39C6" w:rsidRDefault="003B39C6">
      <w:pPr>
        <w:pStyle w:val="berschrift3"/>
      </w:pPr>
      <w:bookmarkStart w:id="40" w:name="_1.3.3._Commercial_Contributions*"/>
      <w:bookmarkStart w:id="41" w:name="_Hlk35948078"/>
      <w:bookmarkEnd w:id="40"/>
      <w:r>
        <w:t>1.3.</w:t>
      </w:r>
      <w:r w:rsidR="00875522">
        <w:t>4</w:t>
      </w:r>
      <w:r>
        <w:t>. Approval of Other Contributions without Consideration*</w:t>
      </w:r>
    </w:p>
    <w:p w14:paraId="6C09C1F3" w14:textId="5D62E658" w:rsidR="003B39C6" w:rsidRDefault="00C958A6" w:rsidP="003B39C6">
      <w:pPr>
        <w:rPr>
          <w:rFonts w:cs="Arial"/>
          <w:lang w:eastAsia="de-DE"/>
        </w:rPr>
      </w:pPr>
      <w:hyperlink w:anchor="_1.2.4._Other_Contributions" w:history="1">
        <w:r w:rsidR="003B39C6">
          <w:rPr>
            <w:rStyle w:val="Hyperlink"/>
            <w:rFonts w:cs="Arial"/>
            <w:lang w:eastAsia="de-DE"/>
          </w:rPr>
          <w:t>Other Contributions without Consideration</w:t>
        </w:r>
      </w:hyperlink>
      <w:r w:rsidR="003B39C6">
        <w:rPr>
          <w:rFonts w:cs="Arial"/>
          <w:lang w:eastAsia="de-DE"/>
        </w:rPr>
        <w:t xml:space="preserve"> </w:t>
      </w:r>
      <w:r w:rsidR="00020168" w:rsidRPr="00020168">
        <w:rPr>
          <w:rFonts w:cs="Arial"/>
          <w:lang w:eastAsia="de-DE"/>
        </w:rPr>
        <w:t xml:space="preserve">of a value of EUR 20,000 or more </w:t>
      </w:r>
      <w:r w:rsidR="00E32767" w:rsidRPr="00E32767">
        <w:rPr>
          <w:rFonts w:cs="Arial"/>
          <w:lang w:eastAsia="de-DE"/>
        </w:rPr>
        <w:t xml:space="preserve">to a recipient organization that is a Government Entity, Healthcare Provider or that is involved in important business decisions, such as contract negotiations, the acceptance of a bid or a factory acceptance test, </w:t>
      </w:r>
      <w:r w:rsidR="003B39C6">
        <w:rPr>
          <w:rFonts w:cs="Arial"/>
          <w:lang w:eastAsia="de-DE"/>
        </w:rPr>
        <w:t xml:space="preserve">must always be registered and approved in the </w:t>
      </w:r>
      <w:proofErr w:type="spellStart"/>
      <w:r w:rsidR="003B39C6">
        <w:rPr>
          <w:rFonts w:cs="Arial"/>
          <w:lang w:eastAsia="de-DE"/>
        </w:rPr>
        <w:t>SpoDoM</w:t>
      </w:r>
      <w:proofErr w:type="spellEnd"/>
      <w:r w:rsidR="003B39C6">
        <w:rPr>
          <w:rFonts w:cs="Arial"/>
          <w:lang w:eastAsia="de-DE"/>
        </w:rPr>
        <w:t xml:space="preserve"> tool in advance of their offering or granting.</w:t>
      </w:r>
      <w:r w:rsidR="002B3C4D">
        <w:rPr>
          <w:rStyle w:val="Funotenzeichen"/>
          <w:rFonts w:cs="Arial"/>
          <w:lang w:eastAsia="de-DE"/>
        </w:rPr>
        <w:footnoteReference w:id="6"/>
      </w:r>
      <w:r w:rsidR="003B39C6">
        <w:rPr>
          <w:rFonts w:cs="Arial"/>
          <w:lang w:eastAsia="de-DE"/>
        </w:rPr>
        <w:t xml:space="preserve"> The approval process is set forth in the </w:t>
      </w:r>
      <w:r w:rsidR="003B39C6">
        <w:rPr>
          <w:rFonts w:cs="Arial"/>
          <w:szCs w:val="20"/>
        </w:rPr>
        <w:t>applicable signature regulations</w:t>
      </w:r>
      <w:r w:rsidR="003B39C6">
        <w:rPr>
          <w:rFonts w:cs="Arial"/>
          <w:lang w:eastAsia="de-DE"/>
        </w:rPr>
        <w:t xml:space="preserve"> and is implemented via the </w:t>
      </w:r>
      <w:proofErr w:type="spellStart"/>
      <w:r w:rsidR="003B39C6">
        <w:rPr>
          <w:rFonts w:cs="Arial"/>
          <w:lang w:eastAsia="de-DE"/>
        </w:rPr>
        <w:t>SpoDoM</w:t>
      </w:r>
      <w:proofErr w:type="spellEnd"/>
      <w:r w:rsidR="003B39C6">
        <w:rPr>
          <w:rFonts w:cs="Arial"/>
          <w:lang w:eastAsia="de-DE"/>
        </w:rPr>
        <w:t xml:space="preserve"> tool.</w:t>
      </w:r>
    </w:p>
    <w:bookmarkEnd w:id="41"/>
    <w:p w14:paraId="6C09C1F4" w14:textId="1BEA7506" w:rsidR="003B39C6" w:rsidRDefault="003B39C6" w:rsidP="003B39C6">
      <w:pPr>
        <w:rPr>
          <w:rFonts w:cs="Arial"/>
          <w:lang w:eastAsia="de-DE"/>
        </w:rPr>
      </w:pPr>
      <w:r>
        <w:rPr>
          <w:rFonts w:cs="Arial"/>
          <w:lang w:eastAsia="de-DE"/>
        </w:rPr>
        <w:t xml:space="preserve">In case a contribution qualifies as </w:t>
      </w:r>
      <w:r w:rsidRPr="00153BD2">
        <w:rPr>
          <w:rFonts w:cs="Arial"/>
          <w:u w:val="single"/>
          <w:lang w:eastAsia="de-DE"/>
        </w:rPr>
        <w:t>Sponsoring or Donation / Charitable Contribution</w:t>
      </w:r>
      <w:r>
        <w:rPr>
          <w:rFonts w:cs="Arial"/>
          <w:lang w:eastAsia="de-DE"/>
        </w:rPr>
        <w:t xml:space="preserve"> as defined under </w:t>
      </w:r>
      <w:hyperlink r:id="rId31" w:history="1">
        <w:r>
          <w:rPr>
            <w:rStyle w:val="Hyperlink"/>
            <w:rFonts w:cs="Arial"/>
            <w:lang w:eastAsia="de-DE"/>
          </w:rPr>
          <w:t>Siemens Circular No. 186</w:t>
        </w:r>
      </w:hyperlink>
      <w:r>
        <w:rPr>
          <w:rFonts w:cs="Arial"/>
          <w:lang w:eastAsia="de-DE"/>
        </w:rPr>
        <w:t xml:space="preserve">, it must be evaluated in the </w:t>
      </w:r>
      <w:proofErr w:type="spellStart"/>
      <w:r>
        <w:rPr>
          <w:rFonts w:cs="Arial"/>
          <w:lang w:eastAsia="de-DE"/>
        </w:rPr>
        <w:t>SpoDoM</w:t>
      </w:r>
      <w:proofErr w:type="spellEnd"/>
      <w:r>
        <w:rPr>
          <w:rFonts w:cs="Arial"/>
          <w:lang w:eastAsia="de-DE"/>
        </w:rPr>
        <w:t xml:space="preserve"> tool under such category. It may not be entered in the </w:t>
      </w:r>
      <w:proofErr w:type="spellStart"/>
      <w:r>
        <w:rPr>
          <w:rFonts w:cs="Arial"/>
          <w:lang w:eastAsia="de-DE"/>
        </w:rPr>
        <w:t>SpoDoM</w:t>
      </w:r>
      <w:proofErr w:type="spellEnd"/>
      <w:r>
        <w:rPr>
          <w:rFonts w:cs="Arial"/>
          <w:lang w:eastAsia="de-DE"/>
        </w:rPr>
        <w:t xml:space="preserve"> tool under the category Other Contributions without Consideration. Otherwise, this would have the effect of circumventing the strategic restrictions set forth for Sponsoring or Donations / Charitable Contributions.</w:t>
      </w:r>
    </w:p>
    <w:p w14:paraId="7CD3F647" w14:textId="738C4D5F" w:rsidR="003B39C6" w:rsidRDefault="003B39C6" w:rsidP="003B39C6">
      <w:pPr>
        <w:pStyle w:val="berschrift2"/>
      </w:pPr>
      <w:bookmarkStart w:id="42" w:name="_1.4._Accepting_Benefits"/>
      <w:bookmarkEnd w:id="42"/>
      <w:r w:rsidRPr="00906FA5">
        <w:t>1.</w:t>
      </w:r>
      <w:r>
        <w:t>4</w:t>
      </w:r>
      <w:r w:rsidRPr="00906FA5">
        <w:t xml:space="preserve">. </w:t>
      </w:r>
      <w:r>
        <w:t xml:space="preserve">Accepting </w:t>
      </w:r>
      <w:r w:rsidRPr="00E334C1">
        <w:t xml:space="preserve">Benefits </w:t>
      </w:r>
      <w:r w:rsidR="00DD3BB2">
        <w:t>as Siemens Employee</w:t>
      </w:r>
    </w:p>
    <w:p w14:paraId="57CA276A" w14:textId="1BA3C755" w:rsidR="003B39C6" w:rsidRDefault="003B39C6" w:rsidP="003B39C6">
      <w:pPr>
        <w:rPr>
          <w:rFonts w:cs="Arial"/>
          <w:szCs w:val="20"/>
        </w:rPr>
      </w:pPr>
      <w:r>
        <w:t xml:space="preserve">For accepting benefits, </w:t>
      </w:r>
      <w:r w:rsidRPr="00E45F0E">
        <w:t xml:space="preserve">the </w:t>
      </w:r>
      <w:hyperlink w:anchor="_Guidance_on_general" w:history="1">
        <w:r w:rsidRPr="00EC1F35">
          <w:rPr>
            <w:rStyle w:val="Hyperlink"/>
          </w:rPr>
          <w:t>general principles</w:t>
        </w:r>
      </w:hyperlink>
      <w:r w:rsidRPr="00E45F0E">
        <w:t xml:space="preserve"> </w:t>
      </w:r>
      <w:r>
        <w:t xml:space="preserve">and possibly </w:t>
      </w:r>
      <w:hyperlink w:anchor="_1.5._Specific_Requirements*" w:history="1">
        <w:r w:rsidRPr="00EC1F35">
          <w:rPr>
            <w:rStyle w:val="Hyperlink"/>
          </w:rPr>
          <w:t>country or industry</w:t>
        </w:r>
        <w:r w:rsidRPr="00C52D69">
          <w:rPr>
            <w:rStyle w:val="Hyperlink"/>
          </w:rPr>
          <w:t xml:space="preserve"> </w:t>
        </w:r>
        <w:r w:rsidRPr="00EC1F35">
          <w:rPr>
            <w:rStyle w:val="Hyperlink"/>
          </w:rPr>
          <w:t>specific requirements</w:t>
        </w:r>
      </w:hyperlink>
      <w:r>
        <w:t xml:space="preserve"> apply. A </w:t>
      </w:r>
      <w:proofErr w:type="spellStart"/>
      <w:r>
        <w:t>SpoDoM</w:t>
      </w:r>
      <w:proofErr w:type="spellEnd"/>
      <w:r>
        <w:t xml:space="preserve">-Approval is </w:t>
      </w:r>
      <w:r w:rsidRPr="00EC1F35">
        <w:rPr>
          <w:u w:val="single"/>
        </w:rPr>
        <w:t>not</w:t>
      </w:r>
      <w:r>
        <w:t xml:space="preserve"> required. However, w</w:t>
      </w:r>
      <w:r>
        <w:rPr>
          <w:rFonts w:cs="Arial"/>
          <w:szCs w:val="20"/>
        </w:rPr>
        <w:t xml:space="preserve">here required by local law, the benefit </w:t>
      </w:r>
      <w:proofErr w:type="gramStart"/>
      <w:r>
        <w:rPr>
          <w:rFonts w:cs="Arial"/>
          <w:szCs w:val="20"/>
        </w:rPr>
        <w:t>ha</w:t>
      </w:r>
      <w:r w:rsidR="00751430">
        <w:rPr>
          <w:rFonts w:cs="Arial"/>
          <w:szCs w:val="20"/>
        </w:rPr>
        <w:t>s</w:t>
      </w:r>
      <w:r>
        <w:rPr>
          <w:rFonts w:cs="Arial"/>
          <w:szCs w:val="20"/>
        </w:rPr>
        <w:t xml:space="preserve"> to</w:t>
      </w:r>
      <w:proofErr w:type="gramEnd"/>
      <w:r>
        <w:rPr>
          <w:rFonts w:cs="Arial"/>
          <w:szCs w:val="20"/>
        </w:rPr>
        <w:t xml:space="preserve"> be taxed </w:t>
      </w:r>
      <w:r w:rsidR="00751430">
        <w:rPr>
          <w:rFonts w:cs="Arial"/>
          <w:szCs w:val="20"/>
        </w:rPr>
        <w:t xml:space="preserve">e.g. </w:t>
      </w:r>
      <w:r>
        <w:rPr>
          <w:rFonts w:cs="Arial"/>
          <w:szCs w:val="20"/>
        </w:rPr>
        <w:t>as a wage component.</w:t>
      </w:r>
    </w:p>
    <w:p w14:paraId="6C09C221" w14:textId="24460480" w:rsidR="003B39C6" w:rsidRPr="000B32C8" w:rsidRDefault="003B39C6" w:rsidP="003B39C6">
      <w:pPr>
        <w:pStyle w:val="scfbrieftext"/>
        <w:spacing w:after="140"/>
        <w:jc w:val="both"/>
        <w:rPr>
          <w:rFonts w:eastAsiaTheme="majorEastAsia" w:cstheme="majorBidi"/>
          <w:b/>
          <w:iCs/>
          <w:color w:val="879BAA" w:themeColor="text2"/>
          <w:sz w:val="22"/>
        </w:rPr>
      </w:pPr>
      <w:r w:rsidRPr="000B32C8">
        <w:rPr>
          <w:rFonts w:eastAsiaTheme="majorEastAsia" w:cstheme="majorBidi"/>
          <w:b/>
          <w:iCs/>
          <w:color w:val="879BAA" w:themeColor="text2"/>
          <w:sz w:val="22"/>
        </w:rPr>
        <w:t>Benefits from External Parties</w:t>
      </w:r>
    </w:p>
    <w:p w14:paraId="6C09C222" w14:textId="2AE469AE" w:rsidR="003B39C6" w:rsidRDefault="003B39C6" w:rsidP="003B39C6">
      <w:r>
        <w:t xml:space="preserve">There is no formal approval process for the acceptance of </w:t>
      </w:r>
      <w:r w:rsidRPr="00DD3BB2">
        <w:t>Gifts and Hospitality</w:t>
      </w:r>
      <w:r>
        <w:t xml:space="preserve"> by Siemens employees from an external party. If in doubt whether the gift or hospitality is in line with local law or Siemens rules, </w:t>
      </w:r>
      <w:r w:rsidR="00153BD2">
        <w:t xml:space="preserve">Employees should </w:t>
      </w:r>
      <w:r>
        <w:t xml:space="preserve">contact </w:t>
      </w:r>
      <w:r w:rsidR="00153BD2">
        <w:t xml:space="preserve">their responsible </w:t>
      </w:r>
      <w:r>
        <w:t>Compliance Officer.</w:t>
      </w:r>
      <w:r w:rsidR="00153BD2">
        <w:t xml:space="preserve"> </w:t>
      </w:r>
      <w:r w:rsidR="00153BD2">
        <w:rPr>
          <w:rFonts w:cs="Arial"/>
          <w:szCs w:val="20"/>
        </w:rPr>
        <w:t>Employees must also check and comply with any tax implications and documentation needs under local law. For further information, the responsible human resources department can be contacted.</w:t>
      </w:r>
    </w:p>
    <w:p w14:paraId="0DFBA280" w14:textId="47C1BEB9" w:rsidR="003B39C6" w:rsidRDefault="003B39C6" w:rsidP="003B39C6">
      <w:pPr>
        <w:rPr>
          <w:rFonts w:cs="Arial"/>
          <w:szCs w:val="20"/>
        </w:rPr>
      </w:pPr>
      <w:r>
        <w:t xml:space="preserve">Of course, employees may accept </w:t>
      </w:r>
      <w:r>
        <w:rPr>
          <w:rFonts w:cs="Arial"/>
          <w:szCs w:val="20"/>
        </w:rPr>
        <w:t xml:space="preserve">occasional gifts of purely symbolic value. Employees may also accept meals or entertainment reasonable in value and consistent with local customs. A meal or entertainment is reasonable if the nature, </w:t>
      </w:r>
      <w:proofErr w:type="gramStart"/>
      <w:r>
        <w:rPr>
          <w:rFonts w:cs="Arial"/>
          <w:szCs w:val="20"/>
        </w:rPr>
        <w:t>value</w:t>
      </w:r>
      <w:proofErr w:type="gramEnd"/>
      <w:r>
        <w:rPr>
          <w:rFonts w:cs="Arial"/>
          <w:szCs w:val="20"/>
        </w:rPr>
        <w:t xml:space="preserve"> and frequency of the benefit are appropriate to the occasion on which it is given, to the position of the employee and all further circumstances. Any other meals, gifts or entertainment must be refused.</w:t>
      </w:r>
    </w:p>
    <w:p w14:paraId="0995B23D" w14:textId="77777777" w:rsidR="003B39C6" w:rsidRPr="000B32C8" w:rsidRDefault="003B39C6" w:rsidP="003B39C6">
      <w:pPr>
        <w:pStyle w:val="scfbrieftext"/>
        <w:spacing w:after="140"/>
        <w:jc w:val="both"/>
        <w:rPr>
          <w:rFonts w:eastAsiaTheme="majorEastAsia" w:cstheme="majorBidi"/>
          <w:b/>
          <w:iCs/>
          <w:color w:val="879BAA" w:themeColor="text2"/>
          <w:sz w:val="22"/>
        </w:rPr>
      </w:pPr>
      <w:r w:rsidRPr="000B32C8">
        <w:rPr>
          <w:rFonts w:eastAsiaTheme="majorEastAsia" w:cstheme="majorBidi"/>
          <w:b/>
          <w:iCs/>
          <w:color w:val="879BAA" w:themeColor="text2"/>
          <w:sz w:val="22"/>
        </w:rPr>
        <w:t>Internal Benefits offered by Siemens</w:t>
      </w:r>
      <w:r w:rsidRPr="000B32C8" w:rsidDel="00906FA5">
        <w:rPr>
          <w:rFonts w:eastAsiaTheme="majorEastAsia" w:cstheme="majorBidi"/>
          <w:b/>
          <w:iCs/>
          <w:color w:val="879BAA" w:themeColor="text2"/>
          <w:sz w:val="22"/>
        </w:rPr>
        <w:t xml:space="preserve"> </w:t>
      </w:r>
    </w:p>
    <w:p w14:paraId="09F0F061" w14:textId="32EC9B1B" w:rsidR="003B39C6" w:rsidRDefault="003B39C6" w:rsidP="003B39C6">
      <w:r>
        <w:t xml:space="preserve">Benefits offered by Siemens to employees of a Siemens company do not require an approval in the </w:t>
      </w:r>
      <w:proofErr w:type="spellStart"/>
      <w:r>
        <w:t>SpoDoM</w:t>
      </w:r>
      <w:proofErr w:type="spellEnd"/>
      <w:r>
        <w:t xml:space="preserve"> tool. Temporary employees, including student employees and interns, who have a valid contract are treated as internal staff for the purposes of these instructions. Nevertheless, such benefits </w:t>
      </w:r>
      <w:r>
        <w:rPr>
          <w:rFonts w:cs="Arial"/>
          <w:szCs w:val="20"/>
        </w:rPr>
        <w:t>must serve the Siemens interests, i.e. have a legitimate business purpose and be appropriate in relation thereto (for example employee motivation, improvement of team spirit, celebration of a success).</w:t>
      </w:r>
      <w:r w:rsidR="00153BD2">
        <w:rPr>
          <w:rFonts w:cs="Arial"/>
          <w:szCs w:val="20"/>
        </w:rPr>
        <w:t xml:space="preserve"> </w:t>
      </w:r>
      <w:r>
        <w:t>The host or offeror and the recipient of the benefit have a duty to exercise due care in spending company funds and in general in the treatment of company assets.</w:t>
      </w:r>
    </w:p>
    <w:p w14:paraId="7B427D1F" w14:textId="77777777" w:rsidR="003B39C6" w:rsidRPr="00E334C1" w:rsidRDefault="003B39C6" w:rsidP="003B39C6">
      <w:pPr>
        <w:pStyle w:val="scfbrieftext"/>
        <w:spacing w:after="140"/>
        <w:jc w:val="both"/>
        <w:rPr>
          <w:rFonts w:eastAsiaTheme="majorEastAsia" w:cstheme="majorBidi"/>
          <w:b/>
          <w:iCs/>
          <w:color w:val="879BAA" w:themeColor="text2"/>
          <w:sz w:val="22"/>
        </w:rPr>
      </w:pPr>
      <w:bookmarkStart w:id="43" w:name="_Ref529889261"/>
      <w:bookmarkStart w:id="44" w:name="InvitationsSiemensEmployeesGuests"/>
      <w:r w:rsidRPr="00E334C1">
        <w:rPr>
          <w:rFonts w:eastAsiaTheme="majorEastAsia" w:cstheme="majorBidi"/>
          <w:b/>
          <w:iCs/>
          <w:color w:val="879BAA" w:themeColor="text2"/>
          <w:sz w:val="22"/>
        </w:rPr>
        <w:t xml:space="preserve">Invitations </w:t>
      </w:r>
      <w:r>
        <w:rPr>
          <w:rFonts w:eastAsiaTheme="majorEastAsia" w:cstheme="majorBidi"/>
          <w:b/>
          <w:iCs/>
          <w:color w:val="879BAA" w:themeColor="text2"/>
          <w:sz w:val="22"/>
        </w:rPr>
        <w:t>to</w:t>
      </w:r>
      <w:r w:rsidRPr="00E334C1">
        <w:rPr>
          <w:rFonts w:eastAsiaTheme="majorEastAsia" w:cstheme="majorBidi"/>
          <w:b/>
          <w:iCs/>
          <w:color w:val="879BAA" w:themeColor="text2"/>
          <w:sz w:val="22"/>
        </w:rPr>
        <w:t xml:space="preserve"> Siemens Employees’ </w:t>
      </w:r>
      <w:r w:rsidRPr="002D547F">
        <w:rPr>
          <w:rFonts w:eastAsiaTheme="majorEastAsia" w:cstheme="majorBidi"/>
          <w:b/>
          <w:iCs/>
          <w:color w:val="879BAA" w:themeColor="text2"/>
          <w:sz w:val="22"/>
        </w:rPr>
        <w:t xml:space="preserve">Related Parties or </w:t>
      </w:r>
      <w:r>
        <w:rPr>
          <w:rFonts w:eastAsiaTheme="majorEastAsia" w:cstheme="majorBidi"/>
          <w:b/>
          <w:iCs/>
          <w:color w:val="879BAA" w:themeColor="text2"/>
          <w:sz w:val="22"/>
        </w:rPr>
        <w:t>g</w:t>
      </w:r>
      <w:r w:rsidRPr="00E334C1">
        <w:rPr>
          <w:rFonts w:eastAsiaTheme="majorEastAsia" w:cstheme="majorBidi"/>
          <w:b/>
          <w:iCs/>
          <w:color w:val="879BAA" w:themeColor="text2"/>
          <w:sz w:val="22"/>
        </w:rPr>
        <w:t>uests</w:t>
      </w:r>
      <w:bookmarkEnd w:id="43"/>
    </w:p>
    <w:bookmarkEnd w:id="44"/>
    <w:p w14:paraId="40C6FDD5" w14:textId="1C4756E9" w:rsidR="003B39C6" w:rsidRDefault="003B39C6" w:rsidP="003B39C6">
      <w:pPr>
        <w:rPr>
          <w:rFonts w:cs="Arial"/>
          <w:szCs w:val="20"/>
        </w:rPr>
      </w:pPr>
      <w:r w:rsidRPr="002D547F">
        <w:rPr>
          <w:lang w:eastAsia="de-DE"/>
        </w:rPr>
        <w:lastRenderedPageBreak/>
        <w:t xml:space="preserve">In case an invitation to an </w:t>
      </w:r>
      <w:hyperlink w:anchor="_1.2.2._Entertainment_Events*" w:history="1">
        <w:r w:rsidRPr="002D547F">
          <w:rPr>
            <w:rStyle w:val="Hyperlink"/>
            <w:rFonts w:cs="Arial"/>
            <w:lang w:eastAsia="de-DE"/>
          </w:rPr>
          <w:t>Entertainment Event</w:t>
        </w:r>
      </w:hyperlink>
      <w:r w:rsidRPr="002D547F">
        <w:rPr>
          <w:lang w:eastAsia="de-DE"/>
        </w:rPr>
        <w:t xml:space="preserve"> shall include Siemens </w:t>
      </w:r>
      <w:hyperlink r:id="rId32" w:history="1">
        <w:r w:rsidR="00C500FB" w:rsidRPr="0014258A">
          <w:rPr>
            <w:rStyle w:val="Hyperlink"/>
            <w:lang w:eastAsia="de-DE"/>
          </w:rPr>
          <w:t>E</w:t>
        </w:r>
        <w:r w:rsidRPr="0014258A">
          <w:rPr>
            <w:rStyle w:val="Hyperlink"/>
            <w:lang w:eastAsia="de-DE"/>
          </w:rPr>
          <w:t>mployees' Related Parties</w:t>
        </w:r>
      </w:hyperlink>
      <w:r w:rsidRPr="002D547F">
        <w:rPr>
          <w:lang w:eastAsia="de-DE"/>
        </w:rPr>
        <w:t xml:space="preserve"> or other guests not connected with Siemens business activities, Siemens will assume such costs only in </w:t>
      </w:r>
      <w:r w:rsidRPr="002D547F">
        <w:rPr>
          <w:b/>
          <w:lang w:eastAsia="de-DE"/>
        </w:rPr>
        <w:t xml:space="preserve">exceptional </w:t>
      </w:r>
      <w:r w:rsidRPr="002D547F">
        <w:rPr>
          <w:lang w:eastAsia="de-DE"/>
        </w:rPr>
        <w:t xml:space="preserve">cases where this is in the business interest of Siemens (for example because the character of the event would require such participation, like in a family day organized for employee motivation). Whether such an exception exists will be decided by the responsible </w:t>
      </w:r>
      <w:r w:rsidRPr="00E64F74">
        <w:rPr>
          <w:lang w:eastAsia="de-DE"/>
        </w:rPr>
        <w:t xml:space="preserve">Compliance Officer through the approval process within the </w:t>
      </w:r>
      <w:proofErr w:type="spellStart"/>
      <w:r w:rsidRPr="00E64F74">
        <w:rPr>
          <w:lang w:eastAsia="de-DE"/>
        </w:rPr>
        <w:t>SpoDoM</w:t>
      </w:r>
      <w:proofErr w:type="spellEnd"/>
      <w:r w:rsidRPr="00E64F74">
        <w:rPr>
          <w:lang w:eastAsia="de-DE"/>
        </w:rPr>
        <w:t xml:space="preserve"> tool, if any of these persons belongs to a </w:t>
      </w:r>
      <w:hyperlink w:anchor="_1.3._Process_and" w:history="1">
        <w:r w:rsidRPr="00E64F74">
          <w:rPr>
            <w:rStyle w:val="Hyperlink"/>
            <w:rFonts w:cs="Arial"/>
            <w:lang w:eastAsia="de-DE"/>
          </w:rPr>
          <w:t>Risk Group</w:t>
        </w:r>
      </w:hyperlink>
      <w:r w:rsidRPr="00E64F74">
        <w:rPr>
          <w:lang w:eastAsia="de-DE"/>
        </w:rPr>
        <w:t xml:space="preserve">. However, an approval in the </w:t>
      </w:r>
      <w:proofErr w:type="spellStart"/>
      <w:r w:rsidRPr="00E64F74">
        <w:rPr>
          <w:lang w:eastAsia="de-DE"/>
        </w:rPr>
        <w:t>SpoDoM</w:t>
      </w:r>
      <w:proofErr w:type="spellEnd"/>
      <w:r w:rsidRPr="00E64F74">
        <w:rPr>
          <w:lang w:eastAsia="de-DE"/>
        </w:rPr>
        <w:t xml:space="preserve"> tool is not required if these persons are invited to a </w:t>
      </w:r>
      <w:hyperlink w:anchor="_1.3.2._Exception:_Siemens-Organized" w:history="1">
        <w:r w:rsidRPr="00E64F74">
          <w:rPr>
            <w:rStyle w:val="Hyperlink"/>
            <w:rFonts w:cs="Arial"/>
            <w:lang w:eastAsia="de-DE"/>
          </w:rPr>
          <w:t>Siemens-organized event</w:t>
        </w:r>
      </w:hyperlink>
      <w:r>
        <w:rPr>
          <w:lang w:eastAsia="de-DE"/>
        </w:rPr>
        <w:t xml:space="preserve"> (such as team events, Christmas parties or an “Open House” day).</w:t>
      </w:r>
    </w:p>
    <w:p w14:paraId="6C09C238" w14:textId="50F655CA" w:rsidR="003B39C6" w:rsidRDefault="003B39C6" w:rsidP="003B39C6">
      <w:pPr>
        <w:pStyle w:val="berschrift2"/>
        <w:tabs>
          <w:tab w:val="left" w:pos="3570"/>
        </w:tabs>
      </w:pPr>
      <w:bookmarkStart w:id="45" w:name="_1.5._Specific_Requirements*"/>
      <w:bookmarkEnd w:id="45"/>
      <w:r>
        <w:t>1.5.</w:t>
      </w:r>
      <w:r w:rsidR="00DD3BB2">
        <w:t xml:space="preserve"> Specific Requirements</w:t>
      </w:r>
    </w:p>
    <w:p w14:paraId="6C09C23B" w14:textId="2611FEB1" w:rsidR="003B39C6" w:rsidRDefault="003B39C6" w:rsidP="003B39C6">
      <w:r>
        <w:t>Depending on the country of the beneficiary or the country, where a benefit is offered, specific requirements may apply. Specific requirement</w:t>
      </w:r>
      <w:r w:rsidR="006A3CFB">
        <w:t>s</w:t>
      </w:r>
      <w:r>
        <w:t xml:space="preserve"> also apply to Healthcare Business. The following list of requirements is not exhaustive. Employees shall verify together with their responsible Legal and Compliance organization, if further specific requirements apply to </w:t>
      </w:r>
      <w:r w:rsidRPr="00DD3BB2">
        <w:t>Gifts and Hospitality</w:t>
      </w:r>
      <w:r>
        <w:t>.</w:t>
      </w:r>
    </w:p>
    <w:p w14:paraId="2F8B58CD" w14:textId="0D9B79CD" w:rsidR="003B39C6" w:rsidRDefault="003B39C6" w:rsidP="003B39C6">
      <w:pPr>
        <w:pStyle w:val="berschrift3"/>
        <w:spacing w:after="240"/>
        <w:jc w:val="both"/>
      </w:pPr>
      <w:bookmarkStart w:id="46" w:name="_1.5.1._Country_Specific"/>
      <w:bookmarkEnd w:id="46"/>
      <w:r>
        <w:t>1.5.1</w:t>
      </w:r>
      <w:r w:rsidR="00DD3BB2">
        <w:t>. Country Specific Requirements</w:t>
      </w:r>
    </w:p>
    <w:p w14:paraId="5BD32558" w14:textId="77777777" w:rsidR="0017759A" w:rsidRPr="0017759A" w:rsidRDefault="0017759A" w:rsidP="0017759A">
      <w:pPr>
        <w:rPr>
          <w:rFonts w:cs="Arial"/>
          <w:lang w:eastAsia="de-DE"/>
        </w:rPr>
      </w:pPr>
      <w:r w:rsidRPr="0017759A">
        <w:rPr>
          <w:rFonts w:cs="Arial"/>
          <w:lang w:eastAsia="de-DE"/>
        </w:rPr>
        <w:t>For so-called Broad-Based Black Economic Empowerment (“</w:t>
      </w:r>
      <w:r w:rsidRPr="0017759A">
        <w:rPr>
          <w:rFonts w:cs="Arial"/>
          <w:b/>
          <w:bCs/>
          <w:lang w:eastAsia="de-DE"/>
        </w:rPr>
        <w:t>B-BBEE</w:t>
      </w:r>
      <w:r w:rsidRPr="0017759A">
        <w:rPr>
          <w:rFonts w:cs="Arial"/>
          <w:lang w:eastAsia="de-DE"/>
        </w:rPr>
        <w:t xml:space="preserve">”) (Supplier Development / Enterprise Development) contributions in South Africa, approval in </w:t>
      </w:r>
      <w:proofErr w:type="spellStart"/>
      <w:r w:rsidRPr="0017759A">
        <w:rPr>
          <w:rFonts w:cs="Arial"/>
          <w:lang w:eastAsia="de-DE"/>
        </w:rPr>
        <w:t>SpoDoM</w:t>
      </w:r>
      <w:proofErr w:type="spellEnd"/>
      <w:r w:rsidRPr="0017759A">
        <w:rPr>
          <w:rFonts w:cs="Arial"/>
          <w:lang w:eastAsia="de-DE"/>
        </w:rPr>
        <w:t xml:space="preserve"> is required for a value of EUR 100 or more. </w:t>
      </w:r>
    </w:p>
    <w:p w14:paraId="0FDA8B24" w14:textId="4EB1D5F0" w:rsidR="003B39C6" w:rsidRDefault="0017759A" w:rsidP="003B39C6">
      <w:pPr>
        <w:rPr>
          <w:rFonts w:cs="Arial"/>
          <w:lang w:eastAsia="de-DE"/>
        </w:rPr>
      </w:pPr>
      <w:r>
        <w:rPr>
          <w:rFonts w:cs="Arial"/>
          <w:lang w:eastAsia="de-DE"/>
        </w:rPr>
        <w:t>Further c</w:t>
      </w:r>
      <w:r w:rsidR="003B39C6">
        <w:rPr>
          <w:rFonts w:cs="Arial"/>
          <w:lang w:eastAsia="de-DE"/>
        </w:rPr>
        <w:t xml:space="preserve">ountry specific requirements may be found on the </w:t>
      </w:r>
      <w:hyperlink r:id="rId33" w:history="1">
        <w:r w:rsidR="003B39C6">
          <w:rPr>
            <w:rStyle w:val="Hyperlink"/>
            <w:rFonts w:cs="Arial"/>
            <w:lang w:eastAsia="de-DE"/>
          </w:rPr>
          <w:t>“Siemens Compliance Map of Country-Specific Legal Requirements (Gifts and Hospitality)”</w:t>
        </w:r>
      </w:hyperlink>
      <w:r w:rsidR="003B39C6">
        <w:rPr>
          <w:rFonts w:cs="Arial"/>
          <w:lang w:eastAsia="de-DE"/>
        </w:rPr>
        <w:t xml:space="preserve">. </w:t>
      </w:r>
      <w:r w:rsidR="003B39C6">
        <w:t xml:space="preserve">Employees shall verify together with their responsible Legal and Compliance organization, if further specific requirements apply to </w:t>
      </w:r>
      <w:r w:rsidR="003B39C6" w:rsidRPr="00DD3BB2">
        <w:t>Gifts and Hospitality</w:t>
      </w:r>
      <w:r w:rsidR="003B39C6">
        <w:t>.</w:t>
      </w:r>
    </w:p>
    <w:p w14:paraId="6C09C246" w14:textId="08CD2904" w:rsidR="003B39C6" w:rsidRDefault="003B39C6" w:rsidP="003B39C6">
      <w:pPr>
        <w:pStyle w:val="berschrift3"/>
        <w:spacing w:after="240"/>
        <w:ind w:right="446"/>
        <w:jc w:val="both"/>
      </w:pPr>
      <w:bookmarkStart w:id="47" w:name="_1.4.2._Specific_requirements"/>
      <w:bookmarkEnd w:id="47"/>
      <w:r>
        <w:t>1.5.2. Specific Requi</w:t>
      </w:r>
      <w:r w:rsidR="00DD3BB2">
        <w:t>rements for Healthcare Business</w:t>
      </w:r>
    </w:p>
    <w:p w14:paraId="6C09C247" w14:textId="77777777" w:rsidR="003B39C6" w:rsidRDefault="003B39C6" w:rsidP="003B39C6">
      <w:r>
        <w:t>The healthcare system consists of people (Healthcare Professionals, „</w:t>
      </w:r>
      <w:proofErr w:type="gramStart"/>
      <w:r>
        <w:t>HCPs“</w:t>
      </w:r>
      <w:proofErr w:type="gramEnd"/>
      <w:r>
        <w:t>)</w:t>
      </w:r>
      <w:r>
        <w:rPr>
          <w:rStyle w:val="Funotenzeichen"/>
          <w:rFonts w:cs="Arial"/>
        </w:rPr>
        <w:footnoteReference w:id="7"/>
      </w:r>
      <w:r>
        <w:t>, as well as of organizations and institutions (Healthcare Organizations, „HCOs“)</w:t>
      </w:r>
      <w:r>
        <w:rPr>
          <w:rStyle w:val="Funotenzeichen"/>
          <w:rFonts w:cs="Arial"/>
        </w:rPr>
        <w:footnoteReference w:id="8"/>
      </w:r>
      <w:r>
        <w:t xml:space="preserve">. HCPs and HCOs are subject to specific requirements regarding Gifts and Hospitality. HCPs and HCOs together are in these instructions referred to as </w:t>
      </w:r>
      <w:r>
        <w:rPr>
          <w:u w:val="single"/>
        </w:rPr>
        <w:t>Healthcare Providers</w:t>
      </w:r>
      <w:r>
        <w:t>. The following list of requirements is not exhaustive. Employees shall verify together with their responsible Legal and Compliance organization, if further specific requirements apply to benefits.</w:t>
      </w:r>
    </w:p>
    <w:p w14:paraId="6C09C248" w14:textId="0BE13BE3" w:rsidR="003B39C6" w:rsidRDefault="003B39C6" w:rsidP="003B39C6">
      <w:pPr>
        <w:pStyle w:val="berschrift4"/>
      </w:pPr>
      <w:bookmarkStart w:id="48" w:name="_Toc494352992"/>
      <w:r>
        <w:t>1.5.2.1. U</w:t>
      </w:r>
      <w:r w:rsidR="00DD3BB2">
        <w:t>S Healthcare Sector</w:t>
      </w:r>
    </w:p>
    <w:bookmarkEnd w:id="48"/>
    <w:p w14:paraId="391FF149" w14:textId="3F1B50AF" w:rsidR="009A3F5A" w:rsidRDefault="003B39C6" w:rsidP="003B39C6">
      <w:pPr>
        <w:pStyle w:val="Textkrper"/>
        <w:widowControl/>
        <w:spacing w:after="140" w:line="300" w:lineRule="auto"/>
        <w:ind w:left="0" w:right="20"/>
        <w:rPr>
          <w:rFonts w:ascii="Arial" w:hAnsi="Arial" w:cs="Arial"/>
          <w:lang w:eastAsia="de-DE"/>
        </w:rPr>
      </w:pPr>
      <w:r>
        <w:rPr>
          <w:rFonts w:ascii="Arial" w:hAnsi="Arial" w:cs="Arial"/>
          <w:lang w:eastAsia="de-DE"/>
        </w:rPr>
        <w:t>According to US law</w:t>
      </w:r>
      <w:r w:rsidR="009A3F5A">
        <w:rPr>
          <w:rFonts w:ascii="Arial" w:hAnsi="Arial" w:cs="Arial"/>
          <w:lang w:eastAsia="de-DE"/>
        </w:rPr>
        <w:t xml:space="preserve"> </w:t>
      </w:r>
      <w:r w:rsidR="009A3F5A" w:rsidRPr="009D23E0">
        <w:rPr>
          <w:rFonts w:ascii="Arial" w:hAnsi="Arial" w:cs="Arial"/>
          <w:lang w:eastAsia="de-DE"/>
        </w:rPr>
        <w:t xml:space="preserve">to all employees of Siemens </w:t>
      </w:r>
      <w:proofErr w:type="spellStart"/>
      <w:r w:rsidR="009A3F5A" w:rsidRPr="009D23E0">
        <w:rPr>
          <w:rFonts w:ascii="Arial" w:hAnsi="Arial" w:cs="Arial"/>
          <w:lang w:eastAsia="de-DE"/>
        </w:rPr>
        <w:t>Healthineers</w:t>
      </w:r>
      <w:proofErr w:type="spellEnd"/>
      <w:r w:rsidR="009A3F5A" w:rsidRPr="009D23E0">
        <w:rPr>
          <w:rFonts w:ascii="Arial" w:hAnsi="Arial" w:cs="Arial"/>
          <w:lang w:eastAsia="de-DE"/>
        </w:rPr>
        <w:t xml:space="preserve"> globally whose work involves any interaction with U.S.-licensed Healthcare Professionals (“</w:t>
      </w:r>
      <w:proofErr w:type="gramStart"/>
      <w:r w:rsidR="009A3F5A" w:rsidRPr="009D23E0">
        <w:rPr>
          <w:rFonts w:ascii="Arial" w:hAnsi="Arial" w:cs="Arial"/>
          <w:lang w:eastAsia="de-DE"/>
        </w:rPr>
        <w:t>HCPs“</w:t>
      </w:r>
      <w:proofErr w:type="gramEnd"/>
      <w:r w:rsidR="009A3F5A" w:rsidRPr="009D23E0">
        <w:rPr>
          <w:rFonts w:ascii="Arial" w:hAnsi="Arial" w:cs="Arial"/>
          <w:lang w:eastAsia="de-DE"/>
        </w:rPr>
        <w:t xml:space="preserve">) and/or U.S.-based Healthcare Organizations (“HCOs“) a special regulation applies. For details please refer to Siemens </w:t>
      </w:r>
      <w:proofErr w:type="spellStart"/>
      <w:r w:rsidR="009A3F5A" w:rsidRPr="009D23E0">
        <w:rPr>
          <w:rFonts w:ascii="Arial" w:hAnsi="Arial" w:cs="Arial"/>
          <w:lang w:eastAsia="de-DE"/>
        </w:rPr>
        <w:t>Healthineers</w:t>
      </w:r>
      <w:proofErr w:type="spellEnd"/>
      <w:r w:rsidR="009A3F5A" w:rsidRPr="009D23E0">
        <w:rPr>
          <w:rFonts w:ascii="Arial" w:hAnsi="Arial" w:cs="Arial"/>
          <w:lang w:eastAsia="de-DE"/>
        </w:rPr>
        <w:t xml:space="preserve"> Compliance </w:t>
      </w:r>
      <w:proofErr w:type="gramStart"/>
      <w:r w:rsidR="009A3F5A" w:rsidRPr="009D23E0">
        <w:rPr>
          <w:rFonts w:ascii="Arial" w:hAnsi="Arial" w:cs="Arial"/>
          <w:lang w:eastAsia="de-DE"/>
        </w:rPr>
        <w:t>Web-Book</w:t>
      </w:r>
      <w:proofErr w:type="gramEnd"/>
      <w:r w:rsidR="009A3F5A" w:rsidRPr="009D23E0">
        <w:rPr>
          <w:rFonts w:ascii="Arial" w:hAnsi="Arial" w:cs="Arial"/>
          <w:lang w:eastAsia="de-DE"/>
        </w:rPr>
        <w:t>: `Attachment 1: Disclosure Requirements USA</w:t>
      </w:r>
      <w:r w:rsidR="009D23E0">
        <w:rPr>
          <w:rFonts w:ascii="Arial" w:hAnsi="Arial" w:cs="Arial"/>
          <w:lang w:eastAsia="de-DE"/>
        </w:rPr>
        <w:t>`.</w:t>
      </w:r>
    </w:p>
    <w:p w14:paraId="6C09C249" w14:textId="2FA704D2" w:rsidR="003B39C6" w:rsidRDefault="0013127B" w:rsidP="003B39C6">
      <w:pPr>
        <w:pStyle w:val="Textkrper"/>
        <w:widowControl/>
        <w:spacing w:after="140" w:line="300" w:lineRule="auto"/>
        <w:ind w:left="0" w:right="20"/>
        <w:rPr>
          <w:rFonts w:ascii="Arial" w:eastAsiaTheme="minorHAnsi" w:hAnsi="Arial" w:cs="Arial"/>
          <w:szCs w:val="22"/>
        </w:rPr>
      </w:pPr>
      <w:r>
        <w:rPr>
          <w:rFonts w:ascii="Arial" w:hAnsi="Arial" w:cs="Arial"/>
          <w:lang w:eastAsia="de-DE"/>
        </w:rPr>
        <w:lastRenderedPageBreak/>
        <w:t xml:space="preserve">Furthermore, </w:t>
      </w:r>
      <w:r w:rsidR="003B39C6">
        <w:rPr>
          <w:rFonts w:ascii="Arial" w:hAnsi="Arial" w:cs="Arial"/>
          <w:lang w:eastAsia="de-DE"/>
        </w:rPr>
        <w:t xml:space="preserve">Siemens employees from other entities than the Siemens </w:t>
      </w:r>
      <w:proofErr w:type="spellStart"/>
      <w:r w:rsidR="003B39C6">
        <w:rPr>
          <w:rFonts w:ascii="Arial" w:hAnsi="Arial" w:cs="Arial"/>
          <w:lang w:eastAsia="de-DE"/>
        </w:rPr>
        <w:t>Healthineers</w:t>
      </w:r>
      <w:proofErr w:type="spellEnd"/>
      <w:r w:rsidR="003B39C6">
        <w:rPr>
          <w:rFonts w:ascii="Arial" w:hAnsi="Arial" w:cs="Arial"/>
          <w:lang w:eastAsia="de-DE"/>
        </w:rPr>
        <w:t xml:space="preserve"> entities worldwide or Siemens Regional Companies with Healthcare Business must register payments and other transfers of value in </w:t>
      </w:r>
      <w:hyperlink r:id="rId34" w:history="1">
        <w:r w:rsidR="009A3F5A">
          <w:rPr>
            <w:rStyle w:val="Hyperlink"/>
            <w:rFonts w:ascii="Arial" w:hAnsi="Arial" w:cs="Arial"/>
            <w:lang w:eastAsia="de-DE"/>
          </w:rPr>
          <w:t>ASTAR Web Portal</w:t>
        </w:r>
      </w:hyperlink>
      <w:r w:rsidR="003B39C6">
        <w:rPr>
          <w:rFonts w:ascii="Arial" w:hAnsi="Arial" w:cs="Arial"/>
          <w:lang w:eastAsia="de-DE"/>
        </w:rPr>
        <w:t xml:space="preserve"> when they participate in a tender jointly with the Siemens </w:t>
      </w:r>
      <w:proofErr w:type="spellStart"/>
      <w:r w:rsidR="003B39C6">
        <w:rPr>
          <w:rFonts w:ascii="Arial" w:hAnsi="Arial" w:cs="Arial"/>
          <w:lang w:eastAsia="de-DE"/>
        </w:rPr>
        <w:t>Healthineers</w:t>
      </w:r>
      <w:proofErr w:type="spellEnd"/>
      <w:r w:rsidR="003B39C6">
        <w:rPr>
          <w:rFonts w:ascii="Arial" w:hAnsi="Arial" w:cs="Arial"/>
          <w:lang w:eastAsia="de-DE"/>
        </w:rPr>
        <w:t xml:space="preserve"> entities or Siemens Regional Companies with Healthcare Business.</w:t>
      </w:r>
    </w:p>
    <w:tbl>
      <w:tblPr>
        <w:tblStyle w:val="Tabellenraster"/>
        <w:tblW w:w="0" w:type="auto"/>
        <w:tblLook w:val="04A0" w:firstRow="1" w:lastRow="0" w:firstColumn="1" w:lastColumn="0" w:noHBand="0" w:noVBand="1"/>
      </w:tblPr>
      <w:tblGrid>
        <w:gridCol w:w="1214"/>
        <w:gridCol w:w="9411"/>
      </w:tblGrid>
      <w:tr w:rsidR="003B39C6" w14:paraId="068DADC7" w14:textId="77777777" w:rsidTr="003B39C6">
        <w:trPr>
          <w:trHeight w:val="695"/>
        </w:trPr>
        <w:tc>
          <w:tcPr>
            <w:tcW w:w="814" w:type="dxa"/>
            <w:shd w:val="clear" w:color="auto" w:fill="auto"/>
          </w:tcPr>
          <w:p w14:paraId="42DA8454" w14:textId="77777777" w:rsidR="003B39C6" w:rsidRDefault="003B39C6" w:rsidP="003B39C6">
            <w:pPr>
              <w:pStyle w:val="KeinAbsatzformat"/>
              <w:rPr>
                <w:sz w:val="22"/>
                <w:szCs w:val="22"/>
                <w:lang w:val="en-US"/>
              </w:rPr>
            </w:pPr>
            <w:r>
              <w:rPr>
                <w:noProof/>
                <w:sz w:val="22"/>
                <w:szCs w:val="22"/>
                <w:lang w:eastAsia="de-DE"/>
              </w:rPr>
              <w:drawing>
                <wp:anchor distT="0" distB="0" distL="114300" distR="114300" simplePos="0" relativeHeight="251658245" behindDoc="1" locked="0" layoutInCell="1" allowOverlap="1" wp14:anchorId="7F93FD72" wp14:editId="6B6EF399">
                  <wp:simplePos x="0" y="0"/>
                  <wp:positionH relativeFrom="column">
                    <wp:posOffset>-83820</wp:posOffset>
                  </wp:positionH>
                  <wp:positionV relativeFrom="paragraph">
                    <wp:posOffset>-78105</wp:posOffset>
                  </wp:positionV>
                  <wp:extent cx="243205" cy="251460"/>
                  <wp:effectExtent l="19050" t="0" r="4445" b="0"/>
                  <wp:wrapTight wrapText="bothSides">
                    <wp:wrapPolygon edited="0">
                      <wp:start x="-1692" y="0"/>
                      <wp:lineTo x="-1692" y="19636"/>
                      <wp:lineTo x="16919" y="19636"/>
                      <wp:lineTo x="21995" y="9818"/>
                      <wp:lineTo x="21995" y="8182"/>
                      <wp:lineTo x="16919" y="0"/>
                      <wp:lineTo x="-1692" y="0"/>
                    </wp:wrapPolygon>
                  </wp:wrapTight>
                  <wp:docPr id="4" name="Grafik 2" descr="\\psf\Home\\Desktop\00_heute\SIE_SCL_140916_Wordtemplate_Legal_Handbook\Examp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esktop\00_heute\SIE_SCL_140916_Wordtemplate_Legal_Handbook\Example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3205" cy="251460"/>
                          </a:xfrm>
                          <a:prstGeom prst="rect">
                            <a:avLst/>
                          </a:prstGeom>
                          <a:noFill/>
                          <a:ln>
                            <a:noFill/>
                          </a:ln>
                        </pic:spPr>
                      </pic:pic>
                    </a:graphicData>
                  </a:graphic>
                </wp:anchor>
              </w:drawing>
            </w:r>
          </w:p>
        </w:tc>
        <w:tc>
          <w:tcPr>
            <w:tcW w:w="9411" w:type="dxa"/>
            <w:shd w:val="clear" w:color="auto" w:fill="auto"/>
          </w:tcPr>
          <w:p w14:paraId="5413616E" w14:textId="67A4FFD0" w:rsidR="003B39C6" w:rsidRDefault="003B39C6" w:rsidP="003B39C6">
            <w:pPr>
              <w:rPr>
                <w:sz w:val="22"/>
              </w:rPr>
            </w:pPr>
            <w:r>
              <w:rPr>
                <w:b/>
              </w:rPr>
              <w:t>Please note:</w:t>
            </w:r>
            <w:r>
              <w:rPr>
                <w:i/>
              </w:rPr>
              <w:t xml:space="preserve"> “The registration in ASTAR is required </w:t>
            </w:r>
            <w:r w:rsidR="00DD3BB2">
              <w:rPr>
                <w:i/>
              </w:rPr>
              <w:br/>
            </w:r>
            <w:r>
              <w:rPr>
                <w:i/>
              </w:rPr>
              <w:t xml:space="preserve">regardless of any obligation to obtain internal approval </w:t>
            </w:r>
            <w:r w:rsidR="00DD3BB2">
              <w:rPr>
                <w:i/>
              </w:rPr>
              <w:br/>
            </w:r>
            <w:r>
              <w:rPr>
                <w:i/>
              </w:rPr>
              <w:t xml:space="preserve">for a benefit in the </w:t>
            </w:r>
            <w:proofErr w:type="spellStart"/>
            <w:r>
              <w:rPr>
                <w:i/>
              </w:rPr>
              <w:t>SpoDoM</w:t>
            </w:r>
            <w:proofErr w:type="spellEnd"/>
            <w:r>
              <w:rPr>
                <w:i/>
              </w:rPr>
              <w:t xml:space="preserve"> tool. Further information can </w:t>
            </w:r>
            <w:r w:rsidR="00DD3BB2">
              <w:rPr>
                <w:i/>
              </w:rPr>
              <w:br/>
            </w:r>
            <w:r>
              <w:rPr>
                <w:i/>
              </w:rPr>
              <w:t xml:space="preserve">be accessed on the </w:t>
            </w:r>
            <w:hyperlink r:id="rId35" w:history="1">
              <w:r>
                <w:rPr>
                  <w:rStyle w:val="Hyperlink"/>
                  <w:i/>
                </w:rPr>
                <w:t>ASTAR webpage</w:t>
              </w:r>
            </w:hyperlink>
            <w:r>
              <w:rPr>
                <w:i/>
              </w:rPr>
              <w:t xml:space="preserve">.” </w:t>
            </w:r>
          </w:p>
        </w:tc>
      </w:tr>
    </w:tbl>
    <w:p w14:paraId="6C09C24D" w14:textId="55E5EB9D" w:rsidR="003B39C6" w:rsidRDefault="003B39C6" w:rsidP="003B39C6">
      <w:pPr>
        <w:pStyle w:val="berschrift4"/>
      </w:pPr>
      <w:bookmarkStart w:id="49" w:name="_Toc494352993"/>
      <w:r>
        <w:t>1.</w:t>
      </w:r>
      <w:r w:rsidR="00DD3BB2">
        <w:t>5.2.2. French Healthcare Sector</w:t>
      </w:r>
    </w:p>
    <w:bookmarkEnd w:id="49"/>
    <w:p w14:paraId="3CC6367B" w14:textId="77777777" w:rsidR="009A3F5A" w:rsidRDefault="003B39C6" w:rsidP="003B39C6">
      <w:r>
        <w:t xml:space="preserve">The following rules are valid for the Healthcare Business within the Siemens Regional Companies whose work involves any interaction with French </w:t>
      </w:r>
      <w:hyperlink w:anchor="_1.4.2._Specific_requirements" w:history="1">
        <w:r>
          <w:rPr>
            <w:rStyle w:val="Hyperlink"/>
          </w:rPr>
          <w:t>Healthcare Professionals (“HCPs“)</w:t>
        </w:r>
      </w:hyperlink>
      <w:r>
        <w:t xml:space="preserve"> and/or French </w:t>
      </w:r>
      <w:hyperlink w:anchor="_1.4.2._Specific_requirements" w:history="1">
        <w:r>
          <w:rPr>
            <w:rStyle w:val="Hyperlink"/>
          </w:rPr>
          <w:t>Healthcare Organizations (“HCOs”)</w:t>
        </w:r>
      </w:hyperlink>
      <w:r>
        <w:t>.</w:t>
      </w:r>
    </w:p>
    <w:p w14:paraId="645CF0E2" w14:textId="5ECE755D" w:rsidR="009D23E0" w:rsidRDefault="009D23E0" w:rsidP="003B39C6">
      <w:pPr>
        <w:rPr>
          <w:rFonts w:cs="Arial"/>
          <w:lang w:eastAsia="de-DE"/>
        </w:rPr>
      </w:pPr>
      <w:r>
        <w:t xml:space="preserve">Any details can be found in the </w:t>
      </w:r>
      <w:hyperlink r:id="rId36" w:history="1">
        <w:r w:rsidRPr="009D23E0">
          <w:rPr>
            <w:rStyle w:val="Hyperlink"/>
            <w:rFonts w:cs="Arial"/>
            <w:lang w:eastAsia="de-DE"/>
          </w:rPr>
          <w:t xml:space="preserve">Siemens </w:t>
        </w:r>
        <w:proofErr w:type="spellStart"/>
        <w:r w:rsidRPr="009D23E0">
          <w:rPr>
            <w:rStyle w:val="Hyperlink"/>
            <w:rFonts w:cs="Arial"/>
            <w:lang w:eastAsia="de-DE"/>
          </w:rPr>
          <w:t>Healthineers</w:t>
        </w:r>
        <w:proofErr w:type="spellEnd"/>
        <w:r w:rsidRPr="009D23E0">
          <w:rPr>
            <w:rStyle w:val="Hyperlink"/>
            <w:rFonts w:cs="Arial"/>
            <w:lang w:eastAsia="de-DE"/>
          </w:rPr>
          <w:t xml:space="preserve"> Compliance Web-Book: `</w:t>
        </w:r>
        <w:r w:rsidRPr="009D23E0">
          <w:rPr>
            <w:rStyle w:val="Hyperlink"/>
          </w:rPr>
          <w:t xml:space="preserve"> Attachment 2: Disclosure Requirements France`</w:t>
        </w:r>
      </w:hyperlink>
      <w:r>
        <w:t>.</w:t>
      </w:r>
    </w:p>
    <w:tbl>
      <w:tblPr>
        <w:tblStyle w:val="Tabellenraster"/>
        <w:tblW w:w="0" w:type="auto"/>
        <w:tblLook w:val="04A0" w:firstRow="1" w:lastRow="0" w:firstColumn="1" w:lastColumn="0" w:noHBand="0" w:noVBand="1"/>
      </w:tblPr>
      <w:tblGrid>
        <w:gridCol w:w="1214"/>
        <w:gridCol w:w="9411"/>
      </w:tblGrid>
      <w:tr w:rsidR="003B39C6" w14:paraId="0C9C25E0" w14:textId="77777777" w:rsidTr="003B39C6">
        <w:trPr>
          <w:trHeight w:val="695"/>
        </w:trPr>
        <w:tc>
          <w:tcPr>
            <w:tcW w:w="814" w:type="dxa"/>
            <w:shd w:val="clear" w:color="auto" w:fill="auto"/>
          </w:tcPr>
          <w:p w14:paraId="3A487FE6" w14:textId="77777777" w:rsidR="003B39C6" w:rsidRDefault="003B39C6" w:rsidP="003B39C6">
            <w:pPr>
              <w:pStyle w:val="KeinAbsatzformat"/>
              <w:rPr>
                <w:sz w:val="22"/>
                <w:szCs w:val="22"/>
                <w:lang w:val="en-US"/>
              </w:rPr>
            </w:pPr>
            <w:r>
              <w:rPr>
                <w:noProof/>
                <w:sz w:val="22"/>
                <w:szCs w:val="22"/>
                <w:lang w:eastAsia="de-DE"/>
              </w:rPr>
              <w:drawing>
                <wp:anchor distT="0" distB="0" distL="114300" distR="114300" simplePos="0" relativeHeight="251658244" behindDoc="1" locked="0" layoutInCell="1" allowOverlap="1" wp14:anchorId="1A843815" wp14:editId="5D684F13">
                  <wp:simplePos x="0" y="0"/>
                  <wp:positionH relativeFrom="column">
                    <wp:posOffset>-83820</wp:posOffset>
                  </wp:positionH>
                  <wp:positionV relativeFrom="paragraph">
                    <wp:posOffset>-78105</wp:posOffset>
                  </wp:positionV>
                  <wp:extent cx="243205" cy="251460"/>
                  <wp:effectExtent l="19050" t="0" r="4445" b="0"/>
                  <wp:wrapTight wrapText="bothSides">
                    <wp:wrapPolygon edited="0">
                      <wp:start x="-1692" y="0"/>
                      <wp:lineTo x="-1692" y="19636"/>
                      <wp:lineTo x="16919" y="19636"/>
                      <wp:lineTo x="21995" y="9818"/>
                      <wp:lineTo x="21995" y="8182"/>
                      <wp:lineTo x="16919" y="0"/>
                      <wp:lineTo x="-1692" y="0"/>
                    </wp:wrapPolygon>
                  </wp:wrapTight>
                  <wp:docPr id="12" name="Grafik 2" descr="\\psf\Home\\Desktop\00_heute\SIE_SCL_140916_Wordtemplate_Legal_Handbook\Examp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esktop\00_heute\SIE_SCL_140916_Wordtemplate_Legal_Handbook\Example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3205" cy="251460"/>
                          </a:xfrm>
                          <a:prstGeom prst="rect">
                            <a:avLst/>
                          </a:prstGeom>
                          <a:noFill/>
                          <a:ln>
                            <a:noFill/>
                          </a:ln>
                        </pic:spPr>
                      </pic:pic>
                    </a:graphicData>
                  </a:graphic>
                </wp:anchor>
              </w:drawing>
            </w:r>
          </w:p>
        </w:tc>
        <w:tc>
          <w:tcPr>
            <w:tcW w:w="9411" w:type="dxa"/>
            <w:shd w:val="clear" w:color="auto" w:fill="auto"/>
          </w:tcPr>
          <w:p w14:paraId="0A5F7F1D" w14:textId="76E552AD" w:rsidR="003B39C6" w:rsidRDefault="003B39C6" w:rsidP="003B39C6">
            <w:pPr>
              <w:rPr>
                <w:sz w:val="22"/>
              </w:rPr>
            </w:pPr>
            <w:r>
              <w:rPr>
                <w:b/>
              </w:rPr>
              <w:t>Please note:</w:t>
            </w:r>
            <w:r>
              <w:rPr>
                <w:i/>
              </w:rPr>
              <w:t xml:space="preserve"> “All above cases must be entered in the </w:t>
            </w:r>
            <w:r w:rsidR="00DD3BB2">
              <w:rPr>
                <w:i/>
              </w:rPr>
              <w:br/>
            </w:r>
            <w:proofErr w:type="spellStart"/>
            <w:r>
              <w:rPr>
                <w:i/>
              </w:rPr>
              <w:t>SpoDoM</w:t>
            </w:r>
            <w:proofErr w:type="spellEnd"/>
            <w:r>
              <w:rPr>
                <w:i/>
              </w:rPr>
              <w:t xml:space="preserve"> tool, even if the French HCP is offered a Benefit </w:t>
            </w:r>
            <w:r w:rsidR="00DD3BB2">
              <w:rPr>
                <w:i/>
              </w:rPr>
              <w:br/>
            </w:r>
            <w:r>
              <w:rPr>
                <w:i/>
              </w:rPr>
              <w:t xml:space="preserve">normally not requiring registration in </w:t>
            </w:r>
            <w:proofErr w:type="spellStart"/>
            <w:r>
              <w:rPr>
                <w:i/>
              </w:rPr>
              <w:t>SpoDoM</w:t>
            </w:r>
            <w:proofErr w:type="spellEnd"/>
            <w:r>
              <w:rPr>
                <w:i/>
              </w:rPr>
              <w:t xml:space="preserve"> but in scope </w:t>
            </w:r>
            <w:r w:rsidR="00DD3BB2">
              <w:rPr>
                <w:i/>
              </w:rPr>
              <w:br/>
            </w:r>
            <w:r>
              <w:rPr>
                <w:i/>
              </w:rPr>
              <w:t xml:space="preserve">of </w:t>
            </w:r>
            <w:hyperlink r:id="rId37" w:history="1">
              <w:r w:rsidR="009D23E0" w:rsidRPr="009D23E0">
                <w:rPr>
                  <w:rStyle w:val="Hyperlink"/>
                  <w:rFonts w:cs="Arial"/>
                  <w:lang w:eastAsia="de-DE"/>
                </w:rPr>
                <w:t xml:space="preserve">Siemens </w:t>
              </w:r>
              <w:proofErr w:type="spellStart"/>
              <w:r w:rsidR="009D23E0" w:rsidRPr="009D23E0">
                <w:rPr>
                  <w:rStyle w:val="Hyperlink"/>
                  <w:rFonts w:cs="Arial"/>
                  <w:lang w:eastAsia="de-DE"/>
                </w:rPr>
                <w:t>Healthineers</w:t>
              </w:r>
              <w:proofErr w:type="spellEnd"/>
              <w:r w:rsidR="009D23E0" w:rsidRPr="009D23E0">
                <w:rPr>
                  <w:rStyle w:val="Hyperlink"/>
                  <w:rFonts w:cs="Arial"/>
                  <w:lang w:eastAsia="de-DE"/>
                </w:rPr>
                <w:t xml:space="preserve"> Compliance Web-Book: `</w:t>
              </w:r>
              <w:r w:rsidR="009D23E0" w:rsidRPr="009D23E0">
                <w:rPr>
                  <w:rStyle w:val="Hyperlink"/>
                </w:rPr>
                <w:t xml:space="preserve"> Attachment 2: Disclosure Requirements France`</w:t>
              </w:r>
            </w:hyperlink>
            <w:r>
              <w:rPr>
                <w:i/>
              </w:rPr>
              <w:t xml:space="preserve"> </w:t>
            </w:r>
            <w:r w:rsidR="00DD3BB2">
              <w:rPr>
                <w:i/>
              </w:rPr>
              <w:br/>
            </w:r>
            <w:r>
              <w:rPr>
                <w:i/>
              </w:rPr>
              <w:t xml:space="preserve">(for example business meals).” </w:t>
            </w:r>
          </w:p>
        </w:tc>
      </w:tr>
    </w:tbl>
    <w:p w14:paraId="6C09C254" w14:textId="77777777" w:rsidR="003B39C6" w:rsidRDefault="003B39C6" w:rsidP="003B39C6">
      <w:r>
        <w:t xml:space="preserve">In case further information is needed, the French </w:t>
      </w:r>
      <w:proofErr w:type="spellStart"/>
      <w:r>
        <w:t>Healthineers</w:t>
      </w:r>
      <w:proofErr w:type="spellEnd"/>
      <w:r>
        <w:t xml:space="preserve"> Compliance Organization can be contacted.</w:t>
      </w:r>
    </w:p>
    <w:p w14:paraId="6C09C255" w14:textId="11F5C674" w:rsidR="003B39C6" w:rsidRDefault="003B39C6" w:rsidP="003B39C6">
      <w:pPr>
        <w:pStyle w:val="berschrift4"/>
      </w:pPr>
      <w:bookmarkStart w:id="50" w:name="_Toc494352994"/>
      <w:r>
        <w:t>1.5.2.3. Further Country-S</w:t>
      </w:r>
      <w:r w:rsidR="00DD3BB2">
        <w:t>pecific Healthcare Requirements</w:t>
      </w:r>
    </w:p>
    <w:bookmarkEnd w:id="50"/>
    <w:p w14:paraId="6C09C256" w14:textId="1282E46B" w:rsidR="003B39C6" w:rsidRDefault="003B39C6" w:rsidP="003B39C6">
      <w:r>
        <w:t xml:space="preserve">For interactions with </w:t>
      </w:r>
      <w:hyperlink w:anchor="_1.4.2._Specific_requirements" w:history="1">
        <w:r>
          <w:rPr>
            <w:rStyle w:val="Hyperlink"/>
          </w:rPr>
          <w:t>HCPs</w:t>
        </w:r>
      </w:hyperlink>
      <w:r>
        <w:t xml:space="preserve"> and/or with </w:t>
      </w:r>
      <w:hyperlink w:anchor="_1.4.2._Specific_requirements" w:history="1">
        <w:r>
          <w:rPr>
            <w:rStyle w:val="Hyperlink"/>
          </w:rPr>
          <w:t>HCOs</w:t>
        </w:r>
      </w:hyperlink>
      <w:r>
        <w:t xml:space="preserve"> there are further country-specific requirements and disclosure obligations which can be found at the </w:t>
      </w:r>
      <w:hyperlink r:id="rId38" w:history="1">
        <w:proofErr w:type="spellStart"/>
        <w:r w:rsidRPr="001939C0">
          <w:rPr>
            <w:rStyle w:val="Hyperlink"/>
          </w:rPr>
          <w:t>Healthineers</w:t>
        </w:r>
        <w:proofErr w:type="spellEnd"/>
        <w:r w:rsidRPr="001939C0">
          <w:rPr>
            <w:rStyle w:val="Hyperlink"/>
          </w:rPr>
          <w:t xml:space="preserve"> Compliance World Map of Country Specific Requirements</w:t>
        </w:r>
      </w:hyperlink>
      <w:r>
        <w:t>.</w:t>
      </w:r>
    </w:p>
    <w:p w14:paraId="6C09C257" w14:textId="20FB09D1" w:rsidR="003B39C6" w:rsidRDefault="00DD3BB2" w:rsidP="003B39C6">
      <w:pPr>
        <w:pStyle w:val="berschrift2"/>
        <w:tabs>
          <w:tab w:val="left" w:pos="3570"/>
        </w:tabs>
      </w:pPr>
      <w:r>
        <w:t>1.6. Further information</w:t>
      </w:r>
    </w:p>
    <w:p w14:paraId="6C09C258" w14:textId="16F584BC" w:rsidR="003B39C6" w:rsidRDefault="003B39C6" w:rsidP="003B39C6">
      <w:pPr>
        <w:pStyle w:val="scfbrieftext"/>
        <w:spacing w:before="120"/>
        <w:ind w:right="565"/>
        <w:jc w:val="both"/>
        <w:rPr>
          <w:rFonts w:eastAsia="Siemens Sans" w:cs="Arial"/>
        </w:rPr>
      </w:pPr>
      <w:r>
        <w:rPr>
          <w:rFonts w:eastAsia="Siemens Sans" w:cs="Arial"/>
        </w:rPr>
        <w:t xml:space="preserve">Further details, including the contact persons for gifts and hospitality at LC CO </w:t>
      </w:r>
      <w:r w:rsidR="006C1FDD">
        <w:rPr>
          <w:rFonts w:eastAsia="Siemens Sans" w:cs="Arial"/>
        </w:rPr>
        <w:t>PT CO</w:t>
      </w:r>
      <w:r>
        <w:rPr>
          <w:rFonts w:eastAsia="Siemens Sans" w:cs="Arial"/>
        </w:rPr>
        <w:t xml:space="preserve"> and LC CO </w:t>
      </w:r>
      <w:r w:rsidR="006C1FDD">
        <w:rPr>
          <w:rFonts w:eastAsia="Siemens Sans" w:cs="Arial"/>
        </w:rPr>
        <w:t>RFC LF</w:t>
      </w:r>
      <w:r>
        <w:rPr>
          <w:rFonts w:eastAsia="Siemens Sans" w:cs="Arial"/>
        </w:rPr>
        <w:t xml:space="preserve"> are available via the </w:t>
      </w:r>
      <w:hyperlink r:id="rId39" w:history="1">
        <w:r>
          <w:rPr>
            <w:rFonts w:eastAsia="Siemens Sans"/>
          </w:rPr>
          <w:t>Compliance intranet</w:t>
        </w:r>
      </w:hyperlink>
      <w:r>
        <w:rPr>
          <w:rFonts w:eastAsia="Siemens Sans" w:cs="Arial"/>
        </w:rPr>
        <w:t>. The Compliance Officers are also available for questions.</w:t>
      </w:r>
      <w:bookmarkStart w:id="51" w:name="_Toc421711309"/>
      <w:bookmarkStart w:id="52" w:name="_Toc421711315"/>
      <w:bookmarkStart w:id="53" w:name="_bookmark1"/>
      <w:bookmarkStart w:id="54" w:name="_bookmark2"/>
      <w:bookmarkStart w:id="55" w:name="_bookmark3"/>
      <w:bookmarkStart w:id="56" w:name="_bookmark4"/>
      <w:bookmarkStart w:id="57" w:name="_bookmark5"/>
      <w:bookmarkStart w:id="58" w:name="_bookmark6"/>
      <w:bookmarkStart w:id="59" w:name="_bookmark7"/>
      <w:bookmarkStart w:id="60" w:name="_bookmark8"/>
      <w:bookmarkStart w:id="61" w:name="_bookmark9"/>
      <w:bookmarkStart w:id="62" w:name="_bookmark10"/>
      <w:bookmarkStart w:id="63" w:name="_bookmark11"/>
      <w:bookmarkStart w:id="64" w:name="_bookmark13"/>
      <w:bookmarkStart w:id="65" w:name="_bookmark14"/>
      <w:bookmarkStart w:id="66" w:name="_bookmark15"/>
      <w:bookmarkStart w:id="67" w:name="_bookmark16"/>
      <w:bookmarkStart w:id="68" w:name="_bookmark17"/>
      <w:bookmarkStart w:id="69" w:name="_bookmark18"/>
      <w:bookmarkStart w:id="70" w:name="_bookmark22"/>
      <w:bookmarkStart w:id="71" w:name="_bookmark23"/>
      <w:bookmarkStart w:id="72" w:name="_bookmark25"/>
      <w:bookmarkStart w:id="73" w:name="_bookmark26"/>
      <w:bookmarkStart w:id="74" w:name="_bookmark27"/>
      <w:bookmarkStart w:id="75" w:name="_bookmark28"/>
      <w:bookmarkStart w:id="76" w:name="_bookmark29"/>
      <w:bookmarkStart w:id="77" w:name="_bookmark30"/>
      <w:bookmarkStart w:id="78" w:name="_bookmark31"/>
      <w:bookmarkStart w:id="79" w:name="_bookmark32"/>
      <w:bookmarkStart w:id="80" w:name="_bookmark33"/>
      <w:bookmarkStart w:id="81" w:name="_bookmark34"/>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p>
    <w:p w14:paraId="6C09C259" w14:textId="3DB508FA" w:rsidR="003B39C6" w:rsidRDefault="003B39C6" w:rsidP="003B39C6">
      <w:pPr>
        <w:pStyle w:val="berschrift2"/>
      </w:pPr>
      <w:r>
        <w:lastRenderedPageBreak/>
        <w:t>1.7. T</w:t>
      </w:r>
      <w:r w:rsidR="00DD3BB2">
        <w:t>raining and supporting material</w:t>
      </w:r>
    </w:p>
    <w:p w14:paraId="6C09C25A" w14:textId="77777777" w:rsidR="003B39C6" w:rsidRDefault="003B39C6" w:rsidP="003B39C6">
      <w:r>
        <w:t xml:space="preserve">Training &amp; supporting material can be found on the </w:t>
      </w:r>
      <w:hyperlink r:id="rId40" w:history="1">
        <w:r>
          <w:rPr>
            <w:rStyle w:val="Hyperlink"/>
          </w:rPr>
          <w:t>Gifts and Hospitality</w:t>
        </w:r>
      </w:hyperlink>
      <w:r>
        <w:t xml:space="preserve"> intranet page, in the tab “Supporting Material”.</w:t>
      </w:r>
    </w:p>
    <w:p w14:paraId="6C09C25B" w14:textId="77777777" w:rsidR="003B39C6" w:rsidRDefault="003B39C6" w:rsidP="003B39C6">
      <w:pPr>
        <w:pStyle w:val="berschrift2"/>
      </w:pPr>
      <w:r>
        <w:t>1.8. History of changes</w:t>
      </w:r>
    </w:p>
    <w:tbl>
      <w:tblPr>
        <w:tblStyle w:val="Tabellenraster"/>
        <w:tblW w:w="0" w:type="auto"/>
        <w:tblInd w:w="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2520"/>
        <w:gridCol w:w="5324"/>
      </w:tblGrid>
      <w:tr w:rsidR="003B39C6" w14:paraId="6C09C25F" w14:textId="77777777" w:rsidTr="00C500FB">
        <w:tc>
          <w:tcPr>
            <w:tcW w:w="1795" w:type="dxa"/>
            <w:shd w:val="clear" w:color="auto" w:fill="879BAA" w:themeFill="text2"/>
          </w:tcPr>
          <w:p w14:paraId="6C09C25C" w14:textId="77777777" w:rsidR="003B39C6" w:rsidRDefault="003B39C6" w:rsidP="003B39C6">
            <w:pPr>
              <w:rPr>
                <w:b/>
                <w:color w:val="auto"/>
              </w:rPr>
            </w:pPr>
            <w:r>
              <w:rPr>
                <w:b/>
                <w:color w:val="auto"/>
              </w:rPr>
              <w:t xml:space="preserve">Date </w:t>
            </w:r>
          </w:p>
        </w:tc>
        <w:tc>
          <w:tcPr>
            <w:tcW w:w="2520" w:type="dxa"/>
            <w:shd w:val="clear" w:color="auto" w:fill="879BAA" w:themeFill="text2"/>
          </w:tcPr>
          <w:p w14:paraId="6C09C25D" w14:textId="77777777" w:rsidR="003B39C6" w:rsidRDefault="003B39C6" w:rsidP="003B39C6">
            <w:pPr>
              <w:rPr>
                <w:b/>
                <w:color w:val="auto"/>
              </w:rPr>
            </w:pPr>
            <w:r>
              <w:rPr>
                <w:b/>
                <w:color w:val="auto"/>
              </w:rPr>
              <w:t>Author</w:t>
            </w:r>
          </w:p>
        </w:tc>
        <w:tc>
          <w:tcPr>
            <w:tcW w:w="5324" w:type="dxa"/>
            <w:shd w:val="clear" w:color="auto" w:fill="879BAA" w:themeFill="text2"/>
          </w:tcPr>
          <w:p w14:paraId="6C09C25E" w14:textId="77777777" w:rsidR="003B39C6" w:rsidRDefault="003B39C6" w:rsidP="003B39C6">
            <w:pPr>
              <w:rPr>
                <w:b/>
                <w:color w:val="auto"/>
              </w:rPr>
            </w:pPr>
            <w:r>
              <w:rPr>
                <w:b/>
                <w:color w:val="auto"/>
              </w:rPr>
              <w:t>Major changes of binding content</w:t>
            </w:r>
          </w:p>
        </w:tc>
      </w:tr>
      <w:tr w:rsidR="003B39C6" w14:paraId="6C09C263" w14:textId="77777777" w:rsidTr="00C500FB">
        <w:tc>
          <w:tcPr>
            <w:tcW w:w="1795" w:type="dxa"/>
          </w:tcPr>
          <w:p w14:paraId="6C09C260" w14:textId="799FD9A6" w:rsidR="003B39C6" w:rsidRDefault="00CF30F3" w:rsidP="00CF30F3">
            <w:r>
              <w:t xml:space="preserve">January 1, </w:t>
            </w:r>
            <w:r w:rsidR="003B39C6">
              <w:t>201</w:t>
            </w:r>
            <w:r>
              <w:t>9</w:t>
            </w:r>
          </w:p>
        </w:tc>
        <w:tc>
          <w:tcPr>
            <w:tcW w:w="2520" w:type="dxa"/>
          </w:tcPr>
          <w:p w14:paraId="6C09C261" w14:textId="6FD491F6" w:rsidR="003B39C6" w:rsidRDefault="003B39C6" w:rsidP="003B39C6">
            <w:r>
              <w:t xml:space="preserve"> Panagiotis Chalioulias </w:t>
            </w:r>
            <w:proofErr w:type="gramStart"/>
            <w:r>
              <w:t>/  Ulrike</w:t>
            </w:r>
            <w:proofErr w:type="gramEnd"/>
            <w:r>
              <w:t xml:space="preserve"> Desimoni / Soeren Kupich</w:t>
            </w:r>
          </w:p>
        </w:tc>
        <w:tc>
          <w:tcPr>
            <w:tcW w:w="5324" w:type="dxa"/>
          </w:tcPr>
          <w:p w14:paraId="6C09C262" w14:textId="6F8B467A" w:rsidR="003B39C6" w:rsidRDefault="003B39C6" w:rsidP="003B39C6">
            <w:r>
              <w:t>Comprehensive revision of structure and format and text streamlining of the “Gifts and Hospitality – Binding Instructions” and integ</w:t>
            </w:r>
            <w:r w:rsidR="00CF30F3">
              <w:t>ration into the Compliance Handb</w:t>
            </w:r>
            <w:r>
              <w:t>ook.</w:t>
            </w:r>
          </w:p>
        </w:tc>
      </w:tr>
      <w:tr w:rsidR="00497C01" w:rsidRPr="00497C01" w14:paraId="7931C35E" w14:textId="77777777" w:rsidTr="00C500FB">
        <w:tc>
          <w:tcPr>
            <w:tcW w:w="1795" w:type="dxa"/>
          </w:tcPr>
          <w:p w14:paraId="20ED0FE5" w14:textId="21D5F39A" w:rsidR="00497C01" w:rsidRDefault="005162EF" w:rsidP="00CF30F3">
            <w:r>
              <w:t xml:space="preserve">October 15, </w:t>
            </w:r>
            <w:r w:rsidR="00497C01">
              <w:t>2019</w:t>
            </w:r>
          </w:p>
        </w:tc>
        <w:tc>
          <w:tcPr>
            <w:tcW w:w="2520" w:type="dxa"/>
          </w:tcPr>
          <w:p w14:paraId="4187944A" w14:textId="4AAB46B5" w:rsidR="00497C01" w:rsidRPr="009A7FC8" w:rsidRDefault="00497C01" w:rsidP="003B39C6">
            <w:pPr>
              <w:rPr>
                <w:lang w:val="de-DE"/>
              </w:rPr>
            </w:pPr>
            <w:r w:rsidRPr="009A7FC8">
              <w:rPr>
                <w:lang w:val="de-DE"/>
              </w:rPr>
              <w:t xml:space="preserve">Panagiotis Chalioulias </w:t>
            </w:r>
            <w:proofErr w:type="gramStart"/>
            <w:r w:rsidRPr="009A7FC8">
              <w:rPr>
                <w:lang w:val="de-DE"/>
              </w:rPr>
              <w:t>/  Ulrike</w:t>
            </w:r>
            <w:proofErr w:type="gramEnd"/>
            <w:r w:rsidRPr="009A7FC8">
              <w:rPr>
                <w:lang w:val="de-DE"/>
              </w:rPr>
              <w:t xml:space="preserve"> Desimoni / Soeren Kupich / Julia Wirth</w:t>
            </w:r>
          </w:p>
        </w:tc>
        <w:tc>
          <w:tcPr>
            <w:tcW w:w="5324" w:type="dxa"/>
          </w:tcPr>
          <w:p w14:paraId="0950BB65" w14:textId="63F1D86B" w:rsidR="00497C01" w:rsidRPr="00497C01" w:rsidRDefault="00947432" w:rsidP="003B39C6">
            <w:r>
              <w:t>More detailed</w:t>
            </w:r>
            <w:r w:rsidR="005162EF">
              <w:t xml:space="preserve"> i</w:t>
            </w:r>
            <w:r w:rsidR="005162EF" w:rsidRPr="00497C01">
              <w:t>nstruction regarding „</w:t>
            </w:r>
            <w:r w:rsidR="002A6A19">
              <w:t xml:space="preserve">the dealing with </w:t>
            </w:r>
            <w:proofErr w:type="gramStart"/>
            <w:r w:rsidR="002A6A19">
              <w:t>princ</w:t>
            </w:r>
            <w:r w:rsidR="00383778">
              <w:t>iples</w:t>
            </w:r>
            <w:r w:rsidR="005162EF" w:rsidRPr="00497C01">
              <w:t>“</w:t>
            </w:r>
            <w:proofErr w:type="gramEnd"/>
            <w:r>
              <w:t xml:space="preserve">, </w:t>
            </w:r>
            <w:r w:rsidR="00497C01">
              <w:t>compliance structure</w:t>
            </w:r>
            <w:r>
              <w:t xml:space="preserve"> and links</w:t>
            </w:r>
            <w:r w:rsidR="005162EF">
              <w:t xml:space="preserve"> update</w:t>
            </w:r>
            <w:r>
              <w:t>, minor corrections</w:t>
            </w:r>
            <w:r w:rsidR="005162EF">
              <w:t>.</w:t>
            </w:r>
          </w:p>
        </w:tc>
      </w:tr>
      <w:tr w:rsidR="005E4C9C" w:rsidRPr="00497C01" w14:paraId="2938B290" w14:textId="77777777" w:rsidTr="00C500FB">
        <w:tc>
          <w:tcPr>
            <w:tcW w:w="1795" w:type="dxa"/>
          </w:tcPr>
          <w:p w14:paraId="210F0605" w14:textId="182D8B69" w:rsidR="005E4C9C" w:rsidRDefault="005E4C9C" w:rsidP="00CF30F3">
            <w:r>
              <w:t>April 1, 2020</w:t>
            </w:r>
          </w:p>
        </w:tc>
        <w:tc>
          <w:tcPr>
            <w:tcW w:w="2520" w:type="dxa"/>
          </w:tcPr>
          <w:p w14:paraId="5866C302" w14:textId="27C45995" w:rsidR="005E4C9C" w:rsidRPr="00B47E4A" w:rsidRDefault="005E4C9C" w:rsidP="003B39C6">
            <w:r>
              <w:t>Ulrike Desimoni</w:t>
            </w:r>
          </w:p>
        </w:tc>
        <w:tc>
          <w:tcPr>
            <w:tcW w:w="5324" w:type="dxa"/>
          </w:tcPr>
          <w:p w14:paraId="1DBDFFD8" w14:textId="5FEAD47A" w:rsidR="005E4C9C" w:rsidRPr="00742BBF" w:rsidRDefault="00742BBF" w:rsidP="00742BBF">
            <w:r>
              <w:t xml:space="preserve">Chapter </w:t>
            </w:r>
            <w:r w:rsidR="005E4C9C" w:rsidRPr="00742BBF">
              <w:t xml:space="preserve">1.3.2. Content clarification regarding the exception: Siemens-Organized </w:t>
            </w:r>
            <w:proofErr w:type="gramStart"/>
            <w:r w:rsidR="005E4C9C" w:rsidRPr="00742BBF">
              <w:t>Events;</w:t>
            </w:r>
            <w:proofErr w:type="gramEnd"/>
          </w:p>
          <w:p w14:paraId="795411B8" w14:textId="22DA7FE1" w:rsidR="005E4C9C" w:rsidRPr="00742BBF" w:rsidRDefault="00742BBF" w:rsidP="00742BBF">
            <w:r>
              <w:t xml:space="preserve">Chapter </w:t>
            </w:r>
            <w:r w:rsidR="005E4C9C" w:rsidRPr="00742BBF">
              <w:t xml:space="preserve">1.2.4.  and 1.3.4. Adaption of Risk Group of Contributions without Consideration </w:t>
            </w:r>
          </w:p>
        </w:tc>
      </w:tr>
      <w:tr w:rsidR="00020168" w:rsidRPr="00D4790E" w14:paraId="15569611" w14:textId="77777777" w:rsidTr="00C500FB">
        <w:tc>
          <w:tcPr>
            <w:tcW w:w="1795" w:type="dxa"/>
          </w:tcPr>
          <w:p w14:paraId="07A6F5D5" w14:textId="32AD7C13" w:rsidR="00020168" w:rsidRDefault="00020168" w:rsidP="00CF30F3">
            <w:r>
              <w:t xml:space="preserve">October </w:t>
            </w:r>
            <w:r w:rsidR="001C2C62">
              <w:t>0</w:t>
            </w:r>
            <w:r>
              <w:t>1, 2020</w:t>
            </w:r>
          </w:p>
        </w:tc>
        <w:tc>
          <w:tcPr>
            <w:tcW w:w="2520" w:type="dxa"/>
          </w:tcPr>
          <w:p w14:paraId="2B31A9F9" w14:textId="277B6BA7" w:rsidR="00020168" w:rsidRPr="009A7FC8" w:rsidRDefault="00020168" w:rsidP="003B39C6">
            <w:pPr>
              <w:rPr>
                <w:lang w:val="de-DE"/>
              </w:rPr>
            </w:pPr>
            <w:r w:rsidRPr="009A7FC8">
              <w:rPr>
                <w:lang w:val="de-DE"/>
              </w:rPr>
              <w:t>Ulrike Desimoni</w:t>
            </w:r>
            <w:r w:rsidR="00D4790E">
              <w:rPr>
                <w:lang w:val="de-DE"/>
              </w:rPr>
              <w:t xml:space="preserve"> /</w:t>
            </w:r>
            <w:r w:rsidRPr="009A7FC8">
              <w:rPr>
                <w:lang w:val="de-DE"/>
              </w:rPr>
              <w:t xml:space="preserve"> Soeren K</w:t>
            </w:r>
            <w:r>
              <w:rPr>
                <w:lang w:val="de-DE"/>
              </w:rPr>
              <w:t>upich</w:t>
            </w:r>
          </w:p>
        </w:tc>
        <w:tc>
          <w:tcPr>
            <w:tcW w:w="5324" w:type="dxa"/>
          </w:tcPr>
          <w:p w14:paraId="2B5274C6" w14:textId="69010361" w:rsidR="00020168" w:rsidRPr="00D4790E" w:rsidRDefault="00D4790E" w:rsidP="00742BBF">
            <w:r w:rsidRPr="009A7FC8">
              <w:t xml:space="preserve">Amendment of Chapter </w:t>
            </w:r>
            <w:r>
              <w:t xml:space="preserve">1., </w:t>
            </w:r>
            <w:r w:rsidRPr="009A7FC8">
              <w:t xml:space="preserve">1.2.4., 1.3., 1.3.4.: </w:t>
            </w:r>
            <w:r>
              <w:t xml:space="preserve">Introduction of a threshold value of EUR 20,000 </w:t>
            </w:r>
            <w:r w:rsidRPr="009A7FC8">
              <w:t xml:space="preserve">for Other Contributions without Consideration </w:t>
            </w:r>
          </w:p>
        </w:tc>
      </w:tr>
      <w:tr w:rsidR="002B3C4D" w:rsidRPr="00CE2A24" w14:paraId="54B6E509" w14:textId="77777777" w:rsidTr="00047E43">
        <w:tc>
          <w:tcPr>
            <w:tcW w:w="1795" w:type="dxa"/>
          </w:tcPr>
          <w:p w14:paraId="6094BD04" w14:textId="77777777" w:rsidR="002B3C4D" w:rsidRDefault="002B3C4D" w:rsidP="00047E43">
            <w:r>
              <w:t xml:space="preserve">April 1, </w:t>
            </w:r>
            <w:r>
              <w:lastRenderedPageBreak/>
              <w:t>2021</w:t>
            </w:r>
          </w:p>
        </w:tc>
        <w:tc>
          <w:tcPr>
            <w:tcW w:w="2520" w:type="dxa"/>
          </w:tcPr>
          <w:p w14:paraId="45242C8D" w14:textId="77777777" w:rsidR="002B3C4D" w:rsidRPr="00CE2A24" w:rsidRDefault="002B3C4D" w:rsidP="00047E43">
            <w:r w:rsidRPr="00CE2A24">
              <w:rPr>
                <w:lang w:val="de-DE"/>
              </w:rPr>
              <w:lastRenderedPageBreak/>
              <w:t xml:space="preserve">Ulrike Desimoni / </w:t>
            </w:r>
            <w:r w:rsidRPr="00CE2A24">
              <w:rPr>
                <w:lang w:val="de-DE"/>
              </w:rPr>
              <w:lastRenderedPageBreak/>
              <w:t>Soeren Kupich</w:t>
            </w:r>
          </w:p>
        </w:tc>
        <w:tc>
          <w:tcPr>
            <w:tcW w:w="5324" w:type="dxa"/>
          </w:tcPr>
          <w:p w14:paraId="17CDFEDB" w14:textId="77777777" w:rsidR="002B3C4D" w:rsidRPr="00CE2A24" w:rsidRDefault="002B3C4D" w:rsidP="00047E43">
            <w:r w:rsidRPr="00CE2A24">
              <w:lastRenderedPageBreak/>
              <w:t>Amendment of Chapter</w:t>
            </w:r>
            <w:r>
              <w:t xml:space="preserve"> </w:t>
            </w:r>
            <w:r w:rsidRPr="00CE2A24">
              <w:t xml:space="preserve">1.2.4, 1.3, 1.3.4, 1.5.1: </w:t>
            </w:r>
            <w:r w:rsidRPr="00CE2A24">
              <w:lastRenderedPageBreak/>
              <w:t>i</w:t>
            </w:r>
            <w:r>
              <w:t>ntroduction</w:t>
            </w:r>
            <w:r w:rsidRPr="00CE2A24">
              <w:t xml:space="preserve"> o</w:t>
            </w:r>
            <w:r>
              <w:t xml:space="preserve">f mandatory </w:t>
            </w:r>
            <w:proofErr w:type="spellStart"/>
            <w:r>
              <w:t>SpoDoM</w:t>
            </w:r>
            <w:proofErr w:type="spellEnd"/>
            <w:r>
              <w:t xml:space="preserve"> approval for B-BBEE contributions in South-Africa as country-specific requirements</w:t>
            </w:r>
          </w:p>
        </w:tc>
      </w:tr>
    </w:tbl>
    <w:p w14:paraId="6C09C264" w14:textId="77777777" w:rsidR="003B39C6" w:rsidRPr="00D4790E" w:rsidRDefault="003B39C6" w:rsidP="003B39C6">
      <w:pPr>
        <w:pStyle w:val="KeinAbsatzformat"/>
        <w:rPr>
          <w:lang w:val="en-US"/>
        </w:rPr>
      </w:pPr>
    </w:p>
    <w:p w14:paraId="0CE72BA9" w14:textId="4E0BA696" w:rsidR="003B39C6" w:rsidRDefault="00DD3BB2" w:rsidP="003B39C6">
      <w:pPr>
        <w:pStyle w:val="berschrift2"/>
      </w:pPr>
      <w:r>
        <w:t>1.</w:t>
      </w:r>
      <w:r w:rsidR="002B6EA8">
        <w:t>9</w:t>
      </w:r>
      <w:r>
        <w:t>. Contacts</w:t>
      </w:r>
    </w:p>
    <w:p w14:paraId="74F29EC7" w14:textId="77777777" w:rsidR="003B39C6" w:rsidRPr="00951D33" w:rsidRDefault="003B39C6" w:rsidP="003B39C6">
      <w:pPr>
        <w:pStyle w:val="HighlightboxGreyBulletpoints"/>
      </w:pPr>
      <w:r w:rsidRPr="00951D33">
        <w:t xml:space="preserve">Compliance Officer </w:t>
      </w:r>
    </w:p>
    <w:p w14:paraId="1AC228C3" w14:textId="26E2A876" w:rsidR="003B39C6" w:rsidRPr="00951D33" w:rsidRDefault="003B39C6" w:rsidP="003B39C6">
      <w:pPr>
        <w:ind w:left="360"/>
      </w:pPr>
      <w:r w:rsidRPr="00951D33">
        <w:t xml:space="preserve">The Compliance Officer responsible for your unit can be found through the following </w:t>
      </w:r>
      <w:hyperlink r:id="rId41" w:history="1">
        <w:r w:rsidRPr="000E18BF">
          <w:rPr>
            <w:rStyle w:val="Hyperlink"/>
          </w:rPr>
          <w:t>link</w:t>
        </w:r>
      </w:hyperlink>
      <w:r w:rsidRPr="00951D33">
        <w:t>.</w:t>
      </w:r>
    </w:p>
    <w:p w14:paraId="25A28D0B" w14:textId="77777777" w:rsidR="003B39C6" w:rsidRPr="00951D33" w:rsidRDefault="003B39C6" w:rsidP="003B39C6">
      <w:pPr>
        <w:pStyle w:val="HighlightboxGreyBulletpoints"/>
      </w:pPr>
      <w:r w:rsidRPr="00951D33">
        <w:t>Corporate Governance Owner</w:t>
      </w:r>
    </w:p>
    <w:p w14:paraId="7118A77F" w14:textId="5C87F9DB" w:rsidR="007242D2" w:rsidRPr="007242D2" w:rsidRDefault="007242D2" w:rsidP="007242D2">
      <w:pPr>
        <w:ind w:left="360"/>
      </w:pPr>
      <w:r>
        <w:t xml:space="preserve">Ulrike Desimoni </w:t>
      </w:r>
      <w:r w:rsidR="003B39C6" w:rsidRPr="007242D2">
        <w:t>(LC CO R</w:t>
      </w:r>
      <w:r w:rsidR="00F2086B">
        <w:t>FC</w:t>
      </w:r>
      <w:r w:rsidR="003B39C6" w:rsidRPr="007242D2">
        <w:t xml:space="preserve"> </w:t>
      </w:r>
      <w:r>
        <w:t>L</w:t>
      </w:r>
      <w:r w:rsidR="00F2086B">
        <w:t>F</w:t>
      </w:r>
      <w:r w:rsidR="003B39C6" w:rsidRPr="007242D2">
        <w:t>)</w:t>
      </w:r>
    </w:p>
    <w:p w14:paraId="35EB8D7F" w14:textId="67892F3B" w:rsidR="007242D2" w:rsidRPr="00893FBA" w:rsidRDefault="00893FBA" w:rsidP="003B39C6">
      <w:pPr>
        <w:ind w:left="360"/>
      </w:pPr>
      <w:r w:rsidRPr="000C06E5">
        <w:t>Yvonne Hamm-Düppe</w:t>
      </w:r>
      <w:r w:rsidR="007242D2" w:rsidRPr="00893FBA">
        <w:t xml:space="preserve"> (LC CO </w:t>
      </w:r>
      <w:r w:rsidRPr="000C06E5">
        <w:t>RFC LF</w:t>
      </w:r>
      <w:r>
        <w:t>)</w:t>
      </w:r>
    </w:p>
    <w:p w14:paraId="2836D061" w14:textId="3DF2039B" w:rsidR="00AF24F3" w:rsidRPr="003B39C6" w:rsidRDefault="007242D2" w:rsidP="007242D2">
      <w:pPr>
        <w:ind w:left="360"/>
      </w:pPr>
      <w:r>
        <w:t xml:space="preserve">Soeren Kupich </w:t>
      </w:r>
      <w:r w:rsidR="003B39C6" w:rsidRPr="007242D2">
        <w:t>(LC CO</w:t>
      </w:r>
      <w:r w:rsidR="00E76E3B">
        <w:t xml:space="preserve"> PT CO</w:t>
      </w:r>
      <w:r w:rsidR="003B39C6" w:rsidRPr="007242D2">
        <w:t>)</w:t>
      </w:r>
    </w:p>
    <w:sectPr w:rsidR="00AF24F3" w:rsidRPr="003B39C6">
      <w:headerReference w:type="even" r:id="rId42"/>
      <w:headerReference w:type="default" r:id="rId43"/>
      <w:footerReference w:type="even" r:id="rId44"/>
      <w:footerReference w:type="default" r:id="rId45"/>
      <w:headerReference w:type="first" r:id="rId46"/>
      <w:footerReference w:type="first" r:id="rId47"/>
      <w:pgSz w:w="12240" w:h="15840" w:code="1"/>
      <w:pgMar w:top="1871" w:right="1021" w:bottom="1474" w:left="1134" w:header="2"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A1B868" w14:textId="77777777" w:rsidR="00424376" w:rsidRDefault="00424376">
      <w:pPr>
        <w:spacing w:after="0" w:line="240" w:lineRule="auto"/>
      </w:pPr>
      <w:r>
        <w:separator/>
      </w:r>
    </w:p>
  </w:endnote>
  <w:endnote w:type="continuationSeparator" w:id="0">
    <w:p w14:paraId="64A83441" w14:textId="77777777" w:rsidR="00424376" w:rsidRDefault="00424376">
      <w:pPr>
        <w:spacing w:after="0" w:line="240" w:lineRule="auto"/>
      </w:pPr>
      <w:r>
        <w:continuationSeparator/>
      </w:r>
    </w:p>
  </w:endnote>
  <w:endnote w:type="continuationNotice" w:id="1">
    <w:p w14:paraId="5379118A" w14:textId="77777777" w:rsidR="00424376" w:rsidRDefault="0042437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nionPro-Regular">
    <w:altName w:val="Calibri"/>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emens Sans">
    <w:panose1 w:val="00000000000000000000"/>
    <w:charset w:val="00"/>
    <w:family w:val="auto"/>
    <w:pitch w:val="variable"/>
    <w:sig w:usb0="A00002FF" w:usb1="0000207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36307C" w14:textId="77777777" w:rsidR="00D4790E" w:rsidRDefault="00D4790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09C282" w14:textId="77777777" w:rsidR="00424376" w:rsidRDefault="00424376">
    <w:pPr>
      <w:pStyle w:val="Fuzeile"/>
    </w:pPr>
    <w:r>
      <w:t>Restricted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E1A77D" w14:textId="77777777" w:rsidR="00D4790E" w:rsidRDefault="00D4790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206421" w14:textId="77777777" w:rsidR="00424376" w:rsidRDefault="00424376">
      <w:pPr>
        <w:spacing w:after="0" w:line="240" w:lineRule="auto"/>
      </w:pPr>
      <w:r>
        <w:separator/>
      </w:r>
    </w:p>
  </w:footnote>
  <w:footnote w:type="continuationSeparator" w:id="0">
    <w:p w14:paraId="2A186AE0" w14:textId="77777777" w:rsidR="00424376" w:rsidRDefault="00424376">
      <w:pPr>
        <w:spacing w:after="0" w:line="240" w:lineRule="auto"/>
      </w:pPr>
      <w:r>
        <w:continuationSeparator/>
      </w:r>
    </w:p>
  </w:footnote>
  <w:footnote w:type="continuationNotice" w:id="1">
    <w:p w14:paraId="0316E425" w14:textId="77777777" w:rsidR="00424376" w:rsidRDefault="00424376">
      <w:pPr>
        <w:spacing w:after="0" w:line="240" w:lineRule="auto"/>
      </w:pPr>
    </w:p>
  </w:footnote>
  <w:footnote w:id="2">
    <w:p w14:paraId="61B80B9C" w14:textId="54874EE7" w:rsidR="002B3C4D" w:rsidRPr="002B3C4D" w:rsidRDefault="002B3C4D">
      <w:pPr>
        <w:pStyle w:val="Funotentext"/>
      </w:pPr>
      <w:r>
        <w:rPr>
          <w:rStyle w:val="Funotenzeichen"/>
        </w:rPr>
        <w:footnoteRef/>
      </w:r>
      <w:r>
        <w:t xml:space="preserve"> </w:t>
      </w:r>
      <w:r w:rsidRPr="004D3C1D">
        <w:rPr>
          <w:sz w:val="20"/>
          <w:szCs w:val="24"/>
        </w:rPr>
        <w:t xml:space="preserve">Exceptions can be found under </w:t>
      </w:r>
      <w:hyperlink w:anchor="_1.5.1._Country_Specific" w:history="1">
        <w:r w:rsidR="005A6EC6" w:rsidRPr="005A6EC6">
          <w:rPr>
            <w:rStyle w:val="Hyperlink"/>
            <w:sz w:val="20"/>
            <w:szCs w:val="24"/>
          </w:rPr>
          <w:t>Chapter A.</w:t>
        </w:r>
        <w:r w:rsidRPr="004D3C1D">
          <w:rPr>
            <w:rStyle w:val="Hyperlink"/>
            <w:sz w:val="20"/>
            <w:szCs w:val="24"/>
          </w:rPr>
          <w:t>1.5.1. Country Specific Requirements</w:t>
        </w:r>
      </w:hyperlink>
    </w:p>
  </w:footnote>
  <w:footnote w:id="3">
    <w:p w14:paraId="2B46EE67" w14:textId="340823DF" w:rsidR="002B3C4D" w:rsidRPr="002B3C4D" w:rsidRDefault="002B3C4D">
      <w:pPr>
        <w:pStyle w:val="Funotentext"/>
      </w:pPr>
      <w:r>
        <w:rPr>
          <w:rStyle w:val="Funotenzeichen"/>
        </w:rPr>
        <w:footnoteRef/>
      </w:r>
      <w:r>
        <w:t xml:space="preserve"> </w:t>
      </w:r>
      <w:r w:rsidRPr="004D3C1D">
        <w:rPr>
          <w:rFonts w:cs="Arial"/>
          <w:sz w:val="20"/>
          <w:szCs w:val="20"/>
          <w:lang w:val="en-GB"/>
        </w:rPr>
        <w:t xml:space="preserve">Exceptions can be found under </w:t>
      </w:r>
      <w:hyperlink w:anchor="_1.5.1._Country_Specific" w:history="1">
        <w:r w:rsidR="005A6EC6" w:rsidRPr="005A6EC6">
          <w:rPr>
            <w:rStyle w:val="Hyperlink"/>
            <w:sz w:val="20"/>
            <w:szCs w:val="24"/>
          </w:rPr>
          <w:t>Chapter A.</w:t>
        </w:r>
        <w:r w:rsidR="005A6EC6" w:rsidRPr="00EA7DB7">
          <w:rPr>
            <w:rStyle w:val="Hyperlink"/>
            <w:sz w:val="20"/>
            <w:szCs w:val="24"/>
          </w:rPr>
          <w:t>1.5.1. Country Specific Requirements</w:t>
        </w:r>
      </w:hyperlink>
    </w:p>
  </w:footnote>
  <w:footnote w:id="4">
    <w:p w14:paraId="01D6CDBE" w14:textId="77777777" w:rsidR="00424376" w:rsidRDefault="00424376" w:rsidP="00666E67">
      <w:pPr>
        <w:pStyle w:val="Funotentext"/>
        <w:spacing w:after="0"/>
        <w:rPr>
          <w:rStyle w:val="Funotenzeichen"/>
          <w:sz w:val="20"/>
          <w:szCs w:val="20"/>
          <w:vertAlign w:val="baseline"/>
          <w:lang w:val="en-GB"/>
        </w:rPr>
      </w:pPr>
      <w:r>
        <w:rPr>
          <w:rStyle w:val="Funotenzeichen"/>
          <w:sz w:val="20"/>
          <w:szCs w:val="20"/>
        </w:rPr>
        <w:footnoteRef/>
      </w:r>
      <w:r>
        <w:rPr>
          <w:rStyle w:val="Funotenzeichen"/>
          <w:sz w:val="20"/>
          <w:szCs w:val="20"/>
        </w:rPr>
        <w:t xml:space="preserve"> </w:t>
      </w:r>
      <w:r>
        <w:rPr>
          <w:sz w:val="20"/>
          <w:szCs w:val="20"/>
        </w:rPr>
        <w:t>The following is, as a rule, considered an important business decision: The conclusion or termination of a frame contract; a settlement about material open claims; imposing material liquidated damages; the follow-up on material warranty costs; or the issuing of an acceptance certificate.</w:t>
      </w:r>
      <w:r>
        <w:rPr>
          <w:sz w:val="20"/>
          <w:szCs w:val="20"/>
        </w:rPr>
        <w:br/>
        <w:t>The following decisions are, as a rule, not as such considered an important business decision: Placing of purchase orders on the basis of an existing frame contract without further discounts or changes in the agreed terms; placing of regular orders based on standard terms and conditions; this may include discounts usual in the market; dealing with continuous business such as spare-part orders; or discussions during the pre-qualification phase of a tender, e.g. for clarification of technical issues without involvement of the final decision makers.</w:t>
      </w:r>
    </w:p>
  </w:footnote>
  <w:footnote w:id="5">
    <w:p w14:paraId="289FAC65" w14:textId="77777777" w:rsidR="00424376" w:rsidRDefault="00424376" w:rsidP="00666E67">
      <w:pPr>
        <w:pStyle w:val="Funotentext"/>
        <w:spacing w:after="0"/>
        <w:rPr>
          <w:sz w:val="20"/>
          <w:szCs w:val="20"/>
        </w:rPr>
      </w:pPr>
      <w:r>
        <w:rPr>
          <w:sz w:val="20"/>
          <w:szCs w:val="20"/>
          <w:vertAlign w:val="superscript"/>
        </w:rPr>
        <w:footnoteRef/>
      </w:r>
      <w:r>
        <w:rPr>
          <w:sz w:val="20"/>
          <w:szCs w:val="20"/>
        </w:rPr>
        <w:t xml:space="preserve"> Examples of persons with relevant decision power are: Chief representatives of the potential customer (e.g. CEO, CFO); members of a committee deciding about the award of a tender.</w:t>
      </w:r>
    </w:p>
  </w:footnote>
  <w:footnote w:id="6">
    <w:p w14:paraId="362B9749" w14:textId="3754E79F" w:rsidR="002B3C4D" w:rsidRPr="002B3C4D" w:rsidRDefault="002B3C4D">
      <w:pPr>
        <w:pStyle w:val="Funotentext"/>
      </w:pPr>
      <w:r>
        <w:rPr>
          <w:rStyle w:val="Funotenzeichen"/>
        </w:rPr>
        <w:footnoteRef/>
      </w:r>
      <w:r>
        <w:t xml:space="preserve"> </w:t>
      </w:r>
      <w:r w:rsidRPr="004D3C1D">
        <w:rPr>
          <w:sz w:val="20"/>
        </w:rPr>
        <w:t xml:space="preserve">Exceptions can be found under </w:t>
      </w:r>
      <w:hyperlink w:anchor="_1.5.1._Country_Specific" w:history="1">
        <w:r w:rsidR="005A6EC6" w:rsidRPr="005A6EC6">
          <w:rPr>
            <w:rStyle w:val="Hyperlink"/>
            <w:sz w:val="20"/>
            <w:szCs w:val="24"/>
          </w:rPr>
          <w:t>Chapter A.</w:t>
        </w:r>
        <w:r w:rsidR="005A6EC6" w:rsidRPr="00EA7DB7">
          <w:rPr>
            <w:rStyle w:val="Hyperlink"/>
            <w:sz w:val="20"/>
            <w:szCs w:val="24"/>
          </w:rPr>
          <w:t>1.5.1. Country Specific Requirements</w:t>
        </w:r>
      </w:hyperlink>
    </w:p>
  </w:footnote>
  <w:footnote w:id="7">
    <w:p w14:paraId="6C09C293" w14:textId="024C2AF0" w:rsidR="00424376" w:rsidRDefault="00424376" w:rsidP="00666E67">
      <w:pPr>
        <w:pStyle w:val="Textkrper"/>
        <w:spacing w:line="276" w:lineRule="auto"/>
        <w:ind w:left="0"/>
        <w:rPr>
          <w:rFonts w:ascii="Arial" w:hAnsi="Arial" w:cs="Arial"/>
          <w:lang w:eastAsia="de-DE"/>
        </w:rPr>
      </w:pPr>
      <w:r>
        <w:rPr>
          <w:rStyle w:val="Funotenzeichen"/>
          <w:rFonts w:ascii="Arial" w:hAnsi="Arial" w:cs="Arial"/>
        </w:rPr>
        <w:footnoteRef/>
      </w:r>
      <w:r>
        <w:rPr>
          <w:rFonts w:ascii="Arial" w:hAnsi="Arial" w:cs="Arial"/>
        </w:rPr>
        <w:t xml:space="preserve"> </w:t>
      </w:r>
      <w:r>
        <w:rPr>
          <w:rFonts w:ascii="Arial" w:hAnsi="Arial" w:cs="Arial"/>
          <w:lang w:eastAsia="de-DE"/>
        </w:rPr>
        <w:t xml:space="preserve">For definition of HCPs please refer to </w:t>
      </w:r>
      <w:hyperlink r:id="rId1" w:history="1">
        <w:r w:rsidRPr="009A3F5A">
          <w:rPr>
            <w:rStyle w:val="Hyperlink"/>
          </w:rPr>
          <w:t xml:space="preserve">Siemens </w:t>
        </w:r>
        <w:proofErr w:type="spellStart"/>
        <w:r w:rsidRPr="009A3F5A">
          <w:rPr>
            <w:rStyle w:val="Hyperlink"/>
          </w:rPr>
          <w:t>Healthineers</w:t>
        </w:r>
        <w:proofErr w:type="spellEnd"/>
        <w:r w:rsidRPr="009A3F5A">
          <w:rPr>
            <w:rStyle w:val="Hyperlink"/>
          </w:rPr>
          <w:t xml:space="preserve"> Compliance Web-Book: `Attachment 1: Disclosure Requirements USA` &gt; `Definitions and Abbreviations`</w:t>
        </w:r>
      </w:hyperlink>
    </w:p>
  </w:footnote>
  <w:footnote w:id="8">
    <w:p w14:paraId="6C09C294" w14:textId="07AAFC1E" w:rsidR="00424376" w:rsidRDefault="00424376" w:rsidP="00666E67">
      <w:pPr>
        <w:pStyle w:val="Textkrper"/>
        <w:spacing w:line="276" w:lineRule="auto"/>
        <w:ind w:left="0"/>
        <w:rPr>
          <w:rFonts w:ascii="Arial" w:hAnsi="Arial" w:cs="Arial"/>
          <w:lang w:eastAsia="de-DE"/>
        </w:rPr>
      </w:pPr>
      <w:r>
        <w:rPr>
          <w:rStyle w:val="Funotenzeichen"/>
          <w:rFonts w:ascii="Arial" w:hAnsi="Arial" w:cs="Arial"/>
        </w:rPr>
        <w:footnoteRef/>
      </w:r>
      <w:r>
        <w:rPr>
          <w:rFonts w:ascii="Arial" w:hAnsi="Arial" w:cs="Arial"/>
        </w:rPr>
        <w:t xml:space="preserve"> </w:t>
      </w:r>
      <w:r>
        <w:rPr>
          <w:rFonts w:ascii="Arial" w:hAnsi="Arial" w:cs="Arial"/>
          <w:lang w:eastAsia="de-DE"/>
        </w:rPr>
        <w:t xml:space="preserve">For definition of HCOs please refer to </w:t>
      </w:r>
      <w:hyperlink r:id="rId2" w:history="1">
        <w:r w:rsidRPr="009A3F5A">
          <w:rPr>
            <w:rStyle w:val="Hyperlink"/>
          </w:rPr>
          <w:t xml:space="preserve">Siemens </w:t>
        </w:r>
        <w:proofErr w:type="spellStart"/>
        <w:r w:rsidRPr="009A3F5A">
          <w:rPr>
            <w:rStyle w:val="Hyperlink"/>
          </w:rPr>
          <w:t>Healthineers</w:t>
        </w:r>
        <w:proofErr w:type="spellEnd"/>
        <w:r w:rsidRPr="009A3F5A">
          <w:rPr>
            <w:rStyle w:val="Hyperlink"/>
          </w:rPr>
          <w:t xml:space="preserve"> Compliance Web-Book: `Attachment 1: Disclosure Requirements USA` &gt; `Definitions and Abbreviations`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294436" w14:textId="77777777" w:rsidR="00D4790E" w:rsidRDefault="00D4790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Head"/>
      <w:tblW w:w="12569" w:type="dxa"/>
      <w:tblInd w:w="-1134" w:type="dxa"/>
      <w:tblCellMar>
        <w:top w:w="0" w:type="dxa"/>
        <w:bottom w:w="0" w:type="dxa"/>
      </w:tblCellMar>
      <w:tblLook w:val="04A0" w:firstRow="1" w:lastRow="0" w:firstColumn="1" w:lastColumn="0" w:noHBand="0" w:noVBand="1"/>
    </w:tblPr>
    <w:tblGrid>
      <w:gridCol w:w="1020"/>
      <w:gridCol w:w="624"/>
      <w:gridCol w:w="9752"/>
      <w:gridCol w:w="1173"/>
    </w:tblGrid>
    <w:tr w:rsidR="00424376" w14:paraId="6C09C27B" w14:textId="77777777" w:rsidTr="00221635">
      <w:trPr>
        <w:cnfStyle w:val="100000000000" w:firstRow="1" w:lastRow="0" w:firstColumn="0" w:lastColumn="0" w:oddVBand="0" w:evenVBand="0" w:oddHBand="0" w:evenHBand="0" w:firstRowFirstColumn="0" w:firstRowLastColumn="0" w:lastRowFirstColumn="0" w:lastRowLastColumn="0"/>
        <w:trHeight w:hRule="exact" w:val="567"/>
      </w:trPr>
      <w:tc>
        <w:tcPr>
          <w:tcW w:w="1020" w:type="dxa"/>
        </w:tcPr>
        <w:p w14:paraId="6C09C277" w14:textId="77777777" w:rsidR="00424376" w:rsidRDefault="00424376">
          <w:pPr>
            <w:pStyle w:val="Kopfzeile"/>
            <w:ind w:left="-426"/>
          </w:pPr>
          <w:r>
            <w:t>z</w:t>
          </w:r>
        </w:p>
      </w:tc>
      <w:tc>
        <w:tcPr>
          <w:tcW w:w="624" w:type="dxa"/>
        </w:tcPr>
        <w:p w14:paraId="6C09C278" w14:textId="77777777" w:rsidR="00424376" w:rsidRDefault="00424376">
          <w:pPr>
            <w:pStyle w:val="Kopfzeile"/>
            <w:ind w:left="-641"/>
          </w:pPr>
        </w:p>
      </w:tc>
      <w:tc>
        <w:tcPr>
          <w:tcW w:w="9752" w:type="dxa"/>
        </w:tcPr>
        <w:p w14:paraId="6C09C279" w14:textId="77777777" w:rsidR="00424376" w:rsidRDefault="00424376">
          <w:pPr>
            <w:pStyle w:val="Kopfzeile"/>
          </w:pPr>
        </w:p>
      </w:tc>
      <w:tc>
        <w:tcPr>
          <w:tcW w:w="1173" w:type="dxa"/>
        </w:tcPr>
        <w:p w14:paraId="6C09C27A" w14:textId="77777777" w:rsidR="00424376" w:rsidRDefault="00424376">
          <w:pPr>
            <w:pStyle w:val="Kopfzeile"/>
          </w:pPr>
        </w:p>
      </w:tc>
    </w:tr>
    <w:tr w:rsidR="00424376" w14:paraId="6C09C280" w14:textId="77777777" w:rsidTr="00221635">
      <w:trPr>
        <w:cantSplit/>
        <w:trHeight w:hRule="exact" w:val="575"/>
      </w:trPr>
      <w:tc>
        <w:tcPr>
          <w:tcW w:w="1020" w:type="dxa"/>
        </w:tcPr>
        <w:p w14:paraId="6C09C27C" w14:textId="77777777" w:rsidR="00424376" w:rsidRDefault="00424376">
          <w:pPr>
            <w:pStyle w:val="Fuzeile"/>
          </w:pPr>
        </w:p>
      </w:tc>
      <w:tc>
        <w:tcPr>
          <w:tcW w:w="624" w:type="dxa"/>
          <w:vAlign w:val="bottom"/>
        </w:tcPr>
        <w:p w14:paraId="6C09C27D" w14:textId="77777777" w:rsidR="00424376" w:rsidRDefault="00424376">
          <w:pPr>
            <w:pStyle w:val="Fuzeile"/>
            <w:jc w:val="center"/>
          </w:pPr>
          <w:r>
            <w:rPr>
              <w:noProof/>
              <w:lang w:val="de-DE" w:eastAsia="de-DE"/>
            </w:rPr>
            <w:drawing>
              <wp:inline distT="0" distB="0" distL="0" distR="0" wp14:anchorId="6C09C283" wp14:editId="6C09C284">
                <wp:extent cx="346710" cy="305061"/>
                <wp:effectExtent l="19050" t="0" r="0" b="0"/>
                <wp:docPr id="5" name="Bild 2" descr="C:\Users\TONSC00A\AppData\Local\Microsoft\Windows\Temporary Internet Files\Content.Word\Icon_Legal_Handbook_Schriftrol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NSC00A\AppData\Local\Microsoft\Windows\Temporary Internet Files\Content.Word\Icon_Legal_Handbook_Schriftrolle.png"/>
                        <pic:cNvPicPr>
                          <a:picLocks noChangeAspect="1" noChangeArrowheads="1"/>
                        </pic:cNvPicPr>
                      </pic:nvPicPr>
                      <pic:blipFill>
                        <a:blip r:embed="rId1"/>
                        <a:srcRect/>
                        <a:stretch>
                          <a:fillRect/>
                        </a:stretch>
                      </pic:blipFill>
                      <pic:spPr bwMode="auto">
                        <a:xfrm>
                          <a:off x="0" y="0"/>
                          <a:ext cx="347763" cy="305987"/>
                        </a:xfrm>
                        <a:prstGeom prst="rect">
                          <a:avLst/>
                        </a:prstGeom>
                        <a:noFill/>
                        <a:ln w="9525">
                          <a:noFill/>
                          <a:miter lim="800000"/>
                          <a:headEnd/>
                          <a:tailEnd/>
                        </a:ln>
                      </pic:spPr>
                    </pic:pic>
                  </a:graphicData>
                </a:graphic>
              </wp:inline>
            </w:drawing>
          </w:r>
        </w:p>
      </w:tc>
      <w:tc>
        <w:tcPr>
          <w:tcW w:w="9752" w:type="dxa"/>
        </w:tcPr>
        <w:p w14:paraId="6C09C27E" w14:textId="698252BC" w:rsidR="00424376" w:rsidRDefault="00424376" w:rsidP="00A66ACE">
          <w:pPr>
            <w:pStyle w:val="Header"/>
          </w:pPr>
          <w:r>
            <w:t>Compliance Handbook | Part 1 | A. Anti-Corruption | 1. Gifts and Hospitality</w:t>
          </w:r>
        </w:p>
      </w:tc>
      <w:tc>
        <w:tcPr>
          <w:tcW w:w="1173" w:type="dxa"/>
        </w:tcPr>
        <w:p w14:paraId="6C09C27F" w14:textId="77777777" w:rsidR="00424376" w:rsidRDefault="00424376">
          <w:pPr>
            <w:pStyle w:val="Header"/>
          </w:pPr>
        </w:p>
      </w:tc>
    </w:tr>
  </w:tbl>
  <w:p w14:paraId="6C09C281" w14:textId="77777777" w:rsidR="00424376" w:rsidRDefault="0042437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43EED" w14:textId="77777777" w:rsidR="00D4790E" w:rsidRDefault="00D4790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6155B"/>
    <w:multiLevelType w:val="hybridMultilevel"/>
    <w:tmpl w:val="060AFF3A"/>
    <w:lvl w:ilvl="0" w:tplc="6EF05930">
      <w:start w:val="1"/>
      <w:numFmt w:val="lowerLetter"/>
      <w:pStyle w:val="eManualAufzhlunga"/>
      <w:lvlText w:val="%1)"/>
      <w:lvlJc w:val="left"/>
      <w:pPr>
        <w:tabs>
          <w:tab w:val="num" w:pos="1004"/>
        </w:tabs>
        <w:ind w:left="1004" w:hanging="436"/>
      </w:pPr>
      <w:rPr>
        <w:rFonts w:hint="default"/>
      </w:rPr>
    </w:lvl>
    <w:lvl w:ilvl="1" w:tplc="04070003" w:tentative="1">
      <w:start w:val="1"/>
      <w:numFmt w:val="lowerLetter"/>
      <w:lvlText w:val="%2."/>
      <w:lvlJc w:val="left"/>
      <w:pPr>
        <w:tabs>
          <w:tab w:val="num" w:pos="1724"/>
        </w:tabs>
        <w:ind w:left="1724" w:hanging="360"/>
      </w:pPr>
    </w:lvl>
    <w:lvl w:ilvl="2" w:tplc="04070005" w:tentative="1">
      <w:start w:val="1"/>
      <w:numFmt w:val="lowerRoman"/>
      <w:lvlText w:val="%3."/>
      <w:lvlJc w:val="right"/>
      <w:pPr>
        <w:tabs>
          <w:tab w:val="num" w:pos="2444"/>
        </w:tabs>
        <w:ind w:left="2444" w:hanging="180"/>
      </w:pPr>
    </w:lvl>
    <w:lvl w:ilvl="3" w:tplc="04070001" w:tentative="1">
      <w:start w:val="1"/>
      <w:numFmt w:val="decimal"/>
      <w:lvlText w:val="%4."/>
      <w:lvlJc w:val="left"/>
      <w:pPr>
        <w:tabs>
          <w:tab w:val="num" w:pos="3164"/>
        </w:tabs>
        <w:ind w:left="3164" w:hanging="360"/>
      </w:pPr>
    </w:lvl>
    <w:lvl w:ilvl="4" w:tplc="04070003" w:tentative="1">
      <w:start w:val="1"/>
      <w:numFmt w:val="lowerLetter"/>
      <w:lvlText w:val="%5."/>
      <w:lvlJc w:val="left"/>
      <w:pPr>
        <w:tabs>
          <w:tab w:val="num" w:pos="3884"/>
        </w:tabs>
        <w:ind w:left="3884" w:hanging="360"/>
      </w:pPr>
    </w:lvl>
    <w:lvl w:ilvl="5" w:tplc="04070005" w:tentative="1">
      <w:start w:val="1"/>
      <w:numFmt w:val="lowerRoman"/>
      <w:lvlText w:val="%6."/>
      <w:lvlJc w:val="right"/>
      <w:pPr>
        <w:tabs>
          <w:tab w:val="num" w:pos="4604"/>
        </w:tabs>
        <w:ind w:left="4604" w:hanging="180"/>
      </w:pPr>
    </w:lvl>
    <w:lvl w:ilvl="6" w:tplc="04070001" w:tentative="1">
      <w:start w:val="1"/>
      <w:numFmt w:val="decimal"/>
      <w:lvlText w:val="%7."/>
      <w:lvlJc w:val="left"/>
      <w:pPr>
        <w:tabs>
          <w:tab w:val="num" w:pos="5324"/>
        </w:tabs>
        <w:ind w:left="5324" w:hanging="360"/>
      </w:pPr>
    </w:lvl>
    <w:lvl w:ilvl="7" w:tplc="04070003" w:tentative="1">
      <w:start w:val="1"/>
      <w:numFmt w:val="lowerLetter"/>
      <w:lvlText w:val="%8."/>
      <w:lvlJc w:val="left"/>
      <w:pPr>
        <w:tabs>
          <w:tab w:val="num" w:pos="6044"/>
        </w:tabs>
        <w:ind w:left="6044" w:hanging="360"/>
      </w:pPr>
    </w:lvl>
    <w:lvl w:ilvl="8" w:tplc="04070005" w:tentative="1">
      <w:start w:val="1"/>
      <w:numFmt w:val="lowerRoman"/>
      <w:lvlText w:val="%9."/>
      <w:lvlJc w:val="right"/>
      <w:pPr>
        <w:tabs>
          <w:tab w:val="num" w:pos="6764"/>
        </w:tabs>
        <w:ind w:left="6764" w:hanging="180"/>
      </w:pPr>
    </w:lvl>
  </w:abstractNum>
  <w:abstractNum w:abstractNumId="1" w15:restartNumberingAfterBreak="0">
    <w:nsid w:val="11F04B90"/>
    <w:multiLevelType w:val="multilevel"/>
    <w:tmpl w:val="D5C8EBA6"/>
    <w:lvl w:ilvl="0">
      <w:start w:val="1"/>
      <w:numFmt w:val="decimal"/>
      <w:pStyle w:val="Numbers"/>
      <w:lvlText w:val="%1."/>
      <w:lvlJc w:val="left"/>
      <w:pPr>
        <w:ind w:left="720" w:hanging="360"/>
      </w:pPr>
    </w:lvl>
    <w:lvl w:ilvl="1">
      <w:start w:val="4"/>
      <w:numFmt w:val="decimal"/>
      <w:isLgl/>
      <w:lvlText w:val="%1.%2"/>
      <w:lvlJc w:val="left"/>
      <w:pPr>
        <w:ind w:left="1350" w:hanging="990"/>
      </w:pPr>
      <w:rPr>
        <w:rFonts w:hint="default"/>
      </w:rPr>
    </w:lvl>
    <w:lvl w:ilvl="2">
      <w:start w:val="1"/>
      <w:numFmt w:val="decimal"/>
      <w:isLgl/>
      <w:lvlText w:val="%1.%2.%3"/>
      <w:lvlJc w:val="left"/>
      <w:pPr>
        <w:ind w:left="1350" w:hanging="990"/>
      </w:pPr>
      <w:rPr>
        <w:rFonts w:hint="default"/>
      </w:rPr>
    </w:lvl>
    <w:lvl w:ilvl="3">
      <w:start w:val="2"/>
      <w:numFmt w:val="decimal"/>
      <w:isLgl/>
      <w:lvlText w:val="%1.%2.%3.%4"/>
      <w:lvlJc w:val="left"/>
      <w:pPr>
        <w:ind w:left="1350" w:hanging="990"/>
      </w:pPr>
      <w:rPr>
        <w:rFonts w:hint="default"/>
      </w:rPr>
    </w:lvl>
    <w:lvl w:ilvl="4">
      <w:start w:val="2"/>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779425F"/>
    <w:multiLevelType w:val="multilevel"/>
    <w:tmpl w:val="E97E254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7857F67"/>
    <w:multiLevelType w:val="hybridMultilevel"/>
    <w:tmpl w:val="4734012C"/>
    <w:lvl w:ilvl="0" w:tplc="9B8CD03E">
      <w:start w:val="1"/>
      <w:numFmt w:val="bullet"/>
      <w:pStyle w:val="CopyBulletpoints"/>
      <w:lvlText w:val=""/>
      <w:lvlJc w:val="left"/>
      <w:pPr>
        <w:ind w:left="360" w:hanging="360"/>
      </w:pPr>
      <w:rPr>
        <w:rFonts w:ascii="Symbol" w:hAnsi="Symbol" w:hint="default"/>
        <w:color w:val="BECDD7" w:themeColor="background2"/>
      </w:rPr>
    </w:lvl>
    <w:lvl w:ilvl="1" w:tplc="931403F6">
      <w:start w:val="1"/>
      <w:numFmt w:val="bullet"/>
      <w:lvlText w:val="o"/>
      <w:lvlJc w:val="left"/>
      <w:pPr>
        <w:ind w:left="1440" w:hanging="360"/>
      </w:pPr>
      <w:rPr>
        <w:rFonts w:ascii="Courier New" w:hAnsi="Courier New" w:cs="Courier New" w:hint="default"/>
      </w:rPr>
    </w:lvl>
    <w:lvl w:ilvl="2" w:tplc="3CB40F0A" w:tentative="1">
      <w:start w:val="1"/>
      <w:numFmt w:val="bullet"/>
      <w:lvlText w:val=""/>
      <w:lvlJc w:val="left"/>
      <w:pPr>
        <w:ind w:left="2160" w:hanging="360"/>
      </w:pPr>
      <w:rPr>
        <w:rFonts w:ascii="Wingdings" w:hAnsi="Wingdings" w:hint="default"/>
      </w:rPr>
    </w:lvl>
    <w:lvl w:ilvl="3" w:tplc="2E7EFE6C" w:tentative="1">
      <w:start w:val="1"/>
      <w:numFmt w:val="bullet"/>
      <w:lvlText w:val=""/>
      <w:lvlJc w:val="left"/>
      <w:pPr>
        <w:ind w:left="2880" w:hanging="360"/>
      </w:pPr>
      <w:rPr>
        <w:rFonts w:ascii="Symbol" w:hAnsi="Symbol" w:hint="default"/>
      </w:rPr>
    </w:lvl>
    <w:lvl w:ilvl="4" w:tplc="0854DFA6" w:tentative="1">
      <w:start w:val="1"/>
      <w:numFmt w:val="bullet"/>
      <w:lvlText w:val="o"/>
      <w:lvlJc w:val="left"/>
      <w:pPr>
        <w:ind w:left="3600" w:hanging="360"/>
      </w:pPr>
      <w:rPr>
        <w:rFonts w:ascii="Courier New" w:hAnsi="Courier New" w:cs="Courier New" w:hint="default"/>
      </w:rPr>
    </w:lvl>
    <w:lvl w:ilvl="5" w:tplc="95E61DAE" w:tentative="1">
      <w:start w:val="1"/>
      <w:numFmt w:val="bullet"/>
      <w:lvlText w:val=""/>
      <w:lvlJc w:val="left"/>
      <w:pPr>
        <w:ind w:left="4320" w:hanging="360"/>
      </w:pPr>
      <w:rPr>
        <w:rFonts w:ascii="Wingdings" w:hAnsi="Wingdings" w:hint="default"/>
      </w:rPr>
    </w:lvl>
    <w:lvl w:ilvl="6" w:tplc="09F67890" w:tentative="1">
      <w:start w:val="1"/>
      <w:numFmt w:val="bullet"/>
      <w:lvlText w:val=""/>
      <w:lvlJc w:val="left"/>
      <w:pPr>
        <w:ind w:left="5040" w:hanging="360"/>
      </w:pPr>
      <w:rPr>
        <w:rFonts w:ascii="Symbol" w:hAnsi="Symbol" w:hint="default"/>
      </w:rPr>
    </w:lvl>
    <w:lvl w:ilvl="7" w:tplc="9C0ABC14" w:tentative="1">
      <w:start w:val="1"/>
      <w:numFmt w:val="bullet"/>
      <w:lvlText w:val="o"/>
      <w:lvlJc w:val="left"/>
      <w:pPr>
        <w:ind w:left="5760" w:hanging="360"/>
      </w:pPr>
      <w:rPr>
        <w:rFonts w:ascii="Courier New" w:hAnsi="Courier New" w:cs="Courier New" w:hint="default"/>
      </w:rPr>
    </w:lvl>
    <w:lvl w:ilvl="8" w:tplc="F5822C54" w:tentative="1">
      <w:start w:val="1"/>
      <w:numFmt w:val="bullet"/>
      <w:lvlText w:val=""/>
      <w:lvlJc w:val="left"/>
      <w:pPr>
        <w:ind w:left="6480" w:hanging="360"/>
      </w:pPr>
      <w:rPr>
        <w:rFonts w:ascii="Wingdings" w:hAnsi="Wingdings" w:hint="default"/>
      </w:rPr>
    </w:lvl>
  </w:abstractNum>
  <w:abstractNum w:abstractNumId="4" w15:restartNumberingAfterBreak="0">
    <w:nsid w:val="186A5241"/>
    <w:multiLevelType w:val="hybridMultilevel"/>
    <w:tmpl w:val="9FA27CEC"/>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7FF16B5"/>
    <w:multiLevelType w:val="hybridMultilevel"/>
    <w:tmpl w:val="118EDDB6"/>
    <w:lvl w:ilvl="0" w:tplc="6D20FA4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C2E2DB8"/>
    <w:multiLevelType w:val="multilevel"/>
    <w:tmpl w:val="32E04D1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AE806C1"/>
    <w:multiLevelType w:val="hybridMultilevel"/>
    <w:tmpl w:val="A78C1F44"/>
    <w:lvl w:ilvl="0" w:tplc="04090003">
      <w:start w:val="1"/>
      <w:numFmt w:val="bullet"/>
      <w:lvlText w:val="o"/>
      <w:lvlJc w:val="left"/>
      <w:pPr>
        <w:ind w:left="360" w:hanging="360"/>
      </w:pPr>
      <w:rPr>
        <w:rFonts w:ascii="Courier New" w:hAnsi="Courier New" w:cs="Courier New" w:hint="default"/>
      </w:rPr>
    </w:lvl>
    <w:lvl w:ilvl="1" w:tplc="04070019">
      <w:start w:val="1"/>
      <w:numFmt w:val="bullet"/>
      <w:lvlText w:val="o"/>
      <w:lvlJc w:val="left"/>
      <w:pPr>
        <w:ind w:left="1080" w:hanging="360"/>
      </w:pPr>
      <w:rPr>
        <w:rFonts w:ascii="Courier New" w:hAnsi="Courier New" w:cs="Courier New" w:hint="default"/>
      </w:rPr>
    </w:lvl>
    <w:lvl w:ilvl="2" w:tplc="0407001B" w:tentative="1">
      <w:start w:val="1"/>
      <w:numFmt w:val="bullet"/>
      <w:lvlText w:val=""/>
      <w:lvlJc w:val="left"/>
      <w:pPr>
        <w:ind w:left="1800" w:hanging="360"/>
      </w:pPr>
      <w:rPr>
        <w:rFonts w:ascii="Wingdings" w:hAnsi="Wingdings" w:hint="default"/>
      </w:rPr>
    </w:lvl>
    <w:lvl w:ilvl="3" w:tplc="0407000F" w:tentative="1">
      <w:start w:val="1"/>
      <w:numFmt w:val="bullet"/>
      <w:lvlText w:val=""/>
      <w:lvlJc w:val="left"/>
      <w:pPr>
        <w:ind w:left="2520" w:hanging="360"/>
      </w:pPr>
      <w:rPr>
        <w:rFonts w:ascii="Symbol" w:hAnsi="Symbol" w:hint="default"/>
      </w:rPr>
    </w:lvl>
    <w:lvl w:ilvl="4" w:tplc="04070019" w:tentative="1">
      <w:start w:val="1"/>
      <w:numFmt w:val="bullet"/>
      <w:lvlText w:val="o"/>
      <w:lvlJc w:val="left"/>
      <w:pPr>
        <w:ind w:left="3240" w:hanging="360"/>
      </w:pPr>
      <w:rPr>
        <w:rFonts w:ascii="Courier New" w:hAnsi="Courier New" w:cs="Courier New" w:hint="default"/>
      </w:rPr>
    </w:lvl>
    <w:lvl w:ilvl="5" w:tplc="0407001B" w:tentative="1">
      <w:start w:val="1"/>
      <w:numFmt w:val="bullet"/>
      <w:lvlText w:val=""/>
      <w:lvlJc w:val="left"/>
      <w:pPr>
        <w:ind w:left="3960" w:hanging="360"/>
      </w:pPr>
      <w:rPr>
        <w:rFonts w:ascii="Wingdings" w:hAnsi="Wingdings" w:hint="default"/>
      </w:rPr>
    </w:lvl>
    <w:lvl w:ilvl="6" w:tplc="0407000F" w:tentative="1">
      <w:start w:val="1"/>
      <w:numFmt w:val="bullet"/>
      <w:lvlText w:val=""/>
      <w:lvlJc w:val="left"/>
      <w:pPr>
        <w:ind w:left="4680" w:hanging="360"/>
      </w:pPr>
      <w:rPr>
        <w:rFonts w:ascii="Symbol" w:hAnsi="Symbol" w:hint="default"/>
      </w:rPr>
    </w:lvl>
    <w:lvl w:ilvl="7" w:tplc="04070019" w:tentative="1">
      <w:start w:val="1"/>
      <w:numFmt w:val="bullet"/>
      <w:lvlText w:val="o"/>
      <w:lvlJc w:val="left"/>
      <w:pPr>
        <w:ind w:left="5400" w:hanging="360"/>
      </w:pPr>
      <w:rPr>
        <w:rFonts w:ascii="Courier New" w:hAnsi="Courier New" w:cs="Courier New" w:hint="default"/>
      </w:rPr>
    </w:lvl>
    <w:lvl w:ilvl="8" w:tplc="0407001B" w:tentative="1">
      <w:start w:val="1"/>
      <w:numFmt w:val="bullet"/>
      <w:lvlText w:val=""/>
      <w:lvlJc w:val="left"/>
      <w:pPr>
        <w:ind w:left="6120" w:hanging="360"/>
      </w:pPr>
      <w:rPr>
        <w:rFonts w:ascii="Wingdings" w:hAnsi="Wingdings" w:hint="default"/>
      </w:rPr>
    </w:lvl>
  </w:abstractNum>
  <w:abstractNum w:abstractNumId="8" w15:restartNumberingAfterBreak="0">
    <w:nsid w:val="3CA001CF"/>
    <w:multiLevelType w:val="hybridMultilevel"/>
    <w:tmpl w:val="3E14EF9A"/>
    <w:lvl w:ilvl="0" w:tplc="A406EF52">
      <w:start w:val="1"/>
      <w:numFmt w:val="upperLetter"/>
      <w:pStyle w:val="berschrift1"/>
      <w:lvlText w:val="%1."/>
      <w:lvlJc w:val="left"/>
      <w:pPr>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BDAE6A88" w:tentative="1">
      <w:start w:val="1"/>
      <w:numFmt w:val="lowerLetter"/>
      <w:lvlText w:val="%2."/>
      <w:lvlJc w:val="left"/>
      <w:pPr>
        <w:ind w:left="1440" w:hanging="360"/>
      </w:pPr>
    </w:lvl>
    <w:lvl w:ilvl="2" w:tplc="83AAA582" w:tentative="1">
      <w:start w:val="1"/>
      <w:numFmt w:val="lowerRoman"/>
      <w:lvlText w:val="%3."/>
      <w:lvlJc w:val="right"/>
      <w:pPr>
        <w:ind w:left="2160" w:hanging="180"/>
      </w:pPr>
    </w:lvl>
    <w:lvl w:ilvl="3" w:tplc="0E726AE8" w:tentative="1">
      <w:start w:val="1"/>
      <w:numFmt w:val="decimal"/>
      <w:lvlText w:val="%4."/>
      <w:lvlJc w:val="left"/>
      <w:pPr>
        <w:ind w:left="2880" w:hanging="360"/>
      </w:pPr>
    </w:lvl>
    <w:lvl w:ilvl="4" w:tplc="BDC4BAA0" w:tentative="1">
      <w:start w:val="1"/>
      <w:numFmt w:val="lowerLetter"/>
      <w:lvlText w:val="%5."/>
      <w:lvlJc w:val="left"/>
      <w:pPr>
        <w:ind w:left="3600" w:hanging="360"/>
      </w:pPr>
    </w:lvl>
    <w:lvl w:ilvl="5" w:tplc="1F28A842" w:tentative="1">
      <w:start w:val="1"/>
      <w:numFmt w:val="lowerRoman"/>
      <w:lvlText w:val="%6."/>
      <w:lvlJc w:val="right"/>
      <w:pPr>
        <w:ind w:left="4320" w:hanging="180"/>
      </w:pPr>
    </w:lvl>
    <w:lvl w:ilvl="6" w:tplc="5FCEF82A" w:tentative="1">
      <w:start w:val="1"/>
      <w:numFmt w:val="decimal"/>
      <w:lvlText w:val="%7."/>
      <w:lvlJc w:val="left"/>
      <w:pPr>
        <w:ind w:left="5040" w:hanging="360"/>
      </w:pPr>
    </w:lvl>
    <w:lvl w:ilvl="7" w:tplc="EE720D6C" w:tentative="1">
      <w:start w:val="1"/>
      <w:numFmt w:val="lowerLetter"/>
      <w:lvlText w:val="%8."/>
      <w:lvlJc w:val="left"/>
      <w:pPr>
        <w:ind w:left="5760" w:hanging="360"/>
      </w:pPr>
    </w:lvl>
    <w:lvl w:ilvl="8" w:tplc="4BA447DA" w:tentative="1">
      <w:start w:val="1"/>
      <w:numFmt w:val="lowerRoman"/>
      <w:lvlText w:val="%9."/>
      <w:lvlJc w:val="right"/>
      <w:pPr>
        <w:ind w:left="6480" w:hanging="180"/>
      </w:pPr>
    </w:lvl>
  </w:abstractNum>
  <w:abstractNum w:abstractNumId="9" w15:restartNumberingAfterBreak="0">
    <w:nsid w:val="4890058E"/>
    <w:multiLevelType w:val="multilevel"/>
    <w:tmpl w:val="B3B00628"/>
    <w:styleLink w:val="Formatvorlage1"/>
    <w:lvl w:ilvl="0">
      <w:start w:val="1"/>
      <w:numFmt w:val="decimal"/>
      <w:lvlText w:val="%1."/>
      <w:lvlJc w:val="left"/>
      <w:pPr>
        <w:ind w:left="360" w:hanging="360"/>
      </w:pPr>
    </w:lvl>
    <w:lvl w:ilvl="1">
      <w:start w:val="3"/>
      <w:numFmt w:val="decimal"/>
      <w:lvlText w:val="%2.1"/>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9633036"/>
    <w:multiLevelType w:val="hybridMultilevel"/>
    <w:tmpl w:val="1376E360"/>
    <w:lvl w:ilvl="0" w:tplc="8BEC511C">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0E25D42"/>
    <w:multiLevelType w:val="hybridMultilevel"/>
    <w:tmpl w:val="4124815E"/>
    <w:lvl w:ilvl="0" w:tplc="0FC0B704">
      <w:start w:val="1"/>
      <w:numFmt w:val="bullet"/>
      <w:pStyle w:val="DoDontBulletpoints"/>
      <w:lvlText w:val="▌"/>
      <w:lvlJc w:val="left"/>
      <w:pPr>
        <w:ind w:left="360" w:hanging="360"/>
      </w:pPr>
      <w:rPr>
        <w:rFonts w:ascii="Arial" w:hAnsi="Arial" w:hint="default"/>
      </w:rPr>
    </w:lvl>
    <w:lvl w:ilvl="1" w:tplc="04070019">
      <w:start w:val="1"/>
      <w:numFmt w:val="bullet"/>
      <w:lvlText w:val="o"/>
      <w:lvlJc w:val="left"/>
      <w:pPr>
        <w:ind w:left="1080" w:hanging="360"/>
      </w:pPr>
      <w:rPr>
        <w:rFonts w:ascii="Courier New" w:hAnsi="Courier New" w:cs="Courier New" w:hint="default"/>
      </w:rPr>
    </w:lvl>
    <w:lvl w:ilvl="2" w:tplc="0407001B" w:tentative="1">
      <w:start w:val="1"/>
      <w:numFmt w:val="bullet"/>
      <w:lvlText w:val=""/>
      <w:lvlJc w:val="left"/>
      <w:pPr>
        <w:ind w:left="1800" w:hanging="360"/>
      </w:pPr>
      <w:rPr>
        <w:rFonts w:ascii="Wingdings" w:hAnsi="Wingdings" w:hint="default"/>
      </w:rPr>
    </w:lvl>
    <w:lvl w:ilvl="3" w:tplc="0407000F" w:tentative="1">
      <w:start w:val="1"/>
      <w:numFmt w:val="bullet"/>
      <w:lvlText w:val=""/>
      <w:lvlJc w:val="left"/>
      <w:pPr>
        <w:ind w:left="2520" w:hanging="360"/>
      </w:pPr>
      <w:rPr>
        <w:rFonts w:ascii="Symbol" w:hAnsi="Symbol" w:hint="default"/>
      </w:rPr>
    </w:lvl>
    <w:lvl w:ilvl="4" w:tplc="04070019" w:tentative="1">
      <w:start w:val="1"/>
      <w:numFmt w:val="bullet"/>
      <w:lvlText w:val="o"/>
      <w:lvlJc w:val="left"/>
      <w:pPr>
        <w:ind w:left="3240" w:hanging="360"/>
      </w:pPr>
      <w:rPr>
        <w:rFonts w:ascii="Courier New" w:hAnsi="Courier New" w:cs="Courier New" w:hint="default"/>
      </w:rPr>
    </w:lvl>
    <w:lvl w:ilvl="5" w:tplc="0407001B" w:tentative="1">
      <w:start w:val="1"/>
      <w:numFmt w:val="bullet"/>
      <w:lvlText w:val=""/>
      <w:lvlJc w:val="left"/>
      <w:pPr>
        <w:ind w:left="3960" w:hanging="360"/>
      </w:pPr>
      <w:rPr>
        <w:rFonts w:ascii="Wingdings" w:hAnsi="Wingdings" w:hint="default"/>
      </w:rPr>
    </w:lvl>
    <w:lvl w:ilvl="6" w:tplc="0407000F" w:tentative="1">
      <w:start w:val="1"/>
      <w:numFmt w:val="bullet"/>
      <w:lvlText w:val=""/>
      <w:lvlJc w:val="left"/>
      <w:pPr>
        <w:ind w:left="4680" w:hanging="360"/>
      </w:pPr>
      <w:rPr>
        <w:rFonts w:ascii="Symbol" w:hAnsi="Symbol" w:hint="default"/>
      </w:rPr>
    </w:lvl>
    <w:lvl w:ilvl="7" w:tplc="04070019" w:tentative="1">
      <w:start w:val="1"/>
      <w:numFmt w:val="bullet"/>
      <w:lvlText w:val="o"/>
      <w:lvlJc w:val="left"/>
      <w:pPr>
        <w:ind w:left="5400" w:hanging="360"/>
      </w:pPr>
      <w:rPr>
        <w:rFonts w:ascii="Courier New" w:hAnsi="Courier New" w:cs="Courier New" w:hint="default"/>
      </w:rPr>
    </w:lvl>
    <w:lvl w:ilvl="8" w:tplc="0407001B" w:tentative="1">
      <w:start w:val="1"/>
      <w:numFmt w:val="bullet"/>
      <w:lvlText w:val=""/>
      <w:lvlJc w:val="left"/>
      <w:pPr>
        <w:ind w:left="6120" w:hanging="360"/>
      </w:pPr>
      <w:rPr>
        <w:rFonts w:ascii="Wingdings" w:hAnsi="Wingdings" w:hint="default"/>
      </w:rPr>
    </w:lvl>
  </w:abstractNum>
  <w:abstractNum w:abstractNumId="12" w15:restartNumberingAfterBreak="0">
    <w:nsid w:val="7F4B39B0"/>
    <w:multiLevelType w:val="hybridMultilevel"/>
    <w:tmpl w:val="5A666B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1"/>
  </w:num>
  <w:num w:numId="4">
    <w:abstractNumId w:val="8"/>
  </w:num>
  <w:num w:numId="5">
    <w:abstractNumId w:val="9"/>
  </w:num>
  <w:num w:numId="6">
    <w:abstractNumId w:val="0"/>
  </w:num>
  <w:num w:numId="7">
    <w:abstractNumId w:val="7"/>
  </w:num>
  <w:num w:numId="8">
    <w:abstractNumId w:val="4"/>
  </w:num>
  <w:num w:numId="9">
    <w:abstractNumId w:val="6"/>
  </w:num>
  <w:num w:numId="10">
    <w:abstractNumId w:val="12"/>
  </w:num>
  <w:num w:numId="11">
    <w:abstractNumId w:val="2"/>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trackRevisions/>
  <w:defaultTabStop w:val="720"/>
  <w:hyphenationZone w:val="425"/>
  <w:characterSpacingControl w:val="doNotCompress"/>
  <w:hdrShapeDefaults>
    <o:shapedefaults v:ext="edit" spidmax="22732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1635"/>
    <w:rsid w:val="000079E4"/>
    <w:rsid w:val="00010701"/>
    <w:rsid w:val="00020168"/>
    <w:rsid w:val="00020D4A"/>
    <w:rsid w:val="00027FA3"/>
    <w:rsid w:val="00042CD9"/>
    <w:rsid w:val="00046925"/>
    <w:rsid w:val="000500C3"/>
    <w:rsid w:val="000558B1"/>
    <w:rsid w:val="00061F09"/>
    <w:rsid w:val="00076FC8"/>
    <w:rsid w:val="000807AE"/>
    <w:rsid w:val="00092059"/>
    <w:rsid w:val="00092D45"/>
    <w:rsid w:val="000A2549"/>
    <w:rsid w:val="000B0397"/>
    <w:rsid w:val="000B32C8"/>
    <w:rsid w:val="000B4017"/>
    <w:rsid w:val="000B750E"/>
    <w:rsid w:val="000C053A"/>
    <w:rsid w:val="000C06E5"/>
    <w:rsid w:val="000D70BC"/>
    <w:rsid w:val="000E18BF"/>
    <w:rsid w:val="000E275D"/>
    <w:rsid w:val="000F5EC0"/>
    <w:rsid w:val="001033CF"/>
    <w:rsid w:val="00110956"/>
    <w:rsid w:val="00124B3C"/>
    <w:rsid w:val="00125ACF"/>
    <w:rsid w:val="0013127B"/>
    <w:rsid w:val="00137F80"/>
    <w:rsid w:val="0014258A"/>
    <w:rsid w:val="00142BB3"/>
    <w:rsid w:val="00153B4C"/>
    <w:rsid w:val="00153BD2"/>
    <w:rsid w:val="0015494A"/>
    <w:rsid w:val="00166885"/>
    <w:rsid w:val="0017637C"/>
    <w:rsid w:val="0017759A"/>
    <w:rsid w:val="00180DC3"/>
    <w:rsid w:val="00181419"/>
    <w:rsid w:val="001A0A33"/>
    <w:rsid w:val="001A1B77"/>
    <w:rsid w:val="001A64CD"/>
    <w:rsid w:val="001C2C62"/>
    <w:rsid w:val="001D25E7"/>
    <w:rsid w:val="001D5B15"/>
    <w:rsid w:val="001E28C8"/>
    <w:rsid w:val="001E70A6"/>
    <w:rsid w:val="001F4F67"/>
    <w:rsid w:val="00204027"/>
    <w:rsid w:val="002053A1"/>
    <w:rsid w:val="00212618"/>
    <w:rsid w:val="00213B80"/>
    <w:rsid w:val="00217224"/>
    <w:rsid w:val="00221635"/>
    <w:rsid w:val="0023058C"/>
    <w:rsid w:val="00235187"/>
    <w:rsid w:val="00236FF0"/>
    <w:rsid w:val="00247CA1"/>
    <w:rsid w:val="00261BB6"/>
    <w:rsid w:val="00261FEE"/>
    <w:rsid w:val="0026250C"/>
    <w:rsid w:val="002679A8"/>
    <w:rsid w:val="00270FED"/>
    <w:rsid w:val="00274B15"/>
    <w:rsid w:val="00276495"/>
    <w:rsid w:val="00280903"/>
    <w:rsid w:val="002A6A19"/>
    <w:rsid w:val="002A729A"/>
    <w:rsid w:val="002A7417"/>
    <w:rsid w:val="002B3C4D"/>
    <w:rsid w:val="002B6EA8"/>
    <w:rsid w:val="002C20A9"/>
    <w:rsid w:val="002C3115"/>
    <w:rsid w:val="002C397B"/>
    <w:rsid w:val="002C5A35"/>
    <w:rsid w:val="002D197F"/>
    <w:rsid w:val="002D1DD5"/>
    <w:rsid w:val="002D547F"/>
    <w:rsid w:val="002F530A"/>
    <w:rsid w:val="003200BB"/>
    <w:rsid w:val="00322747"/>
    <w:rsid w:val="0032638C"/>
    <w:rsid w:val="003519F3"/>
    <w:rsid w:val="0036105A"/>
    <w:rsid w:val="00371367"/>
    <w:rsid w:val="00377325"/>
    <w:rsid w:val="00383778"/>
    <w:rsid w:val="003B006E"/>
    <w:rsid w:val="003B164C"/>
    <w:rsid w:val="003B39C6"/>
    <w:rsid w:val="003B7955"/>
    <w:rsid w:val="003C0A0F"/>
    <w:rsid w:val="003C0F07"/>
    <w:rsid w:val="003C5CED"/>
    <w:rsid w:val="003C6CC2"/>
    <w:rsid w:val="003F3198"/>
    <w:rsid w:val="004052CB"/>
    <w:rsid w:val="0041348F"/>
    <w:rsid w:val="00417FDA"/>
    <w:rsid w:val="00424376"/>
    <w:rsid w:val="00425561"/>
    <w:rsid w:val="00456D08"/>
    <w:rsid w:val="00467A35"/>
    <w:rsid w:val="00473B58"/>
    <w:rsid w:val="0048317C"/>
    <w:rsid w:val="00493B16"/>
    <w:rsid w:val="00495FD6"/>
    <w:rsid w:val="00497C01"/>
    <w:rsid w:val="004A069B"/>
    <w:rsid w:val="004C617E"/>
    <w:rsid w:val="004C7E6A"/>
    <w:rsid w:val="004D07D5"/>
    <w:rsid w:val="004D3C1D"/>
    <w:rsid w:val="004D435D"/>
    <w:rsid w:val="004E63FC"/>
    <w:rsid w:val="004E6EDE"/>
    <w:rsid w:val="00505072"/>
    <w:rsid w:val="005151B1"/>
    <w:rsid w:val="005162EF"/>
    <w:rsid w:val="00521173"/>
    <w:rsid w:val="005231C4"/>
    <w:rsid w:val="00555533"/>
    <w:rsid w:val="0056725D"/>
    <w:rsid w:val="00567760"/>
    <w:rsid w:val="00567FBD"/>
    <w:rsid w:val="00587024"/>
    <w:rsid w:val="00595BE5"/>
    <w:rsid w:val="005963E2"/>
    <w:rsid w:val="005A6EC6"/>
    <w:rsid w:val="005B305C"/>
    <w:rsid w:val="005C06C8"/>
    <w:rsid w:val="005C352F"/>
    <w:rsid w:val="005D10C1"/>
    <w:rsid w:val="005D7AD5"/>
    <w:rsid w:val="005E4C44"/>
    <w:rsid w:val="005E4C9C"/>
    <w:rsid w:val="005E6A26"/>
    <w:rsid w:val="00612289"/>
    <w:rsid w:val="00614E62"/>
    <w:rsid w:val="00622EC0"/>
    <w:rsid w:val="00625512"/>
    <w:rsid w:val="006257BE"/>
    <w:rsid w:val="006400F6"/>
    <w:rsid w:val="006404B1"/>
    <w:rsid w:val="00652AE6"/>
    <w:rsid w:val="006539CB"/>
    <w:rsid w:val="00654734"/>
    <w:rsid w:val="006555F2"/>
    <w:rsid w:val="00655727"/>
    <w:rsid w:val="00655F45"/>
    <w:rsid w:val="00666E67"/>
    <w:rsid w:val="006713A2"/>
    <w:rsid w:val="00671B02"/>
    <w:rsid w:val="006731C7"/>
    <w:rsid w:val="00685EE0"/>
    <w:rsid w:val="00690946"/>
    <w:rsid w:val="006A3CFB"/>
    <w:rsid w:val="006A7450"/>
    <w:rsid w:val="006B5AE4"/>
    <w:rsid w:val="006C1FDD"/>
    <w:rsid w:val="006C5E82"/>
    <w:rsid w:val="006D0424"/>
    <w:rsid w:val="006E49E5"/>
    <w:rsid w:val="006E6898"/>
    <w:rsid w:val="006F2BDF"/>
    <w:rsid w:val="006F32D1"/>
    <w:rsid w:val="006F4079"/>
    <w:rsid w:val="00700700"/>
    <w:rsid w:val="00702B1F"/>
    <w:rsid w:val="007034AB"/>
    <w:rsid w:val="00706942"/>
    <w:rsid w:val="00711AD9"/>
    <w:rsid w:val="007242D2"/>
    <w:rsid w:val="00726FDE"/>
    <w:rsid w:val="00732D10"/>
    <w:rsid w:val="00735C56"/>
    <w:rsid w:val="00737975"/>
    <w:rsid w:val="00737D6F"/>
    <w:rsid w:val="00742BBF"/>
    <w:rsid w:val="00751430"/>
    <w:rsid w:val="007524F6"/>
    <w:rsid w:val="0077083D"/>
    <w:rsid w:val="00782F47"/>
    <w:rsid w:val="00793195"/>
    <w:rsid w:val="007A1202"/>
    <w:rsid w:val="007A56D8"/>
    <w:rsid w:val="007B5564"/>
    <w:rsid w:val="007E1337"/>
    <w:rsid w:val="0080449E"/>
    <w:rsid w:val="00813BC7"/>
    <w:rsid w:val="0081594F"/>
    <w:rsid w:val="0082065F"/>
    <w:rsid w:val="008231A7"/>
    <w:rsid w:val="00824A0C"/>
    <w:rsid w:val="00830A16"/>
    <w:rsid w:val="00830CE1"/>
    <w:rsid w:val="00833853"/>
    <w:rsid w:val="008445C2"/>
    <w:rsid w:val="00844A24"/>
    <w:rsid w:val="0085160D"/>
    <w:rsid w:val="00853416"/>
    <w:rsid w:val="00866F57"/>
    <w:rsid w:val="00875522"/>
    <w:rsid w:val="00877DA1"/>
    <w:rsid w:val="0089272E"/>
    <w:rsid w:val="00893FBA"/>
    <w:rsid w:val="00894329"/>
    <w:rsid w:val="00894CAE"/>
    <w:rsid w:val="008A0742"/>
    <w:rsid w:val="008B3616"/>
    <w:rsid w:val="008B7C1E"/>
    <w:rsid w:val="008C6368"/>
    <w:rsid w:val="008C76DE"/>
    <w:rsid w:val="008D04F8"/>
    <w:rsid w:val="008D2494"/>
    <w:rsid w:val="008D7D97"/>
    <w:rsid w:val="00903184"/>
    <w:rsid w:val="00906FA5"/>
    <w:rsid w:val="009309EA"/>
    <w:rsid w:val="009352CC"/>
    <w:rsid w:val="009354C2"/>
    <w:rsid w:val="00935F22"/>
    <w:rsid w:val="00945FA6"/>
    <w:rsid w:val="00947432"/>
    <w:rsid w:val="00970C11"/>
    <w:rsid w:val="00977A4E"/>
    <w:rsid w:val="009842C4"/>
    <w:rsid w:val="009872B0"/>
    <w:rsid w:val="00987351"/>
    <w:rsid w:val="009A3F5A"/>
    <w:rsid w:val="009A7FC8"/>
    <w:rsid w:val="009B0EF0"/>
    <w:rsid w:val="009B3531"/>
    <w:rsid w:val="009C22BA"/>
    <w:rsid w:val="009D23E0"/>
    <w:rsid w:val="009D56C3"/>
    <w:rsid w:val="009E121F"/>
    <w:rsid w:val="009E5A87"/>
    <w:rsid w:val="009E6AFF"/>
    <w:rsid w:val="009E7290"/>
    <w:rsid w:val="009F387A"/>
    <w:rsid w:val="00A02820"/>
    <w:rsid w:val="00A02B15"/>
    <w:rsid w:val="00A05270"/>
    <w:rsid w:val="00A31E84"/>
    <w:rsid w:val="00A334BF"/>
    <w:rsid w:val="00A53529"/>
    <w:rsid w:val="00A54286"/>
    <w:rsid w:val="00A54C02"/>
    <w:rsid w:val="00A5754F"/>
    <w:rsid w:val="00A6110C"/>
    <w:rsid w:val="00A6543D"/>
    <w:rsid w:val="00A6698E"/>
    <w:rsid w:val="00A66ACE"/>
    <w:rsid w:val="00A71BD4"/>
    <w:rsid w:val="00A73A35"/>
    <w:rsid w:val="00A74417"/>
    <w:rsid w:val="00A95AD2"/>
    <w:rsid w:val="00AD1D1C"/>
    <w:rsid w:val="00AD256C"/>
    <w:rsid w:val="00AD792A"/>
    <w:rsid w:val="00AF24F3"/>
    <w:rsid w:val="00B021D1"/>
    <w:rsid w:val="00B1138C"/>
    <w:rsid w:val="00B125F1"/>
    <w:rsid w:val="00B23D03"/>
    <w:rsid w:val="00B4432B"/>
    <w:rsid w:val="00B47E4A"/>
    <w:rsid w:val="00B503F1"/>
    <w:rsid w:val="00B52B17"/>
    <w:rsid w:val="00B53A84"/>
    <w:rsid w:val="00B7420E"/>
    <w:rsid w:val="00B80778"/>
    <w:rsid w:val="00BA0AEC"/>
    <w:rsid w:val="00BA2358"/>
    <w:rsid w:val="00BB5C09"/>
    <w:rsid w:val="00BC3829"/>
    <w:rsid w:val="00BD06B5"/>
    <w:rsid w:val="00BF0306"/>
    <w:rsid w:val="00C10A42"/>
    <w:rsid w:val="00C10DE1"/>
    <w:rsid w:val="00C14514"/>
    <w:rsid w:val="00C2318C"/>
    <w:rsid w:val="00C26FA9"/>
    <w:rsid w:val="00C31E83"/>
    <w:rsid w:val="00C345AE"/>
    <w:rsid w:val="00C42452"/>
    <w:rsid w:val="00C500FB"/>
    <w:rsid w:val="00C57261"/>
    <w:rsid w:val="00C57697"/>
    <w:rsid w:val="00C70C39"/>
    <w:rsid w:val="00C7187C"/>
    <w:rsid w:val="00C72C41"/>
    <w:rsid w:val="00C768CF"/>
    <w:rsid w:val="00C8614F"/>
    <w:rsid w:val="00C929A6"/>
    <w:rsid w:val="00C941F7"/>
    <w:rsid w:val="00C94A5C"/>
    <w:rsid w:val="00C94EBB"/>
    <w:rsid w:val="00C958A6"/>
    <w:rsid w:val="00C96F8B"/>
    <w:rsid w:val="00CA6647"/>
    <w:rsid w:val="00CB4BF8"/>
    <w:rsid w:val="00CC0152"/>
    <w:rsid w:val="00CC566D"/>
    <w:rsid w:val="00CC630A"/>
    <w:rsid w:val="00CD458F"/>
    <w:rsid w:val="00CD4AD0"/>
    <w:rsid w:val="00CE0E32"/>
    <w:rsid w:val="00CE1BC0"/>
    <w:rsid w:val="00CE2A24"/>
    <w:rsid w:val="00CF30F3"/>
    <w:rsid w:val="00D13EB1"/>
    <w:rsid w:val="00D16D60"/>
    <w:rsid w:val="00D22212"/>
    <w:rsid w:val="00D24AD1"/>
    <w:rsid w:val="00D26535"/>
    <w:rsid w:val="00D30D9B"/>
    <w:rsid w:val="00D34676"/>
    <w:rsid w:val="00D34944"/>
    <w:rsid w:val="00D4790E"/>
    <w:rsid w:val="00D52420"/>
    <w:rsid w:val="00D575F6"/>
    <w:rsid w:val="00D62797"/>
    <w:rsid w:val="00D71F89"/>
    <w:rsid w:val="00D80C58"/>
    <w:rsid w:val="00D93809"/>
    <w:rsid w:val="00DB121A"/>
    <w:rsid w:val="00DB2663"/>
    <w:rsid w:val="00DB49ED"/>
    <w:rsid w:val="00DB6B32"/>
    <w:rsid w:val="00DC0241"/>
    <w:rsid w:val="00DC19E3"/>
    <w:rsid w:val="00DD24F7"/>
    <w:rsid w:val="00DD3BB2"/>
    <w:rsid w:val="00DE1605"/>
    <w:rsid w:val="00DF5C73"/>
    <w:rsid w:val="00E0041B"/>
    <w:rsid w:val="00E0402C"/>
    <w:rsid w:val="00E10261"/>
    <w:rsid w:val="00E17374"/>
    <w:rsid w:val="00E32767"/>
    <w:rsid w:val="00E334C1"/>
    <w:rsid w:val="00E42309"/>
    <w:rsid w:val="00E42DDE"/>
    <w:rsid w:val="00E5043F"/>
    <w:rsid w:val="00E64F74"/>
    <w:rsid w:val="00E76E3B"/>
    <w:rsid w:val="00E84439"/>
    <w:rsid w:val="00E96424"/>
    <w:rsid w:val="00EB407B"/>
    <w:rsid w:val="00EB6524"/>
    <w:rsid w:val="00EB705B"/>
    <w:rsid w:val="00EC08FE"/>
    <w:rsid w:val="00EE046E"/>
    <w:rsid w:val="00EE1768"/>
    <w:rsid w:val="00F1687C"/>
    <w:rsid w:val="00F2086B"/>
    <w:rsid w:val="00F30A04"/>
    <w:rsid w:val="00F429F8"/>
    <w:rsid w:val="00F4412B"/>
    <w:rsid w:val="00F73F59"/>
    <w:rsid w:val="00F91AD9"/>
    <w:rsid w:val="00F93CEA"/>
    <w:rsid w:val="00F94DA8"/>
    <w:rsid w:val="00FA2E84"/>
    <w:rsid w:val="00FB7AEC"/>
    <w:rsid w:val="00FC1FC8"/>
    <w:rsid w:val="00FC3B59"/>
    <w:rsid w:val="00FD2D78"/>
    <w:rsid w:val="00FD41A4"/>
    <w:rsid w:val="00FD7A52"/>
    <w:rsid w:val="00FE2187"/>
    <w:rsid w:val="00FF079B"/>
    <w:rsid w:val="00FF72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27329"/>
    <o:shapelayout v:ext="edit">
      <o:idmap v:ext="edit" data="1"/>
    </o:shapelayout>
  </w:shapeDefaults>
  <w:decimalSymbol w:val=","/>
  <w:listSeparator w:val=";"/>
  <w14:docId w14:val="6C09C152"/>
  <w15:docId w15:val="{EAE1F07D-5A38-405F-B254-B5FE617FF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_Copy Arial 10pt"/>
    <w:next w:val="KeinAbsatzformat"/>
    <w:qFormat/>
    <w:pPr>
      <w:spacing w:after="140" w:line="300" w:lineRule="auto"/>
    </w:pPr>
    <w:rPr>
      <w:sz w:val="20"/>
    </w:rPr>
  </w:style>
  <w:style w:type="paragraph" w:styleId="berschrift1">
    <w:name w:val="heading 1"/>
    <w:aliases w:val="_Headline 18 pt"/>
    <w:basedOn w:val="Standard"/>
    <w:next w:val="Standard"/>
    <w:link w:val="berschrift1Zchn"/>
    <w:uiPriority w:val="9"/>
    <w:qFormat/>
    <w:pPr>
      <w:keepNext/>
      <w:keepLines/>
      <w:numPr>
        <w:numId w:val="4"/>
      </w:numPr>
      <w:spacing w:after="600"/>
      <w:outlineLvl w:val="0"/>
    </w:pPr>
    <w:rPr>
      <w:rFonts w:ascii="Times New Roman" w:eastAsiaTheme="majorEastAsia" w:hAnsi="Times New Roman" w:cstheme="majorBidi"/>
      <w:bCs/>
      <w:color w:val="BECDD7" w:themeColor="background2"/>
      <w:sz w:val="52"/>
      <w:szCs w:val="28"/>
    </w:rPr>
  </w:style>
  <w:style w:type="paragraph" w:styleId="berschrift2">
    <w:name w:val="heading 2"/>
    <w:aliases w:val="_Headline Times 30 pt"/>
    <w:next w:val="Standard"/>
    <w:link w:val="berschrift2Zchn"/>
    <w:uiPriority w:val="9"/>
    <w:unhideWhenUsed/>
    <w:qFormat/>
    <w:pPr>
      <w:keepNext/>
      <w:keepLines/>
      <w:spacing w:before="360" w:after="480"/>
      <w:outlineLvl w:val="1"/>
    </w:pPr>
    <w:rPr>
      <w:rFonts w:ascii="Times New Roman" w:eastAsiaTheme="majorEastAsia" w:hAnsi="Times New Roman" w:cstheme="majorBidi"/>
      <w:bCs/>
      <w:color w:val="879BAA" w:themeColor="text2"/>
      <w:sz w:val="48"/>
      <w:szCs w:val="26"/>
    </w:rPr>
  </w:style>
  <w:style w:type="paragraph" w:styleId="berschrift3">
    <w:name w:val="heading 3"/>
    <w:aliases w:val="_Headline 11pt"/>
    <w:next w:val="Standard"/>
    <w:link w:val="berschrift3Zchn"/>
    <w:uiPriority w:val="9"/>
    <w:unhideWhenUsed/>
    <w:qFormat/>
    <w:pPr>
      <w:spacing w:before="200"/>
      <w:outlineLvl w:val="2"/>
    </w:pPr>
    <w:rPr>
      <w:rFonts w:eastAsiaTheme="majorEastAsia" w:cstheme="majorBidi"/>
      <w:b/>
      <w:color w:val="006487" w:themeColor="accent3"/>
      <w:szCs w:val="26"/>
    </w:rPr>
  </w:style>
  <w:style w:type="paragraph" w:styleId="berschrift4">
    <w:name w:val="heading 4"/>
    <w:aliases w:val="_"/>
    <w:basedOn w:val="berschrift3"/>
    <w:next w:val="KeinAbsatzformat"/>
    <w:link w:val="berschrift4Zchn"/>
    <w:uiPriority w:val="9"/>
    <w:unhideWhenUsed/>
    <w:qFormat/>
    <w:pPr>
      <w:outlineLvl w:val="3"/>
    </w:pPr>
    <w:rPr>
      <w:bCs/>
      <w:iCs/>
    </w:rPr>
  </w:style>
  <w:style w:type="paragraph" w:styleId="berschrift5">
    <w:name w:val="heading 5"/>
    <w:basedOn w:val="berschrift3"/>
    <w:next w:val="KeinAbsatzformat"/>
    <w:link w:val="berschrift5Zchn"/>
    <w:uiPriority w:val="9"/>
    <w:unhideWhenUsed/>
    <w:qFormat/>
    <w:pPr>
      <w:keepNext/>
      <w:keepLines/>
      <w:numPr>
        <w:ilvl w:val="4"/>
      </w:numPr>
      <w:tabs>
        <w:tab w:val="left" w:pos="1418"/>
      </w:tabs>
      <w:ind w:left="1418" w:hanging="1418"/>
      <w:jc w:val="both"/>
      <w:outlineLvl w:val="4"/>
    </w:pPr>
  </w:style>
  <w:style w:type="paragraph" w:styleId="berschrift6">
    <w:name w:val="heading 6"/>
    <w:basedOn w:val="berschrift3"/>
    <w:next w:val="KeinAbsatzformat"/>
    <w:link w:val="berschrift6Zchn"/>
    <w:uiPriority w:val="9"/>
    <w:unhideWhenUsed/>
    <w:qFormat/>
    <w:pPr>
      <w:keepNext/>
      <w:keepLines/>
      <w:outlineLvl w:val="5"/>
    </w:pPr>
    <w:rPr>
      <w:iCs/>
    </w:rPr>
  </w:style>
  <w:style w:type="paragraph" w:styleId="berschrift7">
    <w:name w:val="heading 7"/>
    <w:basedOn w:val="Standard"/>
    <w:next w:val="Standard"/>
    <w:link w:val="berschrift7Zchn"/>
    <w:qFormat/>
    <w:pPr>
      <w:keepNext/>
      <w:tabs>
        <w:tab w:val="num" w:pos="1296"/>
      </w:tabs>
      <w:spacing w:after="200" w:line="276" w:lineRule="auto"/>
      <w:ind w:left="1296" w:hanging="1296"/>
      <w:outlineLvl w:val="6"/>
    </w:pPr>
    <w:rPr>
      <w:sz w:val="22"/>
    </w:rPr>
  </w:style>
  <w:style w:type="paragraph" w:styleId="berschrift8">
    <w:name w:val="heading 8"/>
    <w:basedOn w:val="Standard"/>
    <w:next w:val="Standard"/>
    <w:link w:val="berschrift8Zchn"/>
    <w:qFormat/>
    <w:pPr>
      <w:tabs>
        <w:tab w:val="num" w:pos="1440"/>
      </w:tabs>
      <w:spacing w:before="240" w:after="60" w:line="276" w:lineRule="auto"/>
      <w:ind w:left="1440" w:hanging="1440"/>
      <w:outlineLvl w:val="7"/>
    </w:pPr>
    <w:rPr>
      <w:i/>
      <w:iCs/>
      <w:sz w:val="22"/>
      <w:szCs w:val="24"/>
    </w:rPr>
  </w:style>
  <w:style w:type="paragraph" w:styleId="berschrift9">
    <w:name w:val="heading 9"/>
    <w:basedOn w:val="Standard"/>
    <w:next w:val="Standard"/>
    <w:link w:val="berschrift9Zchn"/>
    <w:qFormat/>
    <w:pPr>
      <w:tabs>
        <w:tab w:val="num" w:pos="1584"/>
      </w:tabs>
      <w:spacing w:before="240" w:after="60" w:line="276" w:lineRule="auto"/>
      <w:ind w:left="1584" w:hanging="1584"/>
      <w:outlineLvl w:val="8"/>
    </w:pPr>
    <w:rPr>
      <w:rFonts w:cs="Arial"/>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_Headline 18 pt Zchn"/>
    <w:basedOn w:val="Absatz-Standardschriftart"/>
    <w:link w:val="berschrift1"/>
    <w:uiPriority w:val="9"/>
    <w:rPr>
      <w:rFonts w:ascii="Times New Roman" w:eastAsiaTheme="majorEastAsia" w:hAnsi="Times New Roman" w:cstheme="majorBidi"/>
      <w:bCs/>
      <w:color w:val="BECDD7" w:themeColor="background2"/>
      <w:sz w:val="52"/>
      <w:szCs w:val="28"/>
    </w:rPr>
  </w:style>
  <w:style w:type="paragraph" w:styleId="KeinLeerraum">
    <w:name w:val="No Spacing"/>
    <w:uiPriority w:val="1"/>
    <w:pPr>
      <w:spacing w:after="0" w:line="240" w:lineRule="auto"/>
    </w:pPr>
    <w:rPr>
      <w:sz w:val="20"/>
    </w:rPr>
  </w:style>
  <w:style w:type="character" w:customStyle="1" w:styleId="berschrift2Zchn">
    <w:name w:val="Überschrift 2 Zchn"/>
    <w:aliases w:val="_Headline Times 30 pt Zchn"/>
    <w:basedOn w:val="Absatz-Standardschriftart"/>
    <w:link w:val="berschrift2"/>
    <w:uiPriority w:val="9"/>
    <w:rPr>
      <w:rFonts w:ascii="Times New Roman" w:eastAsiaTheme="majorEastAsia" w:hAnsi="Times New Roman" w:cstheme="majorBidi"/>
      <w:bCs/>
      <w:color w:val="879BAA" w:themeColor="text2"/>
      <w:sz w:val="48"/>
      <w:szCs w:val="26"/>
    </w:rPr>
  </w:style>
  <w:style w:type="character" w:customStyle="1" w:styleId="berschrift3Zchn">
    <w:name w:val="Überschrift 3 Zchn"/>
    <w:aliases w:val="_Headline 11pt Zchn"/>
    <w:basedOn w:val="Absatz-Standardschriftart"/>
    <w:link w:val="berschrift3"/>
    <w:uiPriority w:val="9"/>
    <w:rPr>
      <w:rFonts w:eastAsiaTheme="majorEastAsia" w:cstheme="majorBidi"/>
      <w:b/>
      <w:color w:val="006487" w:themeColor="accent3"/>
      <w:szCs w:val="26"/>
    </w:rPr>
  </w:style>
  <w:style w:type="character" w:styleId="SchwacheHervorhebung">
    <w:name w:val="Subtle Emphasis"/>
    <w:basedOn w:val="Absatz-Standardschriftart"/>
    <w:uiPriority w:val="19"/>
    <w:qFormat/>
    <w:rPr>
      <w:b/>
      <w:i w:val="0"/>
      <w:iCs/>
      <w:color w:val="000000" w:themeColor="text1"/>
    </w:rPr>
  </w:style>
  <w:style w:type="character" w:styleId="Hervorhebung">
    <w:name w:val="Emphasis"/>
    <w:basedOn w:val="Absatz-Standardschriftart"/>
    <w:uiPriority w:val="20"/>
    <w:qFormat/>
    <w:rPr>
      <w:b/>
      <w:i w:val="0"/>
      <w:iCs/>
    </w:rPr>
  </w:style>
  <w:style w:type="paragraph" w:styleId="Zitat">
    <w:name w:val="Quote"/>
    <w:basedOn w:val="Standard"/>
    <w:next w:val="Standard"/>
    <w:link w:val="ZitatZchn"/>
    <w:uiPriority w:val="29"/>
    <w:rPr>
      <w:i/>
      <w:iCs/>
    </w:rPr>
  </w:style>
  <w:style w:type="character" w:customStyle="1" w:styleId="ZitatZchn">
    <w:name w:val="Zitat Zchn"/>
    <w:basedOn w:val="Absatz-Standardschriftart"/>
    <w:link w:val="Zitat"/>
    <w:uiPriority w:val="29"/>
    <w:rPr>
      <w:i/>
      <w:iCs/>
      <w:sz w:val="20"/>
    </w:rPr>
  </w:style>
  <w:style w:type="character" w:styleId="IntensiveHervorhebung">
    <w:name w:val="Intense Emphasis"/>
    <w:basedOn w:val="Absatz-Standardschriftart"/>
    <w:uiPriority w:val="21"/>
    <w:qFormat/>
    <w:rPr>
      <w:b/>
      <w:bCs/>
      <w:i w:val="0"/>
      <w:iCs/>
      <w:color w:val="879BAA" w:themeColor="text2"/>
    </w:rPr>
  </w:style>
  <w:style w:type="paragraph" w:styleId="IntensivesZitat">
    <w:name w:val="Intense Quote"/>
    <w:basedOn w:val="Standard"/>
    <w:next w:val="Standard"/>
    <w:link w:val="IntensivesZitatZchn"/>
    <w:uiPriority w:val="30"/>
    <w:pPr>
      <w:spacing w:before="200" w:after="280"/>
      <w:ind w:left="936" w:right="936"/>
    </w:pPr>
    <w:rPr>
      <w:b/>
      <w:bCs/>
      <w:i/>
      <w:iCs/>
    </w:rPr>
  </w:style>
  <w:style w:type="character" w:customStyle="1" w:styleId="IntensivesZitatZchn">
    <w:name w:val="Intensives Zitat Zchn"/>
    <w:basedOn w:val="Absatz-Standardschriftart"/>
    <w:link w:val="IntensivesZitat"/>
    <w:uiPriority w:val="30"/>
    <w:rPr>
      <w:b/>
      <w:bCs/>
      <w:i/>
      <w:iCs/>
      <w:sz w:val="20"/>
    </w:rPr>
  </w:style>
  <w:style w:type="paragraph" w:styleId="Titel">
    <w:name w:val="Title"/>
    <w:basedOn w:val="Standard"/>
    <w:next w:val="Standard"/>
    <w:link w:val="TitelZchn"/>
    <w:uiPriority w:val="10"/>
    <w:pPr>
      <w:spacing w:after="300" w:line="240" w:lineRule="auto"/>
      <w:contextualSpacing/>
    </w:pPr>
    <w:rPr>
      <w:rFonts w:ascii="Times New Roman" w:eastAsiaTheme="majorEastAsia" w:hAnsi="Times New Roman" w:cstheme="majorBidi"/>
      <w:color w:val="879BAA" w:themeColor="text2"/>
      <w:spacing w:val="5"/>
      <w:kern w:val="28"/>
      <w:sz w:val="60"/>
      <w:szCs w:val="52"/>
    </w:rPr>
  </w:style>
  <w:style w:type="character" w:customStyle="1" w:styleId="TitelZchn">
    <w:name w:val="Titel Zchn"/>
    <w:basedOn w:val="Absatz-Standardschriftart"/>
    <w:link w:val="Titel"/>
    <w:uiPriority w:val="10"/>
    <w:rPr>
      <w:rFonts w:ascii="Times New Roman" w:eastAsiaTheme="majorEastAsia" w:hAnsi="Times New Roman" w:cstheme="majorBidi"/>
      <w:color w:val="879BAA" w:themeColor="text2"/>
      <w:spacing w:val="5"/>
      <w:kern w:val="28"/>
      <w:sz w:val="60"/>
      <w:szCs w:val="52"/>
    </w:rPr>
  </w:style>
  <w:style w:type="paragraph" w:styleId="Untertitel">
    <w:name w:val="Subtitle"/>
    <w:basedOn w:val="Standard"/>
    <w:next w:val="Standard"/>
    <w:link w:val="UntertitelZchn"/>
    <w:uiPriority w:val="11"/>
    <w:qFormat/>
    <w:pPr>
      <w:numPr>
        <w:ilvl w:val="1"/>
      </w:numPr>
    </w:pPr>
    <w:rPr>
      <w:rFonts w:eastAsiaTheme="majorEastAsia" w:cstheme="majorBidi"/>
      <w:b/>
      <w:iCs/>
      <w:color w:val="879BAA" w:themeColor="text2"/>
      <w:sz w:val="22"/>
    </w:rPr>
  </w:style>
  <w:style w:type="character" w:customStyle="1" w:styleId="UntertitelZchn">
    <w:name w:val="Untertitel Zchn"/>
    <w:basedOn w:val="Absatz-Standardschriftart"/>
    <w:link w:val="Untertitel"/>
    <w:uiPriority w:val="11"/>
    <w:rPr>
      <w:rFonts w:eastAsiaTheme="majorEastAsia" w:cstheme="majorBidi"/>
      <w:b/>
      <w:iCs/>
      <w:color w:val="879BAA" w:themeColor="text2"/>
    </w:rPr>
  </w:style>
  <w:style w:type="paragraph" w:customStyle="1" w:styleId="Footer">
    <w:name w:val="_Footer"/>
    <w:basedOn w:val="KeinAbsatzformat"/>
    <w:next w:val="KeinAbsatzformat"/>
    <w:qFormat/>
    <w:rPr>
      <w:color w:val="879BAA" w:themeColor="text2"/>
      <w:sz w:val="15"/>
    </w:rPr>
  </w:style>
  <w:style w:type="paragraph" w:customStyle="1" w:styleId="KeinAbsatzformat">
    <w:name w:val="[Kein Absatzformat]"/>
    <w:pPr>
      <w:autoSpaceDE w:val="0"/>
      <w:autoSpaceDN w:val="0"/>
      <w:adjustRightInd w:val="0"/>
      <w:spacing w:after="0" w:line="288" w:lineRule="auto"/>
      <w:textAlignment w:val="center"/>
    </w:pPr>
    <w:rPr>
      <w:rFonts w:ascii="MinionPro-Regular" w:hAnsi="MinionPro-Regular" w:cs="MinionPro-Regular"/>
      <w:color w:val="000000"/>
      <w:sz w:val="24"/>
      <w:szCs w:val="24"/>
      <w:lang w:val="de-DE"/>
    </w:rPr>
  </w:style>
  <w:style w:type="character" w:styleId="Kommentarzeichen">
    <w:name w:val="annotation reference"/>
    <w:basedOn w:val="Absatz-Standardschriftart"/>
    <w:uiPriority w:val="99"/>
    <w:unhideWhenUsed/>
    <w:rPr>
      <w:sz w:val="16"/>
      <w:szCs w:val="16"/>
    </w:rPr>
  </w:style>
  <w:style w:type="paragraph" w:styleId="Kommentartext">
    <w:name w:val="annotation text"/>
    <w:basedOn w:val="Standard"/>
    <w:link w:val="KommentartextZchn"/>
    <w:uiPriority w:val="99"/>
    <w:unhideWhenUsed/>
    <w:pPr>
      <w:spacing w:line="240" w:lineRule="auto"/>
    </w:pPr>
    <w:rPr>
      <w:szCs w:val="20"/>
    </w:rPr>
  </w:style>
  <w:style w:type="character" w:customStyle="1" w:styleId="KommentartextZchn">
    <w:name w:val="Kommentartext Zchn"/>
    <w:basedOn w:val="Absatz-Standardschriftart"/>
    <w:link w:val="Kommentartext"/>
    <w:uiPriority w:val="99"/>
    <w:rPr>
      <w:sz w:val="20"/>
      <w:szCs w:val="20"/>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b/>
      <w:bCs/>
      <w:sz w:val="20"/>
      <w:szCs w:val="20"/>
    </w:rPr>
  </w:style>
  <w:style w:type="paragraph" w:styleId="Sprechblasentext">
    <w:name w:val="Balloon Text"/>
    <w:basedOn w:val="Standard"/>
    <w:link w:val="SprechblasentextZchn"/>
    <w:uiPriority w:val="99"/>
    <w:semiHidden/>
    <w:unhideWhenUse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table" w:styleId="Tabellenraster">
    <w:name w:val="Table Grid"/>
    <w:aliases w:val="Highlight_Box_Stone 35%"/>
    <w:basedOn w:val="NormaleTabelle"/>
    <w:pPr>
      <w:spacing w:after="0" w:line="240" w:lineRule="auto"/>
    </w:pPr>
    <w:rPr>
      <w:color w:val="006487" w:themeColor="accent3"/>
      <w:sz w:val="20"/>
    </w:rPr>
    <w:tblPr>
      <w:tblCellMar>
        <w:top w:w="340" w:type="dxa"/>
        <w:left w:w="340" w:type="dxa"/>
        <w:bottom w:w="227" w:type="dxa"/>
        <w:right w:w="454" w:type="dxa"/>
      </w:tblCellMar>
    </w:tblPr>
    <w:tcPr>
      <w:shd w:val="clear" w:color="auto" w:fill="F2F5F7" w:themeFill="background2" w:themeFillTint="33"/>
    </w:tcPr>
  </w:style>
  <w:style w:type="character" w:styleId="IntensiverVerweis">
    <w:name w:val="Intense Reference"/>
    <w:basedOn w:val="Absatz-Standardschriftart"/>
    <w:uiPriority w:val="32"/>
    <w:rPr>
      <w:b/>
      <w:bCs/>
      <w:smallCaps/>
      <w:color w:val="D7D7CD" w:themeColor="accent2"/>
      <w:spacing w:val="5"/>
      <w:u w:val="single"/>
    </w:rPr>
  </w:style>
  <w:style w:type="character" w:customStyle="1" w:styleId="berschrift4Zchn">
    <w:name w:val="Überschrift 4 Zchn"/>
    <w:aliases w:val="_ Zchn"/>
    <w:basedOn w:val="Absatz-Standardschriftart"/>
    <w:link w:val="berschrift4"/>
    <w:uiPriority w:val="9"/>
    <w:rPr>
      <w:rFonts w:eastAsiaTheme="majorEastAsia" w:cstheme="majorBidi"/>
      <w:b/>
      <w:bCs/>
      <w:iCs/>
      <w:color w:val="006487" w:themeColor="accent3"/>
      <w:szCs w:val="26"/>
    </w:rPr>
  </w:style>
  <w:style w:type="paragraph" w:customStyle="1" w:styleId="CopyBulletpoints">
    <w:name w:val="_Copy Bulletpoints"/>
    <w:basedOn w:val="Standard"/>
    <w:qFormat/>
    <w:pPr>
      <w:numPr>
        <w:numId w:val="1"/>
      </w:numPr>
      <w:spacing w:after="240"/>
      <w:contextualSpacing/>
    </w:pPr>
    <w:rPr>
      <w:lang w:val="en-GB"/>
    </w:rPr>
  </w:style>
  <w:style w:type="paragraph" w:customStyle="1" w:styleId="Page">
    <w:name w:val="_Page"/>
    <w:next w:val="KeinAbsatzformat"/>
    <w:qFormat/>
    <w:pPr>
      <w:spacing w:after="0"/>
      <w:jc w:val="right"/>
    </w:pPr>
    <w:rPr>
      <w:b/>
      <w:sz w:val="18"/>
      <w:szCs w:val="18"/>
    </w:rPr>
  </w:style>
  <w:style w:type="character" w:styleId="Fett">
    <w:name w:val="Strong"/>
    <w:basedOn w:val="Absatz-Standardschriftart"/>
    <w:uiPriority w:val="22"/>
    <w:qFormat/>
    <w:rPr>
      <w:b/>
      <w:bCs/>
    </w:rPr>
  </w:style>
  <w:style w:type="paragraph" w:styleId="Fuzeile">
    <w:name w:val="footer"/>
    <w:next w:val="KeinAbsatzformat"/>
    <w:link w:val="FuzeileZchn"/>
    <w:uiPriority w:val="99"/>
    <w:unhideWhenUsed/>
    <w:pPr>
      <w:tabs>
        <w:tab w:val="center" w:pos="4536"/>
        <w:tab w:val="right" w:pos="9072"/>
      </w:tabs>
      <w:spacing w:after="0" w:line="360" w:lineRule="auto"/>
    </w:pPr>
    <w:rPr>
      <w:color w:val="879BAA" w:themeColor="text2"/>
      <w:sz w:val="15"/>
    </w:rPr>
  </w:style>
  <w:style w:type="character" w:customStyle="1" w:styleId="FuzeileZchn">
    <w:name w:val="Fußzeile Zchn"/>
    <w:basedOn w:val="Absatz-Standardschriftart"/>
    <w:link w:val="Fuzeile"/>
    <w:uiPriority w:val="99"/>
    <w:rPr>
      <w:color w:val="879BAA" w:themeColor="text2"/>
      <w:sz w:val="15"/>
    </w:rPr>
  </w:style>
  <w:style w:type="paragraph" w:customStyle="1" w:styleId="DoDontHeadline1">
    <w:name w:val="_Do/Don't Headline 1"/>
    <w:next w:val="KeinAbsatzformat"/>
    <w:qFormat/>
    <w:rPr>
      <w:rFonts w:eastAsiaTheme="majorEastAsia" w:cstheme="majorBidi"/>
      <w:b/>
      <w:bCs/>
      <w:noProof/>
      <w:color w:val="006487" w:themeColor="accent3"/>
      <w:szCs w:val="26"/>
      <w:lang w:val="en-GB"/>
    </w:rPr>
  </w:style>
  <w:style w:type="table" w:styleId="HelleSchattierung-Akzent5">
    <w:name w:val="Light Shading Accent 5"/>
    <w:basedOn w:val="NormaleTabelle"/>
    <w:uiPriority w:val="60"/>
    <w:pPr>
      <w:spacing w:after="0" w:line="240" w:lineRule="auto"/>
    </w:pPr>
    <w:rPr>
      <w:color w:val="4A1234" w:themeColor="accent5" w:themeShade="BF"/>
    </w:rPr>
    <w:tblPr>
      <w:tblStyleRowBandSize w:val="1"/>
      <w:tblStyleColBandSize w:val="1"/>
      <w:tblBorders>
        <w:top w:val="single" w:sz="8" w:space="0" w:color="641946" w:themeColor="accent5"/>
        <w:bottom w:val="single" w:sz="8" w:space="0" w:color="641946" w:themeColor="accent5"/>
      </w:tblBorders>
    </w:tblPr>
    <w:tblStylePr w:type="firstRow">
      <w:pPr>
        <w:spacing w:before="0" w:after="0" w:line="240" w:lineRule="auto"/>
      </w:pPr>
      <w:rPr>
        <w:b/>
        <w:bCs/>
      </w:rPr>
      <w:tblPr/>
      <w:tcPr>
        <w:tcBorders>
          <w:top w:val="single" w:sz="8" w:space="0" w:color="641946" w:themeColor="accent5"/>
          <w:left w:val="nil"/>
          <w:bottom w:val="single" w:sz="8" w:space="0" w:color="641946" w:themeColor="accent5"/>
          <w:right w:val="nil"/>
          <w:insideH w:val="nil"/>
          <w:insideV w:val="nil"/>
        </w:tcBorders>
      </w:tcPr>
    </w:tblStylePr>
    <w:tblStylePr w:type="lastRow">
      <w:pPr>
        <w:spacing w:before="0" w:after="0" w:line="240" w:lineRule="auto"/>
      </w:pPr>
      <w:rPr>
        <w:b/>
        <w:bCs/>
      </w:rPr>
      <w:tblPr/>
      <w:tcPr>
        <w:tcBorders>
          <w:top w:val="single" w:sz="8" w:space="0" w:color="641946" w:themeColor="accent5"/>
          <w:left w:val="nil"/>
          <w:bottom w:val="single" w:sz="8" w:space="0" w:color="64194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B2D5" w:themeFill="accent5" w:themeFillTint="3F"/>
      </w:tcPr>
    </w:tblStylePr>
    <w:tblStylePr w:type="band1Horz">
      <w:tblPr/>
      <w:tcPr>
        <w:tcBorders>
          <w:left w:val="nil"/>
          <w:right w:val="nil"/>
          <w:insideH w:val="nil"/>
          <w:insideV w:val="nil"/>
        </w:tcBorders>
        <w:shd w:val="clear" w:color="auto" w:fill="ECB2D5" w:themeFill="accent5" w:themeFillTint="3F"/>
      </w:tcPr>
    </w:tblStylePr>
  </w:style>
  <w:style w:type="paragraph" w:customStyle="1" w:styleId="DoDontHeadline2">
    <w:name w:val="_Do/Don't Headline 2"/>
    <w:basedOn w:val="Standard"/>
    <w:qFormat/>
    <w:pPr>
      <w:contextualSpacing/>
    </w:pPr>
    <w:rPr>
      <w:b/>
      <w:color w:val="FFFFFF" w:themeColor="background1"/>
    </w:rPr>
  </w:style>
  <w:style w:type="paragraph" w:styleId="Listenabsatz">
    <w:name w:val="List Paragraph"/>
    <w:basedOn w:val="Standard"/>
    <w:uiPriority w:val="34"/>
    <w:qFormat/>
    <w:pPr>
      <w:ind w:left="720"/>
      <w:contextualSpacing/>
    </w:pPr>
  </w:style>
  <w:style w:type="paragraph" w:customStyle="1" w:styleId="DoDontCopy">
    <w:name w:val="_Do/Don't Copy"/>
    <w:qFormat/>
    <w:pPr>
      <w:spacing w:after="40"/>
    </w:pPr>
    <w:rPr>
      <w:color w:val="FFFFFF" w:themeColor="background1"/>
      <w:sz w:val="20"/>
    </w:rPr>
  </w:style>
  <w:style w:type="paragraph" w:customStyle="1" w:styleId="HighlightboxGreyBulletpoints">
    <w:name w:val="_Highlightbox_Grey: Bulletpoints"/>
    <w:basedOn w:val="DoDontBulletpoints"/>
    <w:qFormat/>
    <w:pPr>
      <w:spacing w:after="120"/>
      <w:ind w:left="360" w:hanging="360"/>
    </w:pPr>
    <w:rPr>
      <w:b/>
      <w:color w:val="006487" w:themeColor="accent3"/>
      <w:sz w:val="20"/>
      <w:szCs w:val="20"/>
    </w:rPr>
  </w:style>
  <w:style w:type="paragraph" w:customStyle="1" w:styleId="DoDontBulletpoints">
    <w:name w:val="_Do/Don't Bulletpoints"/>
    <w:basedOn w:val="Standard"/>
    <w:qFormat/>
    <w:pPr>
      <w:numPr>
        <w:numId w:val="3"/>
      </w:numPr>
      <w:spacing w:line="240" w:lineRule="auto"/>
      <w:ind w:left="284" w:hanging="284"/>
    </w:pPr>
    <w:rPr>
      <w:color w:val="FFFFFF" w:themeColor="background1"/>
      <w:sz w:val="18"/>
    </w:rPr>
  </w:style>
  <w:style w:type="paragraph" w:customStyle="1" w:styleId="HighlightboxGreyHeadlineNaturalBlue">
    <w:name w:val="_Highlightbox_Grey: Headline Natural Blue"/>
    <w:basedOn w:val="Standard"/>
    <w:qFormat/>
    <w:pPr>
      <w:tabs>
        <w:tab w:val="left" w:pos="426"/>
      </w:tabs>
      <w:spacing w:after="120" w:line="240" w:lineRule="auto"/>
    </w:pPr>
    <w:rPr>
      <w:b/>
      <w:color w:val="006487" w:themeColor="accent3"/>
    </w:rPr>
  </w:style>
  <w:style w:type="paragraph" w:customStyle="1" w:styleId="ExamplesCopy">
    <w:name w:val="_Examples Copy"/>
    <w:basedOn w:val="Standard"/>
    <w:pPr>
      <w:tabs>
        <w:tab w:val="left" w:pos="426"/>
      </w:tabs>
      <w:spacing w:after="0" w:line="240" w:lineRule="auto"/>
      <w:ind w:right="227"/>
      <w:contextualSpacing/>
    </w:pPr>
    <w:rPr>
      <w:b/>
      <w:i/>
      <w:color w:val="006487" w:themeColor="accent3"/>
    </w:rPr>
  </w:style>
  <w:style w:type="character" w:styleId="SchwacherVerweis">
    <w:name w:val="Subtle Reference"/>
    <w:basedOn w:val="Absatz-Standardschriftart"/>
    <w:uiPriority w:val="31"/>
    <w:rPr>
      <w:caps w:val="0"/>
      <w:smallCaps w:val="0"/>
      <w:color w:val="BECDD7" w:themeColor="background2"/>
      <w:u w:val="none"/>
    </w:rPr>
  </w:style>
  <w:style w:type="paragraph" w:customStyle="1" w:styleId="HighlightboxGreyCopy">
    <w:name w:val="_Highlightbox_Grey: Copy"/>
    <w:basedOn w:val="HighlightboxGreyHeadlineNaturalBlue"/>
    <w:qFormat/>
    <w:rPr>
      <w:b w:val="0"/>
    </w:rPr>
  </w:style>
  <w:style w:type="character" w:styleId="Buchtitel">
    <w:name w:val="Book Title"/>
    <w:basedOn w:val="Absatz-Standardschriftart"/>
    <w:uiPriority w:val="33"/>
    <w:rPr>
      <w:b w:val="0"/>
      <w:bCs/>
      <w:i/>
      <w:caps w:val="0"/>
      <w:smallCaps w:val="0"/>
      <w:spacing w:val="0"/>
    </w:rPr>
  </w:style>
  <w:style w:type="paragraph" w:customStyle="1" w:styleId="Underlinepictures">
    <w:name w:val="_Underline: pictures"/>
    <w:aliases w:val="graphics,tables"/>
    <w:basedOn w:val="KeinAbsatzformat"/>
    <w:qFormat/>
    <w:pPr>
      <w:spacing w:before="113" w:after="454"/>
      <w:ind w:left="454"/>
    </w:pPr>
    <w:rPr>
      <w:rFonts w:ascii="Arial" w:hAnsi="Arial" w:cs="Arial"/>
      <w:i/>
      <w:sz w:val="18"/>
      <w:szCs w:val="18"/>
    </w:rPr>
  </w:style>
  <w:style w:type="character" w:customStyle="1" w:styleId="Naturalblue">
    <w:name w:val="_Natural blue"/>
    <w:basedOn w:val="Absatz-Standardschriftart"/>
    <w:uiPriority w:val="1"/>
    <w:qFormat/>
    <w:rPr>
      <w:color w:val="006487" w:themeColor="accent3"/>
    </w:rPr>
  </w:style>
  <w:style w:type="paragraph" w:customStyle="1" w:styleId="Numbers">
    <w:name w:val="_Numbers"/>
    <w:basedOn w:val="Standard"/>
    <w:qFormat/>
    <w:pPr>
      <w:numPr>
        <w:numId w:val="2"/>
      </w:numPr>
      <w:tabs>
        <w:tab w:val="left" w:pos="426"/>
      </w:tabs>
      <w:ind w:left="442" w:hanging="357"/>
      <w:contextualSpacing/>
    </w:pPr>
    <w:rPr>
      <w:rFonts w:cs="Arial"/>
    </w:rPr>
  </w:style>
  <w:style w:type="paragraph" w:styleId="Kopfzeile">
    <w:name w:val="header"/>
    <w:basedOn w:val="Standard"/>
    <w:link w:val="KopfzeileZchn"/>
    <w:uiPriority w:val="99"/>
    <w:unhideWhenUsed/>
    <w:pPr>
      <w:tabs>
        <w:tab w:val="center" w:pos="4536"/>
        <w:tab w:val="right" w:pos="9072"/>
      </w:tabs>
      <w:spacing w:after="0" w:line="240" w:lineRule="auto"/>
    </w:pPr>
    <w:rPr>
      <w:sz w:val="15"/>
    </w:rPr>
  </w:style>
  <w:style w:type="character" w:customStyle="1" w:styleId="KopfzeileZchn">
    <w:name w:val="Kopfzeile Zchn"/>
    <w:basedOn w:val="Absatz-Standardschriftart"/>
    <w:link w:val="Kopfzeile"/>
    <w:uiPriority w:val="99"/>
    <w:rPr>
      <w:sz w:val="15"/>
    </w:rPr>
  </w:style>
  <w:style w:type="paragraph" w:customStyle="1" w:styleId="Header">
    <w:name w:val="_Header"/>
    <w:next w:val="KeinAbsatzformat"/>
    <w:qFormat/>
    <w:rPr>
      <w:sz w:val="15"/>
    </w:rPr>
  </w:style>
  <w:style w:type="table" w:customStyle="1" w:styleId="HelleSchattierung-Akzent11">
    <w:name w:val="Helle Schattierung - Akzent 11"/>
    <w:basedOn w:val="NormaleTabelle"/>
    <w:uiPriority w:val="60"/>
    <w:pPr>
      <w:spacing w:after="0" w:line="240" w:lineRule="auto"/>
    </w:pPr>
    <w:rPr>
      <w:color w:val="84846B" w:themeColor="accent1" w:themeShade="BF"/>
    </w:rPr>
    <w:tblPr>
      <w:tblStyleRowBandSize w:val="1"/>
      <w:tblStyleColBandSize w:val="1"/>
      <w:tblBorders>
        <w:top w:val="single" w:sz="8" w:space="0" w:color="AAAA96" w:themeColor="accent1"/>
        <w:bottom w:val="single" w:sz="8" w:space="0" w:color="AAAA96" w:themeColor="accent1"/>
      </w:tblBorders>
    </w:tblPr>
    <w:tblStylePr w:type="firstRow">
      <w:pPr>
        <w:spacing w:before="0" w:after="0" w:line="240" w:lineRule="auto"/>
      </w:pPr>
      <w:rPr>
        <w:b/>
        <w:bCs/>
      </w:rPr>
      <w:tblPr/>
      <w:tcPr>
        <w:tcBorders>
          <w:top w:val="single" w:sz="8" w:space="0" w:color="AAAA96" w:themeColor="accent1"/>
          <w:left w:val="nil"/>
          <w:bottom w:val="single" w:sz="8" w:space="0" w:color="AAAA96" w:themeColor="accent1"/>
          <w:right w:val="nil"/>
          <w:insideH w:val="nil"/>
          <w:insideV w:val="nil"/>
        </w:tcBorders>
      </w:tcPr>
    </w:tblStylePr>
    <w:tblStylePr w:type="lastRow">
      <w:pPr>
        <w:spacing w:before="0" w:after="0" w:line="240" w:lineRule="auto"/>
      </w:pPr>
      <w:rPr>
        <w:b/>
        <w:bCs/>
      </w:rPr>
      <w:tblPr/>
      <w:tcPr>
        <w:tcBorders>
          <w:top w:val="single" w:sz="8" w:space="0" w:color="AAAA96" w:themeColor="accent1"/>
          <w:left w:val="nil"/>
          <w:bottom w:val="single" w:sz="8" w:space="0" w:color="AAAA9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EAE5" w:themeFill="accent1" w:themeFillTint="3F"/>
      </w:tcPr>
    </w:tblStylePr>
    <w:tblStylePr w:type="band1Horz">
      <w:tblPr/>
      <w:tcPr>
        <w:tcBorders>
          <w:left w:val="nil"/>
          <w:right w:val="nil"/>
          <w:insideH w:val="nil"/>
          <w:insideV w:val="nil"/>
        </w:tcBorders>
        <w:shd w:val="clear" w:color="auto" w:fill="EAEAE5" w:themeFill="accent1" w:themeFillTint="3F"/>
      </w:tcPr>
    </w:tblStylePr>
  </w:style>
  <w:style w:type="table" w:styleId="HelleListe-Akzent3">
    <w:name w:val="Light List Accent 3"/>
    <w:basedOn w:val="NormaleTabelle"/>
    <w:uiPriority w:val="61"/>
    <w:pPr>
      <w:spacing w:after="0" w:line="240" w:lineRule="auto"/>
    </w:pPr>
    <w:tblPr>
      <w:tblStyleRowBandSize w:val="1"/>
      <w:tblStyleColBandSize w:val="1"/>
      <w:tblBorders>
        <w:top w:val="single" w:sz="8" w:space="0" w:color="006487" w:themeColor="accent3"/>
        <w:left w:val="single" w:sz="8" w:space="0" w:color="006487" w:themeColor="accent3"/>
        <w:bottom w:val="single" w:sz="8" w:space="0" w:color="006487" w:themeColor="accent3"/>
        <w:right w:val="single" w:sz="8" w:space="0" w:color="006487" w:themeColor="accent3"/>
      </w:tblBorders>
    </w:tblPr>
    <w:tblStylePr w:type="firstRow">
      <w:pPr>
        <w:spacing w:before="0" w:after="0" w:line="240" w:lineRule="auto"/>
      </w:pPr>
      <w:rPr>
        <w:b/>
        <w:bCs/>
        <w:color w:val="FFFFFF" w:themeColor="background1"/>
      </w:rPr>
      <w:tblPr/>
      <w:tcPr>
        <w:shd w:val="clear" w:color="auto" w:fill="006487" w:themeFill="accent3"/>
      </w:tcPr>
    </w:tblStylePr>
    <w:tblStylePr w:type="lastRow">
      <w:pPr>
        <w:spacing w:before="0" w:after="0" w:line="240" w:lineRule="auto"/>
      </w:pPr>
      <w:rPr>
        <w:b/>
        <w:bCs/>
      </w:rPr>
      <w:tblPr/>
      <w:tcPr>
        <w:tcBorders>
          <w:top w:val="double" w:sz="6" w:space="0" w:color="006487" w:themeColor="accent3"/>
          <w:left w:val="single" w:sz="8" w:space="0" w:color="006487" w:themeColor="accent3"/>
          <w:bottom w:val="single" w:sz="8" w:space="0" w:color="006487" w:themeColor="accent3"/>
          <w:right w:val="single" w:sz="8" w:space="0" w:color="006487" w:themeColor="accent3"/>
        </w:tcBorders>
      </w:tcPr>
    </w:tblStylePr>
    <w:tblStylePr w:type="firstCol">
      <w:rPr>
        <w:b/>
        <w:bCs/>
      </w:rPr>
    </w:tblStylePr>
    <w:tblStylePr w:type="lastCol">
      <w:rPr>
        <w:b/>
        <w:bCs/>
      </w:rPr>
    </w:tblStylePr>
    <w:tblStylePr w:type="band1Vert">
      <w:tblPr/>
      <w:tcPr>
        <w:tcBorders>
          <w:top w:val="single" w:sz="8" w:space="0" w:color="006487" w:themeColor="accent3"/>
          <w:left w:val="single" w:sz="8" w:space="0" w:color="006487" w:themeColor="accent3"/>
          <w:bottom w:val="single" w:sz="8" w:space="0" w:color="006487" w:themeColor="accent3"/>
          <w:right w:val="single" w:sz="8" w:space="0" w:color="006487" w:themeColor="accent3"/>
        </w:tcBorders>
      </w:tcPr>
    </w:tblStylePr>
    <w:tblStylePr w:type="band1Horz">
      <w:tblPr/>
      <w:tcPr>
        <w:tcBorders>
          <w:top w:val="single" w:sz="8" w:space="0" w:color="006487" w:themeColor="accent3"/>
          <w:left w:val="single" w:sz="8" w:space="0" w:color="006487" w:themeColor="accent3"/>
          <w:bottom w:val="single" w:sz="8" w:space="0" w:color="006487" w:themeColor="accent3"/>
          <w:right w:val="single" w:sz="8" w:space="0" w:color="006487" w:themeColor="accent3"/>
        </w:tcBorders>
      </w:tcPr>
    </w:tblStylePr>
  </w:style>
  <w:style w:type="table" w:customStyle="1" w:styleId="Head">
    <w:name w:val="Head"/>
    <w:basedOn w:val="NormaleTabelle"/>
    <w:uiPriority w:val="99"/>
    <w:pPr>
      <w:spacing w:after="0" w:line="240" w:lineRule="auto"/>
    </w:pPr>
    <w:rPr>
      <w:sz w:val="15"/>
    </w:rPr>
    <w:tblPr>
      <w:tblCellMar>
        <w:top w:w="85" w:type="dxa"/>
        <w:left w:w="0" w:type="dxa"/>
        <w:bottom w:w="91" w:type="dxa"/>
        <w:right w:w="0" w:type="dxa"/>
      </w:tblCellMar>
    </w:tblPr>
    <w:tcPr>
      <w:shd w:val="clear" w:color="auto" w:fill="F2F5F7" w:themeFill="background2" w:themeFillTint="33"/>
      <w:vAlign w:val="center"/>
    </w:tcPr>
    <w:tblStylePr w:type="firstRow">
      <w:tblPr/>
      <w:tcPr>
        <w:tcBorders>
          <w:top w:val="nil"/>
          <w:left w:val="nil"/>
          <w:bottom w:val="nil"/>
          <w:right w:val="nil"/>
          <w:insideH w:val="nil"/>
          <w:insideV w:val="nil"/>
          <w:tl2br w:val="nil"/>
          <w:tr2bl w:val="nil"/>
        </w:tcBorders>
        <w:shd w:val="clear" w:color="auto" w:fill="879BAA" w:themeFill="text2"/>
      </w:tcPr>
    </w:tblStylePr>
  </w:style>
  <w:style w:type="table" w:styleId="HelleListe-Akzent2">
    <w:name w:val="Light List Accent 2"/>
    <w:basedOn w:val="NormaleTabelle"/>
    <w:uiPriority w:val="61"/>
    <w:pPr>
      <w:spacing w:after="0" w:line="240" w:lineRule="auto"/>
    </w:pPr>
    <w:tblPr>
      <w:tblStyleRowBandSize w:val="1"/>
      <w:tblStyleColBandSize w:val="1"/>
      <w:tblBorders>
        <w:top w:val="single" w:sz="8" w:space="0" w:color="D7D7CD" w:themeColor="accent2"/>
        <w:left w:val="single" w:sz="8" w:space="0" w:color="D7D7CD" w:themeColor="accent2"/>
        <w:bottom w:val="single" w:sz="8" w:space="0" w:color="D7D7CD" w:themeColor="accent2"/>
        <w:right w:val="single" w:sz="8" w:space="0" w:color="D7D7CD" w:themeColor="accent2"/>
      </w:tblBorders>
    </w:tblPr>
    <w:tblStylePr w:type="firstRow">
      <w:pPr>
        <w:spacing w:before="0" w:after="0" w:line="240" w:lineRule="auto"/>
      </w:pPr>
      <w:rPr>
        <w:b/>
        <w:bCs/>
        <w:color w:val="FFFFFF" w:themeColor="background1"/>
      </w:rPr>
      <w:tblPr/>
      <w:tcPr>
        <w:shd w:val="clear" w:color="auto" w:fill="D7D7CD" w:themeFill="accent2"/>
      </w:tcPr>
    </w:tblStylePr>
    <w:tblStylePr w:type="lastRow">
      <w:pPr>
        <w:spacing w:before="0" w:after="0" w:line="240" w:lineRule="auto"/>
      </w:pPr>
      <w:rPr>
        <w:b/>
        <w:bCs/>
      </w:rPr>
      <w:tblPr/>
      <w:tcPr>
        <w:tcBorders>
          <w:top w:val="double" w:sz="6" w:space="0" w:color="D7D7CD" w:themeColor="accent2"/>
          <w:left w:val="single" w:sz="8" w:space="0" w:color="D7D7CD" w:themeColor="accent2"/>
          <w:bottom w:val="single" w:sz="8" w:space="0" w:color="D7D7CD" w:themeColor="accent2"/>
          <w:right w:val="single" w:sz="8" w:space="0" w:color="D7D7CD" w:themeColor="accent2"/>
        </w:tcBorders>
      </w:tcPr>
    </w:tblStylePr>
    <w:tblStylePr w:type="firstCol">
      <w:rPr>
        <w:b/>
        <w:bCs/>
      </w:rPr>
    </w:tblStylePr>
    <w:tblStylePr w:type="lastCol">
      <w:rPr>
        <w:b/>
        <w:bCs/>
      </w:rPr>
    </w:tblStylePr>
    <w:tblStylePr w:type="band1Vert">
      <w:tblPr/>
      <w:tcPr>
        <w:tcBorders>
          <w:top w:val="single" w:sz="8" w:space="0" w:color="D7D7CD" w:themeColor="accent2"/>
          <w:left w:val="single" w:sz="8" w:space="0" w:color="D7D7CD" w:themeColor="accent2"/>
          <w:bottom w:val="single" w:sz="8" w:space="0" w:color="D7D7CD" w:themeColor="accent2"/>
          <w:right w:val="single" w:sz="8" w:space="0" w:color="D7D7CD" w:themeColor="accent2"/>
        </w:tcBorders>
      </w:tcPr>
    </w:tblStylePr>
    <w:tblStylePr w:type="band1Horz">
      <w:tblPr/>
      <w:tcPr>
        <w:tcBorders>
          <w:top w:val="single" w:sz="8" w:space="0" w:color="D7D7CD" w:themeColor="accent2"/>
          <w:left w:val="single" w:sz="8" w:space="0" w:color="D7D7CD" w:themeColor="accent2"/>
          <w:bottom w:val="single" w:sz="8" w:space="0" w:color="D7D7CD" w:themeColor="accent2"/>
          <w:right w:val="single" w:sz="8" w:space="0" w:color="D7D7CD" w:themeColor="accent2"/>
        </w:tcBorders>
      </w:tcPr>
    </w:tblStylePr>
  </w:style>
  <w:style w:type="table" w:customStyle="1" w:styleId="Invisible">
    <w:name w:val="Invisible"/>
    <w:basedOn w:val="NormaleTabelle"/>
    <w:uiPriority w:val="99"/>
    <w:pPr>
      <w:spacing w:after="0" w:line="240" w:lineRule="auto"/>
    </w:pPr>
    <w:tblPr>
      <w:tblCellMar>
        <w:left w:w="0" w:type="dxa"/>
        <w:right w:w="0" w:type="dxa"/>
      </w:tblCellMar>
    </w:tblPr>
  </w:style>
  <w:style w:type="character" w:customStyle="1" w:styleId="berschrift5Zchn">
    <w:name w:val="Überschrift 5 Zchn"/>
    <w:basedOn w:val="Absatz-Standardschriftart"/>
    <w:link w:val="berschrift5"/>
    <w:uiPriority w:val="9"/>
    <w:rPr>
      <w:rFonts w:eastAsiaTheme="majorEastAsia" w:cstheme="majorBidi"/>
      <w:b/>
      <w:color w:val="006487" w:themeColor="accent3"/>
      <w:szCs w:val="26"/>
    </w:rPr>
  </w:style>
  <w:style w:type="character" w:customStyle="1" w:styleId="berschrift6Zchn">
    <w:name w:val="Überschrift 6 Zchn"/>
    <w:basedOn w:val="Absatz-Standardschriftart"/>
    <w:link w:val="berschrift6"/>
    <w:uiPriority w:val="9"/>
    <w:rPr>
      <w:rFonts w:eastAsiaTheme="majorEastAsia" w:cstheme="majorBidi"/>
      <w:b/>
      <w:iCs/>
      <w:color w:val="006487" w:themeColor="accent3"/>
      <w:szCs w:val="26"/>
    </w:rPr>
  </w:style>
  <w:style w:type="numbering" w:customStyle="1" w:styleId="Formatvorlage1">
    <w:name w:val="Formatvorlage1"/>
    <w:uiPriority w:val="99"/>
    <w:pPr>
      <w:numPr>
        <w:numId w:val="5"/>
      </w:numPr>
    </w:pPr>
  </w:style>
  <w:style w:type="paragraph" w:styleId="Dokumentstruktur">
    <w:name w:val="Document Map"/>
    <w:basedOn w:val="Standard"/>
    <w:link w:val="DokumentstrukturZchn"/>
    <w:uiPriority w:val="99"/>
    <w:semiHidden/>
    <w:unhideWhenUsed/>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Pr>
      <w:rFonts w:ascii="Tahoma" w:hAnsi="Tahoma" w:cs="Tahoma"/>
      <w:sz w:val="16"/>
      <w:szCs w:val="16"/>
    </w:rPr>
  </w:style>
  <w:style w:type="character" w:styleId="Hyperlink">
    <w:name w:val="Hyperlink"/>
    <w:basedOn w:val="Absatz-Standardschriftart"/>
    <w:uiPriority w:val="99"/>
    <w:unhideWhenUsed/>
    <w:rPr>
      <w:color w:val="0000FF" w:themeColor="hyperlink"/>
      <w:u w:val="single"/>
    </w:rPr>
  </w:style>
  <w:style w:type="paragraph" w:styleId="Funotentext">
    <w:name w:val="footnote text"/>
    <w:basedOn w:val="Standard"/>
    <w:link w:val="FunotentextZchn"/>
    <w:pPr>
      <w:spacing w:after="200" w:line="276" w:lineRule="auto"/>
    </w:pPr>
    <w:rPr>
      <w:sz w:val="22"/>
    </w:rPr>
  </w:style>
  <w:style w:type="character" w:customStyle="1" w:styleId="FunotentextZchn">
    <w:name w:val="Fußnotentext Zchn"/>
    <w:basedOn w:val="Absatz-Standardschriftart"/>
    <w:link w:val="Funotentext"/>
  </w:style>
  <w:style w:type="paragraph" w:customStyle="1" w:styleId="eManualAufzhlunga">
    <w:name w:val="eManual Aufzählung a"/>
    <w:aliases w:val="b"/>
    <w:basedOn w:val="Standard"/>
    <w:uiPriority w:val="99"/>
    <w:pPr>
      <w:numPr>
        <w:numId w:val="6"/>
      </w:numPr>
      <w:spacing w:after="200" w:line="360" w:lineRule="atLeast"/>
      <w:jc w:val="both"/>
    </w:pPr>
    <w:rPr>
      <w:rFonts w:cs="Arial"/>
      <w:sz w:val="22"/>
    </w:rPr>
  </w:style>
  <w:style w:type="character" w:styleId="Funotenzeichen">
    <w:name w:val="footnote reference"/>
    <w:basedOn w:val="Absatz-Standardschriftart"/>
    <w:unhideWhenUsed/>
    <w:rPr>
      <w:vertAlign w:val="superscript"/>
    </w:rPr>
  </w:style>
  <w:style w:type="character" w:customStyle="1" w:styleId="berschrift7Zchn">
    <w:name w:val="Überschrift 7 Zchn"/>
    <w:basedOn w:val="Absatz-Standardschriftart"/>
    <w:link w:val="berschrift7"/>
  </w:style>
  <w:style w:type="character" w:customStyle="1" w:styleId="berschrift8Zchn">
    <w:name w:val="Überschrift 8 Zchn"/>
    <w:basedOn w:val="Absatz-Standardschriftart"/>
    <w:link w:val="berschrift8"/>
    <w:rPr>
      <w:i/>
      <w:iCs/>
      <w:szCs w:val="24"/>
    </w:rPr>
  </w:style>
  <w:style w:type="character" w:customStyle="1" w:styleId="berschrift9Zchn">
    <w:name w:val="Überschrift 9 Zchn"/>
    <w:basedOn w:val="Absatz-Standardschriftart"/>
    <w:link w:val="berschrift9"/>
    <w:rPr>
      <w:rFonts w:cs="Arial"/>
    </w:rPr>
  </w:style>
  <w:style w:type="character" w:styleId="BesuchterLink">
    <w:name w:val="FollowedHyperlink"/>
    <w:basedOn w:val="Absatz-Standardschriftart"/>
    <w:uiPriority w:val="99"/>
    <w:semiHidden/>
    <w:unhideWhenUsed/>
    <w:rPr>
      <w:color w:val="800080" w:themeColor="followedHyperlink"/>
      <w:u w:val="single"/>
    </w:rPr>
  </w:style>
  <w:style w:type="paragraph" w:styleId="StandardWeb">
    <w:name w:val="Normal (Web)"/>
    <w:basedOn w:val="Standard"/>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hyperlink1">
    <w:name w:val="hyperlink1"/>
    <w:basedOn w:val="Absatz-Standardschriftart"/>
    <w:rPr>
      <w:strike w:val="0"/>
      <w:dstrike w:val="0"/>
      <w:color w:val="990000"/>
      <w:u w:val="none"/>
      <w:effect w:val="none"/>
    </w:rPr>
  </w:style>
  <w:style w:type="paragraph" w:customStyle="1" w:styleId="Default">
    <w:name w:val="Default"/>
    <w:pPr>
      <w:autoSpaceDE w:val="0"/>
      <w:autoSpaceDN w:val="0"/>
      <w:adjustRightInd w:val="0"/>
      <w:spacing w:after="0" w:line="240" w:lineRule="auto"/>
    </w:pPr>
    <w:rPr>
      <w:rFonts w:cs="Arial"/>
      <w:color w:val="000000"/>
      <w:sz w:val="24"/>
      <w:szCs w:val="24"/>
    </w:rPr>
  </w:style>
  <w:style w:type="table" w:customStyle="1" w:styleId="HighlightBoxStone351">
    <w:name w:val="Highlight_Box_Stone 35%1"/>
    <w:basedOn w:val="NormaleTabelle"/>
    <w:next w:val="Tabellenraster"/>
    <w:uiPriority w:val="59"/>
    <w:pPr>
      <w:spacing w:after="0" w:line="240" w:lineRule="auto"/>
    </w:pPr>
    <w:rPr>
      <w:color w:val="006487" w:themeColor="accent3"/>
      <w:sz w:val="20"/>
    </w:rPr>
    <w:tblPr>
      <w:tblCellMar>
        <w:top w:w="340" w:type="dxa"/>
        <w:left w:w="340" w:type="dxa"/>
        <w:bottom w:w="227" w:type="dxa"/>
        <w:right w:w="454" w:type="dxa"/>
      </w:tblCellMar>
    </w:tblPr>
    <w:tcPr>
      <w:shd w:val="clear" w:color="auto" w:fill="F2F5F7" w:themeFill="background2" w:themeFillTint="33"/>
    </w:tcPr>
  </w:style>
  <w:style w:type="paragraph" w:customStyle="1" w:styleId="scfbrieftext">
    <w:name w:val="scfbrieftext"/>
    <w:basedOn w:val="Standard"/>
    <w:qFormat/>
    <w:pPr>
      <w:spacing w:after="0" w:line="280" w:lineRule="exact"/>
      <w:ind w:right="567"/>
    </w:pPr>
    <w:rPr>
      <w:rFonts w:eastAsia="Times New Roman" w:cs="Times New Roman"/>
      <w:szCs w:val="20"/>
      <w:lang w:eastAsia="de-DE"/>
    </w:rPr>
  </w:style>
  <w:style w:type="paragraph" w:styleId="Textkrper">
    <w:name w:val="Body Text"/>
    <w:basedOn w:val="Standard"/>
    <w:link w:val="TextkrperZchn"/>
    <w:uiPriority w:val="1"/>
    <w:qFormat/>
    <w:pPr>
      <w:widowControl w:val="0"/>
      <w:spacing w:after="0" w:line="240" w:lineRule="auto"/>
      <w:ind w:left="826"/>
    </w:pPr>
    <w:rPr>
      <w:rFonts w:ascii="Siemens Sans" w:eastAsia="Siemens Sans" w:hAnsi="Siemens Sans"/>
      <w:szCs w:val="20"/>
    </w:rPr>
  </w:style>
  <w:style w:type="character" w:customStyle="1" w:styleId="TextkrperZchn">
    <w:name w:val="Textkörper Zchn"/>
    <w:basedOn w:val="Absatz-Standardschriftart"/>
    <w:link w:val="Textkrper"/>
    <w:uiPriority w:val="1"/>
    <w:rPr>
      <w:rFonts w:ascii="Siemens Sans" w:eastAsia="Siemens Sans" w:hAnsi="Siemens Sans"/>
      <w:sz w:val="20"/>
      <w:szCs w:val="20"/>
    </w:rPr>
  </w:style>
  <w:style w:type="paragraph" w:styleId="Verzeichnis1">
    <w:name w:val="toc 1"/>
    <w:basedOn w:val="Standard"/>
    <w:next w:val="Standard"/>
    <w:autoRedefine/>
    <w:uiPriority w:val="39"/>
    <w:unhideWhenUsed/>
    <w:pPr>
      <w:spacing w:after="100"/>
    </w:pPr>
  </w:style>
  <w:style w:type="paragraph" w:styleId="Verzeichnis2">
    <w:name w:val="toc 2"/>
    <w:basedOn w:val="Standard"/>
    <w:next w:val="Standard"/>
    <w:autoRedefine/>
    <w:uiPriority w:val="39"/>
    <w:unhideWhenUsed/>
    <w:pPr>
      <w:spacing w:after="100"/>
      <w:ind w:left="200"/>
    </w:pPr>
  </w:style>
  <w:style w:type="paragraph" w:styleId="Verzeichnis3">
    <w:name w:val="toc 3"/>
    <w:basedOn w:val="Standard"/>
    <w:next w:val="Standard"/>
    <w:autoRedefine/>
    <w:uiPriority w:val="39"/>
    <w:unhideWhenUsed/>
    <w:pPr>
      <w:spacing w:after="100"/>
      <w:ind w:left="400"/>
    </w:pPr>
  </w:style>
  <w:style w:type="paragraph" w:styleId="Verzeichnis4">
    <w:name w:val="toc 4"/>
    <w:basedOn w:val="Standard"/>
    <w:next w:val="Standard"/>
    <w:autoRedefine/>
    <w:uiPriority w:val="39"/>
    <w:unhideWhenUsed/>
    <w:pPr>
      <w:spacing w:after="100"/>
      <w:ind w:left="600"/>
    </w:pPr>
  </w:style>
  <w:style w:type="paragraph" w:styleId="Verzeichnis5">
    <w:name w:val="toc 5"/>
    <w:basedOn w:val="Standard"/>
    <w:next w:val="Standard"/>
    <w:autoRedefine/>
    <w:uiPriority w:val="39"/>
    <w:unhideWhenUsed/>
    <w:pPr>
      <w:spacing w:after="100"/>
      <w:ind w:left="800"/>
    </w:pPr>
  </w:style>
  <w:style w:type="paragraph" w:styleId="berarbeitung">
    <w:name w:val="Revision"/>
    <w:hidden/>
    <w:uiPriority w:val="99"/>
    <w:semiHidden/>
    <w:rsid w:val="00655F45"/>
    <w:pPr>
      <w:spacing w:after="0" w:line="240" w:lineRule="auto"/>
    </w:pPr>
    <w:rPr>
      <w:sz w:val="20"/>
    </w:rPr>
  </w:style>
  <w:style w:type="character" w:customStyle="1" w:styleId="NichtaufgelsteErwhnung1">
    <w:name w:val="Nicht aufgelöste Erwähnung1"/>
    <w:basedOn w:val="Absatz-Standardschriftart"/>
    <w:uiPriority w:val="99"/>
    <w:semiHidden/>
    <w:unhideWhenUsed/>
    <w:rsid w:val="003B39C6"/>
    <w:rPr>
      <w:color w:val="605E5C"/>
      <w:shd w:val="clear" w:color="auto" w:fill="E1DFDD"/>
    </w:rPr>
  </w:style>
  <w:style w:type="character" w:styleId="NichtaufgelsteErwhnung">
    <w:name w:val="Unresolved Mention"/>
    <w:basedOn w:val="Absatz-Standardschriftart"/>
    <w:uiPriority w:val="99"/>
    <w:semiHidden/>
    <w:unhideWhenUsed/>
    <w:rsid w:val="0014258A"/>
    <w:rPr>
      <w:color w:val="605E5C"/>
      <w:shd w:val="clear" w:color="auto" w:fill="E1DFDD"/>
    </w:rPr>
  </w:style>
  <w:style w:type="paragraph" w:customStyle="1" w:styleId="list-item">
    <w:name w:val="list-item"/>
    <w:basedOn w:val="Standard"/>
    <w:rsid w:val="00C57697"/>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list-text">
    <w:name w:val="list-text"/>
    <w:basedOn w:val="Absatz-Standardschriftart"/>
    <w:rsid w:val="00C57697"/>
  </w:style>
  <w:style w:type="character" w:customStyle="1" w:styleId="obold1">
    <w:name w:val="o_bold1"/>
    <w:basedOn w:val="Absatz-Standardschriftart"/>
    <w:rsid w:val="00C576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447643">
      <w:bodyDiv w:val="1"/>
      <w:marLeft w:val="0"/>
      <w:marRight w:val="0"/>
      <w:marTop w:val="0"/>
      <w:marBottom w:val="0"/>
      <w:divBdr>
        <w:top w:val="none" w:sz="0" w:space="0" w:color="auto"/>
        <w:left w:val="none" w:sz="0" w:space="0" w:color="auto"/>
        <w:bottom w:val="none" w:sz="0" w:space="0" w:color="auto"/>
        <w:right w:val="none" w:sz="0" w:space="0" w:color="auto"/>
      </w:divBdr>
    </w:div>
    <w:div w:id="210266944">
      <w:bodyDiv w:val="1"/>
      <w:marLeft w:val="0"/>
      <w:marRight w:val="0"/>
      <w:marTop w:val="0"/>
      <w:marBottom w:val="0"/>
      <w:divBdr>
        <w:top w:val="none" w:sz="0" w:space="0" w:color="auto"/>
        <w:left w:val="none" w:sz="0" w:space="0" w:color="auto"/>
        <w:bottom w:val="none" w:sz="0" w:space="0" w:color="auto"/>
        <w:right w:val="none" w:sz="0" w:space="0" w:color="auto"/>
      </w:divBdr>
    </w:div>
    <w:div w:id="240414425">
      <w:bodyDiv w:val="1"/>
      <w:marLeft w:val="0"/>
      <w:marRight w:val="0"/>
      <w:marTop w:val="0"/>
      <w:marBottom w:val="0"/>
      <w:divBdr>
        <w:top w:val="none" w:sz="0" w:space="0" w:color="auto"/>
        <w:left w:val="none" w:sz="0" w:space="0" w:color="auto"/>
        <w:bottom w:val="none" w:sz="0" w:space="0" w:color="auto"/>
        <w:right w:val="none" w:sz="0" w:space="0" w:color="auto"/>
      </w:divBdr>
      <w:divsChild>
        <w:div w:id="2035229725">
          <w:marLeft w:val="0"/>
          <w:marRight w:val="0"/>
          <w:marTop w:val="0"/>
          <w:marBottom w:val="0"/>
          <w:divBdr>
            <w:top w:val="none" w:sz="0" w:space="0" w:color="auto"/>
            <w:left w:val="none" w:sz="0" w:space="0" w:color="auto"/>
            <w:bottom w:val="none" w:sz="0" w:space="0" w:color="auto"/>
            <w:right w:val="none" w:sz="0" w:space="0" w:color="auto"/>
          </w:divBdr>
          <w:divsChild>
            <w:div w:id="1054737435">
              <w:marLeft w:val="0"/>
              <w:marRight w:val="0"/>
              <w:marTop w:val="0"/>
              <w:marBottom w:val="0"/>
              <w:divBdr>
                <w:top w:val="none" w:sz="0" w:space="0" w:color="auto"/>
                <w:left w:val="none" w:sz="0" w:space="0" w:color="auto"/>
                <w:bottom w:val="none" w:sz="0" w:space="0" w:color="auto"/>
                <w:right w:val="none" w:sz="0" w:space="0" w:color="auto"/>
              </w:divBdr>
              <w:divsChild>
                <w:div w:id="2056736802">
                  <w:marLeft w:val="2256"/>
                  <w:marRight w:val="2040"/>
                  <w:marTop w:val="0"/>
                  <w:marBottom w:val="0"/>
                  <w:divBdr>
                    <w:top w:val="none" w:sz="0" w:space="0" w:color="auto"/>
                    <w:left w:val="none" w:sz="0" w:space="0" w:color="auto"/>
                    <w:bottom w:val="none" w:sz="0" w:space="0" w:color="auto"/>
                    <w:right w:val="none" w:sz="0" w:space="0" w:color="auto"/>
                  </w:divBdr>
                  <w:divsChild>
                    <w:div w:id="892041608">
                      <w:marLeft w:val="0"/>
                      <w:marRight w:val="0"/>
                      <w:marTop w:val="0"/>
                      <w:marBottom w:val="0"/>
                      <w:divBdr>
                        <w:top w:val="none" w:sz="0" w:space="0" w:color="auto"/>
                        <w:left w:val="none" w:sz="0" w:space="0" w:color="auto"/>
                        <w:bottom w:val="none" w:sz="0" w:space="0" w:color="auto"/>
                        <w:right w:val="none" w:sz="0" w:space="0" w:color="auto"/>
                      </w:divBdr>
                      <w:divsChild>
                        <w:div w:id="1487166322">
                          <w:marLeft w:val="0"/>
                          <w:marRight w:val="0"/>
                          <w:marTop w:val="0"/>
                          <w:marBottom w:val="0"/>
                          <w:divBdr>
                            <w:top w:val="none" w:sz="0" w:space="0" w:color="auto"/>
                            <w:left w:val="none" w:sz="0" w:space="0" w:color="auto"/>
                            <w:bottom w:val="none" w:sz="0" w:space="0" w:color="auto"/>
                            <w:right w:val="none" w:sz="0" w:space="0" w:color="auto"/>
                          </w:divBdr>
                          <w:divsChild>
                            <w:div w:id="654604932">
                              <w:marLeft w:val="0"/>
                              <w:marRight w:val="0"/>
                              <w:marTop w:val="0"/>
                              <w:marBottom w:val="48"/>
                              <w:divBdr>
                                <w:top w:val="single" w:sz="4" w:space="0" w:color="000000"/>
                                <w:left w:val="single" w:sz="4" w:space="0" w:color="000000"/>
                                <w:bottom w:val="single" w:sz="4" w:space="0" w:color="000000"/>
                                <w:right w:val="single" w:sz="4" w:space="0" w:color="000000"/>
                              </w:divBdr>
                            </w:div>
                          </w:divsChild>
                        </w:div>
                      </w:divsChild>
                    </w:div>
                  </w:divsChild>
                </w:div>
              </w:divsChild>
            </w:div>
          </w:divsChild>
        </w:div>
      </w:divsChild>
    </w:div>
    <w:div w:id="273367605">
      <w:bodyDiv w:val="1"/>
      <w:marLeft w:val="0"/>
      <w:marRight w:val="0"/>
      <w:marTop w:val="0"/>
      <w:marBottom w:val="0"/>
      <w:divBdr>
        <w:top w:val="none" w:sz="0" w:space="0" w:color="auto"/>
        <w:left w:val="none" w:sz="0" w:space="0" w:color="auto"/>
        <w:bottom w:val="none" w:sz="0" w:space="0" w:color="auto"/>
        <w:right w:val="none" w:sz="0" w:space="0" w:color="auto"/>
      </w:divBdr>
    </w:div>
    <w:div w:id="397288171">
      <w:bodyDiv w:val="1"/>
      <w:marLeft w:val="0"/>
      <w:marRight w:val="0"/>
      <w:marTop w:val="0"/>
      <w:marBottom w:val="0"/>
      <w:divBdr>
        <w:top w:val="none" w:sz="0" w:space="0" w:color="auto"/>
        <w:left w:val="none" w:sz="0" w:space="0" w:color="auto"/>
        <w:bottom w:val="none" w:sz="0" w:space="0" w:color="auto"/>
        <w:right w:val="none" w:sz="0" w:space="0" w:color="auto"/>
      </w:divBdr>
    </w:div>
    <w:div w:id="442727095">
      <w:bodyDiv w:val="1"/>
      <w:marLeft w:val="0"/>
      <w:marRight w:val="0"/>
      <w:marTop w:val="0"/>
      <w:marBottom w:val="0"/>
      <w:divBdr>
        <w:top w:val="none" w:sz="0" w:space="0" w:color="auto"/>
        <w:left w:val="none" w:sz="0" w:space="0" w:color="auto"/>
        <w:bottom w:val="none" w:sz="0" w:space="0" w:color="auto"/>
        <w:right w:val="none" w:sz="0" w:space="0" w:color="auto"/>
      </w:divBdr>
    </w:div>
    <w:div w:id="479007247">
      <w:bodyDiv w:val="1"/>
      <w:marLeft w:val="0"/>
      <w:marRight w:val="0"/>
      <w:marTop w:val="0"/>
      <w:marBottom w:val="0"/>
      <w:divBdr>
        <w:top w:val="none" w:sz="0" w:space="0" w:color="auto"/>
        <w:left w:val="none" w:sz="0" w:space="0" w:color="auto"/>
        <w:bottom w:val="none" w:sz="0" w:space="0" w:color="auto"/>
        <w:right w:val="none" w:sz="0" w:space="0" w:color="auto"/>
      </w:divBdr>
    </w:div>
    <w:div w:id="569120146">
      <w:bodyDiv w:val="1"/>
      <w:marLeft w:val="0"/>
      <w:marRight w:val="0"/>
      <w:marTop w:val="0"/>
      <w:marBottom w:val="0"/>
      <w:divBdr>
        <w:top w:val="none" w:sz="0" w:space="0" w:color="auto"/>
        <w:left w:val="none" w:sz="0" w:space="0" w:color="auto"/>
        <w:bottom w:val="none" w:sz="0" w:space="0" w:color="auto"/>
        <w:right w:val="none" w:sz="0" w:space="0" w:color="auto"/>
      </w:divBdr>
    </w:div>
    <w:div w:id="571505550">
      <w:bodyDiv w:val="1"/>
      <w:marLeft w:val="0"/>
      <w:marRight w:val="0"/>
      <w:marTop w:val="0"/>
      <w:marBottom w:val="0"/>
      <w:divBdr>
        <w:top w:val="none" w:sz="0" w:space="0" w:color="auto"/>
        <w:left w:val="none" w:sz="0" w:space="0" w:color="auto"/>
        <w:bottom w:val="none" w:sz="0" w:space="0" w:color="auto"/>
        <w:right w:val="none" w:sz="0" w:space="0" w:color="auto"/>
      </w:divBdr>
    </w:div>
    <w:div w:id="594748644">
      <w:bodyDiv w:val="1"/>
      <w:marLeft w:val="0"/>
      <w:marRight w:val="0"/>
      <w:marTop w:val="0"/>
      <w:marBottom w:val="0"/>
      <w:divBdr>
        <w:top w:val="none" w:sz="0" w:space="0" w:color="auto"/>
        <w:left w:val="none" w:sz="0" w:space="0" w:color="auto"/>
        <w:bottom w:val="none" w:sz="0" w:space="0" w:color="auto"/>
        <w:right w:val="none" w:sz="0" w:space="0" w:color="auto"/>
      </w:divBdr>
    </w:div>
    <w:div w:id="826357585">
      <w:bodyDiv w:val="1"/>
      <w:marLeft w:val="0"/>
      <w:marRight w:val="0"/>
      <w:marTop w:val="0"/>
      <w:marBottom w:val="0"/>
      <w:divBdr>
        <w:top w:val="none" w:sz="0" w:space="0" w:color="auto"/>
        <w:left w:val="none" w:sz="0" w:space="0" w:color="auto"/>
        <w:bottom w:val="none" w:sz="0" w:space="0" w:color="auto"/>
        <w:right w:val="none" w:sz="0" w:space="0" w:color="auto"/>
      </w:divBdr>
    </w:div>
    <w:div w:id="858396688">
      <w:bodyDiv w:val="1"/>
      <w:marLeft w:val="0"/>
      <w:marRight w:val="0"/>
      <w:marTop w:val="0"/>
      <w:marBottom w:val="0"/>
      <w:divBdr>
        <w:top w:val="none" w:sz="0" w:space="0" w:color="auto"/>
        <w:left w:val="none" w:sz="0" w:space="0" w:color="auto"/>
        <w:bottom w:val="none" w:sz="0" w:space="0" w:color="auto"/>
        <w:right w:val="none" w:sz="0" w:space="0" w:color="auto"/>
      </w:divBdr>
    </w:div>
    <w:div w:id="897865609">
      <w:bodyDiv w:val="1"/>
      <w:marLeft w:val="0"/>
      <w:marRight w:val="0"/>
      <w:marTop w:val="0"/>
      <w:marBottom w:val="0"/>
      <w:divBdr>
        <w:top w:val="none" w:sz="0" w:space="0" w:color="auto"/>
        <w:left w:val="none" w:sz="0" w:space="0" w:color="auto"/>
        <w:bottom w:val="none" w:sz="0" w:space="0" w:color="auto"/>
        <w:right w:val="none" w:sz="0" w:space="0" w:color="auto"/>
      </w:divBdr>
    </w:div>
    <w:div w:id="995955836">
      <w:bodyDiv w:val="1"/>
      <w:marLeft w:val="0"/>
      <w:marRight w:val="0"/>
      <w:marTop w:val="0"/>
      <w:marBottom w:val="0"/>
      <w:divBdr>
        <w:top w:val="none" w:sz="0" w:space="0" w:color="auto"/>
        <w:left w:val="none" w:sz="0" w:space="0" w:color="auto"/>
        <w:bottom w:val="none" w:sz="0" w:space="0" w:color="auto"/>
        <w:right w:val="none" w:sz="0" w:space="0" w:color="auto"/>
      </w:divBdr>
    </w:div>
    <w:div w:id="1178738425">
      <w:bodyDiv w:val="1"/>
      <w:marLeft w:val="0"/>
      <w:marRight w:val="0"/>
      <w:marTop w:val="0"/>
      <w:marBottom w:val="0"/>
      <w:divBdr>
        <w:top w:val="none" w:sz="0" w:space="0" w:color="auto"/>
        <w:left w:val="none" w:sz="0" w:space="0" w:color="auto"/>
        <w:bottom w:val="none" w:sz="0" w:space="0" w:color="auto"/>
        <w:right w:val="none" w:sz="0" w:space="0" w:color="auto"/>
      </w:divBdr>
    </w:div>
    <w:div w:id="1264148388">
      <w:bodyDiv w:val="1"/>
      <w:marLeft w:val="0"/>
      <w:marRight w:val="0"/>
      <w:marTop w:val="0"/>
      <w:marBottom w:val="0"/>
      <w:divBdr>
        <w:top w:val="none" w:sz="0" w:space="0" w:color="auto"/>
        <w:left w:val="none" w:sz="0" w:space="0" w:color="auto"/>
        <w:bottom w:val="none" w:sz="0" w:space="0" w:color="auto"/>
        <w:right w:val="none" w:sz="0" w:space="0" w:color="auto"/>
      </w:divBdr>
      <w:divsChild>
        <w:div w:id="1591814689">
          <w:marLeft w:val="0"/>
          <w:marRight w:val="0"/>
          <w:marTop w:val="0"/>
          <w:marBottom w:val="0"/>
          <w:divBdr>
            <w:top w:val="none" w:sz="0" w:space="0" w:color="auto"/>
            <w:left w:val="none" w:sz="0" w:space="0" w:color="auto"/>
            <w:bottom w:val="none" w:sz="0" w:space="0" w:color="auto"/>
            <w:right w:val="none" w:sz="0" w:space="0" w:color="auto"/>
          </w:divBdr>
          <w:divsChild>
            <w:div w:id="4870149">
              <w:marLeft w:val="0"/>
              <w:marRight w:val="0"/>
              <w:marTop w:val="0"/>
              <w:marBottom w:val="0"/>
              <w:divBdr>
                <w:top w:val="none" w:sz="0" w:space="0" w:color="auto"/>
                <w:left w:val="none" w:sz="0" w:space="0" w:color="auto"/>
                <w:bottom w:val="none" w:sz="0" w:space="0" w:color="auto"/>
                <w:right w:val="none" w:sz="0" w:space="0" w:color="auto"/>
              </w:divBdr>
              <w:divsChild>
                <w:div w:id="1479758987">
                  <w:marLeft w:val="0"/>
                  <w:marRight w:val="0"/>
                  <w:marTop w:val="0"/>
                  <w:marBottom w:val="0"/>
                  <w:divBdr>
                    <w:top w:val="none" w:sz="0" w:space="0" w:color="auto"/>
                    <w:left w:val="none" w:sz="0" w:space="0" w:color="auto"/>
                    <w:bottom w:val="none" w:sz="0" w:space="0" w:color="auto"/>
                    <w:right w:val="none" w:sz="0" w:space="0" w:color="auto"/>
                  </w:divBdr>
                  <w:divsChild>
                    <w:div w:id="311561713">
                      <w:marLeft w:val="0"/>
                      <w:marRight w:val="0"/>
                      <w:marTop w:val="0"/>
                      <w:marBottom w:val="0"/>
                      <w:divBdr>
                        <w:top w:val="none" w:sz="0" w:space="0" w:color="auto"/>
                        <w:left w:val="none" w:sz="0" w:space="0" w:color="auto"/>
                        <w:bottom w:val="none" w:sz="0" w:space="0" w:color="auto"/>
                        <w:right w:val="none" w:sz="0" w:space="0" w:color="auto"/>
                      </w:divBdr>
                      <w:divsChild>
                        <w:div w:id="2130539652">
                          <w:marLeft w:val="0"/>
                          <w:marRight w:val="0"/>
                          <w:marTop w:val="0"/>
                          <w:marBottom w:val="0"/>
                          <w:divBdr>
                            <w:top w:val="none" w:sz="0" w:space="0" w:color="auto"/>
                            <w:left w:val="none" w:sz="0" w:space="0" w:color="auto"/>
                            <w:bottom w:val="none" w:sz="0" w:space="0" w:color="auto"/>
                            <w:right w:val="none" w:sz="0" w:space="0" w:color="auto"/>
                          </w:divBdr>
                          <w:divsChild>
                            <w:div w:id="543560712">
                              <w:marLeft w:val="0"/>
                              <w:marRight w:val="0"/>
                              <w:marTop w:val="0"/>
                              <w:marBottom w:val="0"/>
                              <w:divBdr>
                                <w:top w:val="none" w:sz="0" w:space="0" w:color="auto"/>
                                <w:left w:val="none" w:sz="0" w:space="0" w:color="auto"/>
                                <w:bottom w:val="none" w:sz="0" w:space="0" w:color="auto"/>
                                <w:right w:val="none" w:sz="0" w:space="0" w:color="auto"/>
                              </w:divBdr>
                              <w:divsChild>
                                <w:div w:id="434789326">
                                  <w:marLeft w:val="0"/>
                                  <w:marRight w:val="0"/>
                                  <w:marTop w:val="0"/>
                                  <w:marBottom w:val="0"/>
                                  <w:divBdr>
                                    <w:top w:val="none" w:sz="0" w:space="0" w:color="auto"/>
                                    <w:left w:val="none" w:sz="0" w:space="0" w:color="auto"/>
                                    <w:bottom w:val="none" w:sz="0" w:space="0" w:color="auto"/>
                                    <w:right w:val="none" w:sz="0" w:space="0" w:color="auto"/>
                                  </w:divBdr>
                                  <w:divsChild>
                                    <w:div w:id="1349866979">
                                      <w:marLeft w:val="0"/>
                                      <w:marRight w:val="0"/>
                                      <w:marTop w:val="0"/>
                                      <w:marBottom w:val="0"/>
                                      <w:divBdr>
                                        <w:top w:val="none" w:sz="0" w:space="0" w:color="auto"/>
                                        <w:left w:val="none" w:sz="0" w:space="0" w:color="auto"/>
                                        <w:bottom w:val="none" w:sz="0" w:space="0" w:color="auto"/>
                                        <w:right w:val="none" w:sz="0" w:space="0" w:color="auto"/>
                                      </w:divBdr>
                                      <w:divsChild>
                                        <w:div w:id="84963581">
                                          <w:marLeft w:val="0"/>
                                          <w:marRight w:val="0"/>
                                          <w:marTop w:val="0"/>
                                          <w:marBottom w:val="0"/>
                                          <w:divBdr>
                                            <w:top w:val="none" w:sz="0" w:space="0" w:color="auto"/>
                                            <w:left w:val="none" w:sz="0" w:space="0" w:color="auto"/>
                                            <w:bottom w:val="none" w:sz="0" w:space="0" w:color="auto"/>
                                            <w:right w:val="none" w:sz="0" w:space="0" w:color="auto"/>
                                          </w:divBdr>
                                          <w:divsChild>
                                            <w:div w:id="586814916">
                                              <w:marLeft w:val="0"/>
                                              <w:marRight w:val="0"/>
                                              <w:marTop w:val="0"/>
                                              <w:marBottom w:val="0"/>
                                              <w:divBdr>
                                                <w:top w:val="none" w:sz="0" w:space="0" w:color="auto"/>
                                                <w:left w:val="none" w:sz="0" w:space="0" w:color="auto"/>
                                                <w:bottom w:val="none" w:sz="0" w:space="0" w:color="auto"/>
                                                <w:right w:val="none" w:sz="0" w:space="0" w:color="auto"/>
                                              </w:divBdr>
                                              <w:divsChild>
                                                <w:div w:id="219247301">
                                                  <w:marLeft w:val="0"/>
                                                  <w:marRight w:val="0"/>
                                                  <w:marTop w:val="0"/>
                                                  <w:marBottom w:val="0"/>
                                                  <w:divBdr>
                                                    <w:top w:val="none" w:sz="0" w:space="0" w:color="auto"/>
                                                    <w:left w:val="none" w:sz="0" w:space="0" w:color="auto"/>
                                                    <w:bottom w:val="none" w:sz="0" w:space="0" w:color="auto"/>
                                                    <w:right w:val="none" w:sz="0" w:space="0" w:color="auto"/>
                                                  </w:divBdr>
                                                  <w:divsChild>
                                                    <w:div w:id="989358721">
                                                      <w:marLeft w:val="0"/>
                                                      <w:marRight w:val="0"/>
                                                      <w:marTop w:val="0"/>
                                                      <w:marBottom w:val="0"/>
                                                      <w:divBdr>
                                                        <w:top w:val="none" w:sz="0" w:space="0" w:color="auto"/>
                                                        <w:left w:val="none" w:sz="0" w:space="0" w:color="auto"/>
                                                        <w:bottom w:val="none" w:sz="0" w:space="0" w:color="auto"/>
                                                        <w:right w:val="none" w:sz="0" w:space="0" w:color="auto"/>
                                                      </w:divBdr>
                                                      <w:divsChild>
                                                        <w:div w:id="1194463785">
                                                          <w:marLeft w:val="0"/>
                                                          <w:marRight w:val="0"/>
                                                          <w:marTop w:val="0"/>
                                                          <w:marBottom w:val="0"/>
                                                          <w:divBdr>
                                                            <w:top w:val="none" w:sz="0" w:space="0" w:color="auto"/>
                                                            <w:left w:val="none" w:sz="0" w:space="0" w:color="auto"/>
                                                            <w:bottom w:val="none" w:sz="0" w:space="0" w:color="auto"/>
                                                            <w:right w:val="none" w:sz="0" w:space="0" w:color="auto"/>
                                                          </w:divBdr>
                                                          <w:divsChild>
                                                            <w:div w:id="966744351">
                                                              <w:marLeft w:val="0"/>
                                                              <w:marRight w:val="0"/>
                                                              <w:marTop w:val="0"/>
                                                              <w:marBottom w:val="0"/>
                                                              <w:divBdr>
                                                                <w:top w:val="none" w:sz="0" w:space="0" w:color="auto"/>
                                                                <w:left w:val="none" w:sz="0" w:space="0" w:color="auto"/>
                                                                <w:bottom w:val="none" w:sz="0" w:space="0" w:color="auto"/>
                                                                <w:right w:val="none" w:sz="0" w:space="0" w:color="auto"/>
                                                              </w:divBdr>
                                                            </w:div>
                                                            <w:div w:id="10006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81457539">
      <w:bodyDiv w:val="1"/>
      <w:marLeft w:val="0"/>
      <w:marRight w:val="0"/>
      <w:marTop w:val="0"/>
      <w:marBottom w:val="0"/>
      <w:divBdr>
        <w:top w:val="none" w:sz="0" w:space="0" w:color="auto"/>
        <w:left w:val="none" w:sz="0" w:space="0" w:color="auto"/>
        <w:bottom w:val="none" w:sz="0" w:space="0" w:color="auto"/>
        <w:right w:val="none" w:sz="0" w:space="0" w:color="auto"/>
      </w:divBdr>
      <w:divsChild>
        <w:div w:id="693503592">
          <w:marLeft w:val="0"/>
          <w:marRight w:val="0"/>
          <w:marTop w:val="100"/>
          <w:marBottom w:val="100"/>
          <w:divBdr>
            <w:top w:val="none" w:sz="0" w:space="0" w:color="auto"/>
            <w:left w:val="none" w:sz="0" w:space="0" w:color="auto"/>
            <w:bottom w:val="none" w:sz="0" w:space="0" w:color="auto"/>
            <w:right w:val="none" w:sz="0" w:space="0" w:color="auto"/>
          </w:divBdr>
          <w:divsChild>
            <w:div w:id="74614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2108">
      <w:bodyDiv w:val="1"/>
      <w:marLeft w:val="0"/>
      <w:marRight w:val="0"/>
      <w:marTop w:val="0"/>
      <w:marBottom w:val="0"/>
      <w:divBdr>
        <w:top w:val="none" w:sz="0" w:space="0" w:color="auto"/>
        <w:left w:val="none" w:sz="0" w:space="0" w:color="auto"/>
        <w:bottom w:val="none" w:sz="0" w:space="0" w:color="auto"/>
        <w:right w:val="none" w:sz="0" w:space="0" w:color="auto"/>
      </w:divBdr>
    </w:div>
    <w:div w:id="1413697503">
      <w:bodyDiv w:val="1"/>
      <w:marLeft w:val="0"/>
      <w:marRight w:val="0"/>
      <w:marTop w:val="0"/>
      <w:marBottom w:val="0"/>
      <w:divBdr>
        <w:top w:val="none" w:sz="0" w:space="0" w:color="auto"/>
        <w:left w:val="none" w:sz="0" w:space="0" w:color="auto"/>
        <w:bottom w:val="none" w:sz="0" w:space="0" w:color="auto"/>
        <w:right w:val="none" w:sz="0" w:space="0" w:color="auto"/>
      </w:divBdr>
      <w:divsChild>
        <w:div w:id="288096352">
          <w:marLeft w:val="0"/>
          <w:marRight w:val="0"/>
          <w:marTop w:val="0"/>
          <w:marBottom w:val="0"/>
          <w:divBdr>
            <w:top w:val="none" w:sz="0" w:space="0" w:color="auto"/>
            <w:left w:val="none" w:sz="0" w:space="0" w:color="auto"/>
            <w:bottom w:val="none" w:sz="0" w:space="0" w:color="auto"/>
            <w:right w:val="none" w:sz="0" w:space="0" w:color="auto"/>
          </w:divBdr>
        </w:div>
        <w:div w:id="2045981922">
          <w:marLeft w:val="0"/>
          <w:marRight w:val="0"/>
          <w:marTop w:val="0"/>
          <w:marBottom w:val="0"/>
          <w:divBdr>
            <w:top w:val="none" w:sz="0" w:space="0" w:color="auto"/>
            <w:left w:val="none" w:sz="0" w:space="0" w:color="auto"/>
            <w:bottom w:val="none" w:sz="0" w:space="0" w:color="auto"/>
            <w:right w:val="none" w:sz="0" w:space="0" w:color="auto"/>
          </w:divBdr>
        </w:div>
        <w:div w:id="1509174414">
          <w:marLeft w:val="0"/>
          <w:marRight w:val="0"/>
          <w:marTop w:val="0"/>
          <w:marBottom w:val="0"/>
          <w:divBdr>
            <w:top w:val="none" w:sz="0" w:space="0" w:color="auto"/>
            <w:left w:val="none" w:sz="0" w:space="0" w:color="auto"/>
            <w:bottom w:val="none" w:sz="0" w:space="0" w:color="auto"/>
            <w:right w:val="none" w:sz="0" w:space="0" w:color="auto"/>
          </w:divBdr>
        </w:div>
      </w:divsChild>
    </w:div>
    <w:div w:id="1462335536">
      <w:bodyDiv w:val="1"/>
      <w:marLeft w:val="0"/>
      <w:marRight w:val="0"/>
      <w:marTop w:val="0"/>
      <w:marBottom w:val="0"/>
      <w:divBdr>
        <w:top w:val="none" w:sz="0" w:space="0" w:color="auto"/>
        <w:left w:val="none" w:sz="0" w:space="0" w:color="auto"/>
        <w:bottom w:val="none" w:sz="0" w:space="0" w:color="auto"/>
        <w:right w:val="none" w:sz="0" w:space="0" w:color="auto"/>
      </w:divBdr>
    </w:div>
    <w:div w:id="1547448681">
      <w:bodyDiv w:val="1"/>
      <w:marLeft w:val="0"/>
      <w:marRight w:val="0"/>
      <w:marTop w:val="0"/>
      <w:marBottom w:val="0"/>
      <w:divBdr>
        <w:top w:val="none" w:sz="0" w:space="0" w:color="auto"/>
        <w:left w:val="none" w:sz="0" w:space="0" w:color="auto"/>
        <w:bottom w:val="none" w:sz="0" w:space="0" w:color="auto"/>
        <w:right w:val="none" w:sz="0" w:space="0" w:color="auto"/>
      </w:divBdr>
    </w:div>
    <w:div w:id="1592541342">
      <w:bodyDiv w:val="1"/>
      <w:marLeft w:val="0"/>
      <w:marRight w:val="0"/>
      <w:marTop w:val="0"/>
      <w:marBottom w:val="0"/>
      <w:divBdr>
        <w:top w:val="none" w:sz="0" w:space="0" w:color="auto"/>
        <w:left w:val="none" w:sz="0" w:space="0" w:color="auto"/>
        <w:bottom w:val="none" w:sz="0" w:space="0" w:color="auto"/>
        <w:right w:val="none" w:sz="0" w:space="0" w:color="auto"/>
      </w:divBdr>
    </w:div>
    <w:div w:id="1725564839">
      <w:bodyDiv w:val="1"/>
      <w:marLeft w:val="0"/>
      <w:marRight w:val="0"/>
      <w:marTop w:val="0"/>
      <w:marBottom w:val="0"/>
      <w:divBdr>
        <w:top w:val="none" w:sz="0" w:space="0" w:color="auto"/>
        <w:left w:val="none" w:sz="0" w:space="0" w:color="auto"/>
        <w:bottom w:val="none" w:sz="0" w:space="0" w:color="auto"/>
        <w:right w:val="none" w:sz="0" w:space="0" w:color="auto"/>
      </w:divBdr>
      <w:divsChild>
        <w:div w:id="1675911890">
          <w:marLeft w:val="562"/>
          <w:marRight w:val="0"/>
          <w:marTop w:val="0"/>
          <w:marBottom w:val="480"/>
          <w:divBdr>
            <w:top w:val="none" w:sz="0" w:space="0" w:color="auto"/>
            <w:left w:val="none" w:sz="0" w:space="0" w:color="auto"/>
            <w:bottom w:val="none" w:sz="0" w:space="0" w:color="auto"/>
            <w:right w:val="none" w:sz="0" w:space="0" w:color="auto"/>
          </w:divBdr>
        </w:div>
        <w:div w:id="788816425">
          <w:marLeft w:val="562"/>
          <w:marRight w:val="0"/>
          <w:marTop w:val="0"/>
          <w:marBottom w:val="480"/>
          <w:divBdr>
            <w:top w:val="none" w:sz="0" w:space="0" w:color="auto"/>
            <w:left w:val="none" w:sz="0" w:space="0" w:color="auto"/>
            <w:bottom w:val="none" w:sz="0" w:space="0" w:color="auto"/>
            <w:right w:val="none" w:sz="0" w:space="0" w:color="auto"/>
          </w:divBdr>
        </w:div>
      </w:divsChild>
    </w:div>
    <w:div w:id="1894464153">
      <w:bodyDiv w:val="1"/>
      <w:marLeft w:val="0"/>
      <w:marRight w:val="0"/>
      <w:marTop w:val="0"/>
      <w:marBottom w:val="0"/>
      <w:divBdr>
        <w:top w:val="none" w:sz="0" w:space="0" w:color="auto"/>
        <w:left w:val="none" w:sz="0" w:space="0" w:color="auto"/>
        <w:bottom w:val="none" w:sz="0" w:space="0" w:color="auto"/>
        <w:right w:val="none" w:sz="0" w:space="0" w:color="auto"/>
      </w:divBdr>
    </w:div>
    <w:div w:id="1978291463">
      <w:bodyDiv w:val="1"/>
      <w:marLeft w:val="0"/>
      <w:marRight w:val="0"/>
      <w:marTop w:val="0"/>
      <w:marBottom w:val="0"/>
      <w:divBdr>
        <w:top w:val="none" w:sz="0" w:space="0" w:color="auto"/>
        <w:left w:val="none" w:sz="0" w:space="0" w:color="auto"/>
        <w:bottom w:val="none" w:sz="0" w:space="0" w:color="auto"/>
        <w:right w:val="none" w:sz="0" w:space="0" w:color="auto"/>
      </w:divBdr>
    </w:div>
    <w:div w:id="1984383511">
      <w:bodyDiv w:val="1"/>
      <w:marLeft w:val="0"/>
      <w:marRight w:val="0"/>
      <w:marTop w:val="0"/>
      <w:marBottom w:val="0"/>
      <w:divBdr>
        <w:top w:val="none" w:sz="0" w:space="0" w:color="auto"/>
        <w:left w:val="none" w:sz="0" w:space="0" w:color="auto"/>
        <w:bottom w:val="none" w:sz="0" w:space="0" w:color="auto"/>
        <w:right w:val="none" w:sz="0" w:space="0" w:color="auto"/>
      </w:divBdr>
      <w:divsChild>
        <w:div w:id="883521747">
          <w:marLeft w:val="0"/>
          <w:marRight w:val="0"/>
          <w:marTop w:val="0"/>
          <w:marBottom w:val="0"/>
          <w:divBdr>
            <w:top w:val="none" w:sz="0" w:space="0" w:color="auto"/>
            <w:left w:val="none" w:sz="0" w:space="0" w:color="auto"/>
            <w:bottom w:val="none" w:sz="0" w:space="0" w:color="auto"/>
            <w:right w:val="none" w:sz="0" w:space="0" w:color="auto"/>
          </w:divBdr>
        </w:div>
        <w:div w:id="2083748792">
          <w:marLeft w:val="0"/>
          <w:marRight w:val="0"/>
          <w:marTop w:val="0"/>
          <w:marBottom w:val="0"/>
          <w:divBdr>
            <w:top w:val="single" w:sz="2" w:space="3" w:color="999999"/>
            <w:left w:val="single" w:sz="6" w:space="0" w:color="999999"/>
            <w:bottom w:val="single" w:sz="2" w:space="3" w:color="999999"/>
            <w:right w:val="single" w:sz="6" w:space="0" w:color="999999"/>
          </w:divBdr>
        </w:div>
      </w:divsChild>
    </w:div>
    <w:div w:id="2083486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ebbooks.siemens.com/public/LC/chen/index.htm?n=General-Introduction,2.-Definitions-and-Abbreviations" TargetMode="External"/><Relationship Id="rId18" Type="http://schemas.openxmlformats.org/officeDocument/2006/relationships/hyperlink" Target="https://circulars.siemens.com/documents/CircularDownload.aspx?ID=SC_186.pdf" TargetMode="External"/><Relationship Id="rId26" Type="http://schemas.openxmlformats.org/officeDocument/2006/relationships/hyperlink" Target="https://findit.compliance.siemens.com/content/10000101/Compliance/CL_CO/CL_CO_AT/findIT_CL_CO_AT_55.pdf" TargetMode="External"/><Relationship Id="rId39" Type="http://schemas.openxmlformats.org/officeDocument/2006/relationships/hyperlink" Target="https://intranet.for.siemens.com/cms/059/en/processes/publications/Pages/compliance_gifts-hospitality.aspx" TargetMode="External"/><Relationship Id="rId3" Type="http://schemas.openxmlformats.org/officeDocument/2006/relationships/customXml" Target="../customXml/item3.xml"/><Relationship Id="rId21" Type="http://schemas.openxmlformats.org/officeDocument/2006/relationships/hyperlink" Target="https://circulars.siemens.com/documents/CircularDownload.aspx?ID=SC_186.pdf" TargetMode="External"/><Relationship Id="rId34" Type="http://schemas.openxmlformats.org/officeDocument/2006/relationships/hyperlink" Target="https://intranet.for.healthineers.siemens.com/wll/0034/Compliance/ASTAR/Pages/Default.aspx" TargetMode="External"/><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yperlink" Target="https://webbooks.siemens.com/public/LC/chen/index.htm?n=General-Introduction,2.-Definitions-and-Abbreviations" TargetMode="External"/><Relationship Id="rId17" Type="http://schemas.openxmlformats.org/officeDocument/2006/relationships/hyperlink" Target="_layouts/15/hypernet/custom/link.aspx?bid=00010023&amp;pt=C._x0020Anti-Money-Laundering" TargetMode="External"/><Relationship Id="rId25" Type="http://schemas.openxmlformats.org/officeDocument/2006/relationships/hyperlink" Target="https://findit.compliance.siemens.com/content/10000101/Compliance/CL_CO/CL_CO_AT/findIT_CL_CO_AT_55.pdf" TargetMode="External"/><Relationship Id="rId33" Type="http://schemas.openxmlformats.org/officeDocument/2006/relationships/hyperlink" Target="https://intranet.legal-compliance.siemens.com/compliance/CountrySpecificLegalRequirements/" TargetMode="External"/><Relationship Id="rId38" Type="http://schemas.openxmlformats.org/officeDocument/2006/relationships/hyperlink" Target="https://intranet.app8.healthcare.siemens.com/HCOMap/" TargetMode="External"/><Relationship Id="rId46"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circulars.siemens.com/content/circulars/ca/_layouts/querplex/circularapplication/documents/CircularDownload.aspx?id=sc_208.pdf" TargetMode="External"/><Relationship Id="rId20" Type="http://schemas.openxmlformats.org/officeDocument/2006/relationships/hyperlink" Target="https://circulars.siemens.com/documents/CircularDownload.aspx?ID=SC_212.pdf" TargetMode="External"/><Relationship Id="rId29" Type="http://schemas.openxmlformats.org/officeDocument/2006/relationships/hyperlink" Target="https://spodom.cf.siemens.de/dms" TargetMode="External"/><Relationship Id="rId41" Type="http://schemas.openxmlformats.org/officeDocument/2006/relationships/hyperlink" Target="https://intranet.for.siemens.com/cms/059/en/about/org/Pages/compliance_organization.asp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ebbooks.siemens.com/public/LC/chen/index.htm?n=General-Introduction,2.-Definitions-and-Abbreviations" TargetMode="External"/><Relationship Id="rId24" Type="http://schemas.openxmlformats.org/officeDocument/2006/relationships/hyperlink" Target="https://webbooks.siemens.com/public/LC/chen/index.htm?n=General-Introduction,2.-Definitions-and-Abbreviations" TargetMode="External"/><Relationship Id="rId32" Type="http://schemas.openxmlformats.org/officeDocument/2006/relationships/hyperlink" Target="https://webbooks.siemens.com/public/LC/chen/index.htm?n=General-Introduction,2.-Definitions-and-Abbreviations" TargetMode="External"/><Relationship Id="rId37" Type="http://schemas.openxmlformats.org/officeDocument/2006/relationships/hyperlink" Target="https://teamspace.healthcare.siemens.com/content/90000170/co/CommunicationsPublic/Compliance-Webbook.pdf" TargetMode="External"/><Relationship Id="rId40" Type="http://schemas.openxmlformats.org/officeDocument/2006/relationships/hyperlink" Target="https://intranet.for.siemens.com/cms/059/en/processes/publications/Pages/compliance_gifts-hospitality.aspx" TargetMode="External"/><Relationship Id="rId45"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webbooks.siemens.com/public/LC/chen/index.htm?n=General-Introduction,2.-Definitions-and-Abbreviations" TargetMode="External"/><Relationship Id="rId23" Type="http://schemas.openxmlformats.org/officeDocument/2006/relationships/hyperlink" Target="https://circulars.siemens.com/documents/CircularDownload.aspx?ID=SC_186.pdf" TargetMode="External"/><Relationship Id="rId28" Type="http://schemas.openxmlformats.org/officeDocument/2006/relationships/hyperlink" Target="https://webbooks.siemens.com/public/LC/chen/index.htm?n=General-Introduction,2.-Definitions-and-Abbreviations" TargetMode="External"/><Relationship Id="rId36" Type="http://schemas.openxmlformats.org/officeDocument/2006/relationships/hyperlink" Target="https://teamspace.healthcare.siemens.com/content/90000170/co/CommunicationsPublic/Compliance-Webbook.pdf" TargetMode="External"/><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circulars.siemens.com/documents/CircularDownload.aspx?ID=SC_186.pdf" TargetMode="External"/><Relationship Id="rId31" Type="http://schemas.openxmlformats.org/officeDocument/2006/relationships/hyperlink" Target="https://circulars.siemens.com/documents/CircularDownload.aspx?ID=SC_186.pdf" TargetMode="External"/><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yperlink" Target="https://webbooks.siemens.com/public/LC/chen/index.htm?n=General-Introduction,2.-Definitions-and-Abbreviations" TargetMode="External"/><Relationship Id="rId27" Type="http://schemas.openxmlformats.org/officeDocument/2006/relationships/hyperlink" Target="https://webbooks.siemens.com/public/LC/chen/index.htm?n=General-Introduction,2.-Definitions-and-Abbreviations" TargetMode="External"/><Relationship Id="rId30" Type="http://schemas.openxmlformats.org/officeDocument/2006/relationships/hyperlink" Target="https://circulars.siemens.com/documents/CircularDownload.aspx?ID=SC_186.pdf" TargetMode="External"/><Relationship Id="rId35" Type="http://schemas.openxmlformats.org/officeDocument/2006/relationships/hyperlink" Target="https://intranet.for.healthineers.siemens.com/wll/0034/Compliance/ASTAR/Pages/Default.aspx" TargetMode="External"/><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webSettings" Target="webSettings.xml"/></Relationships>
</file>

<file path=word/_rels/footnotes.xml.rels><?xml version="1.0" encoding="UTF-8" standalone="yes"?>
<Relationships xmlns="http://schemas.openxmlformats.org/package/2006/relationships"><Relationship Id="rId2" Type="http://schemas.openxmlformats.org/officeDocument/2006/relationships/hyperlink" Target="https://teamspace.healthcare.siemens.com/content/90000170/co/CommunicationsPublic/Compliance-Webbook.pdf" TargetMode="External"/><Relationship Id="rId1" Type="http://schemas.openxmlformats.org/officeDocument/2006/relationships/hyperlink" Target="https://teamspace.healthcare.siemens.com/content/90000170/co/CommunicationsPublic/Compliance-Webbook.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003d9vu\AppData\Local\Microsoft\Windows\Temporary%20Internet%20Files\Content.Outlook\KT277LDL\SCL_140916_Legal_Handbook_Template_Lay07.dotx" TargetMode="External"/></Relationships>
</file>

<file path=word/theme/theme1.xml><?xml version="1.0" encoding="utf-8"?>
<a:theme xmlns:a="http://schemas.openxmlformats.org/drawingml/2006/main" name="SIM_newsletter">
  <a:themeElements>
    <a:clrScheme name="Siemens AG">
      <a:dk1>
        <a:sysClr val="windowText" lastClr="000000"/>
      </a:dk1>
      <a:lt1>
        <a:sysClr val="window" lastClr="FFFFFF"/>
      </a:lt1>
      <a:dk2>
        <a:srgbClr val="879BAA"/>
      </a:dk2>
      <a:lt2>
        <a:srgbClr val="BECDD7"/>
      </a:lt2>
      <a:accent1>
        <a:srgbClr val="AAAA96"/>
      </a:accent1>
      <a:accent2>
        <a:srgbClr val="D7D7CD"/>
      </a:accent2>
      <a:accent3>
        <a:srgbClr val="006487"/>
      </a:accent3>
      <a:accent4>
        <a:srgbClr val="647D2D"/>
      </a:accent4>
      <a:accent5>
        <a:srgbClr val="641946"/>
      </a:accent5>
      <a:accent6>
        <a:srgbClr val="EB780A"/>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Source Library Content Type" ma:contentTypeID="0x010100DA792F68E16F46C1935D46987B61C0F50099EFCC051DBFF746BCEF6C3628588333" ma:contentTypeVersion="3" ma:contentTypeDescription="Source Library Content Type" ma:contentTypeScope="" ma:versionID="52b79649b671b7cf6b980e9492bceffc">
  <xsd:schema xmlns:xsd="http://www.w3.org/2001/XMLSchema" xmlns:xs="http://www.w3.org/2001/XMLSchema" xmlns:p="http://schemas.microsoft.com/office/2006/metadata/properties" xmlns:ns2="91B9760D-53D8-425F-9F7F-8911CF84EED2" xmlns:ns3="91b9760d-53d8-425f-9f7f-8911cf84eed2" xmlns:ns4="6ee1f5f8-4a5f-4619-969f-c34e20667274" targetNamespace="http://schemas.microsoft.com/office/2006/metadata/properties" ma:root="true" ma:fieldsID="ab9dd9530a4bae8b2da3ad282918049b" ns2:_="" ns3:_="" ns4:_="">
    <xsd:import namespace="91B9760D-53D8-425F-9F7F-8911CF84EED2"/>
    <xsd:import namespace="91b9760d-53d8-425f-9f7f-8911cf84eed2"/>
    <xsd:import namespace="6ee1f5f8-4a5f-4619-969f-c34e20667274"/>
    <xsd:element name="properties">
      <xsd:complexType>
        <xsd:sequence>
          <xsd:element name="documentManagement">
            <xsd:complexType>
              <xsd:all>
                <xsd:element ref="ns2:MaintainPublication"/>
                <xsd:element ref="ns3:nb766c42a6d34ad7b224884871f9394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B9760D-53D8-425F-9F7F-8911CF84EED2" elementFormDefault="qualified">
    <xsd:import namespace="http://schemas.microsoft.com/office/2006/documentManagement/types"/>
    <xsd:import namespace="http://schemas.microsoft.com/office/infopath/2007/PartnerControls"/>
    <xsd:element name="MaintainPublication" ma:index="9" ma:displayName="Maintain publication" ma:default="Publish" ma:format="Dropdown" ma:internalName="MaintainPublication">
      <xsd:simpleType>
        <xsd:restriction base="dms:Choice">
          <xsd:enumeration value="Publish"/>
          <xsd:enumeration value="Ignore"/>
          <xsd:enumeration value="Un-publish"/>
        </xsd:restriction>
      </xsd:simpleType>
    </xsd:element>
  </xsd:schema>
  <xsd:schema xmlns:xsd="http://www.w3.org/2001/XMLSchema" xmlns:xs="http://www.w3.org/2001/XMLSchema" xmlns:dms="http://schemas.microsoft.com/office/2006/documentManagement/types" xmlns:pc="http://schemas.microsoft.com/office/infopath/2007/PartnerControls" targetNamespace="91b9760d-53d8-425f-9f7f-8911cf84eed2" elementFormDefault="qualified">
    <xsd:import namespace="http://schemas.microsoft.com/office/2006/documentManagement/types"/>
    <xsd:import namespace="http://schemas.microsoft.com/office/infopath/2007/PartnerControls"/>
    <xsd:element name="nb766c42a6d34ad7b224884871f9394f" ma:index="11" nillable="true" ma:taxonomy="true" ma:internalName="nb766c42a6d34ad7b224884871f9394f" ma:taxonomyFieldName="TOC" ma:displayName="TOC" ma:default="" ma:fieldId="{7b766c42-a6d3-4ad7-b224-884871f9394f}" ma:sspId="407be2cf-81e9-4a29-bb69-6cc8cd970df2" ma:termSetId="fc876880-718d-4551-830e-d86cc8c7db11"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ee1f5f8-4a5f-4619-969f-c34e20667274"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d437966c-1784-403a-a85c-bfb82e633b6a}" ma:internalName="TaxCatchAll" ma:showField="CatchAllData" ma:web="6ee1f5f8-4a5f-4619-969f-c34e2066727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ma:index="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6ee1f5f8-4a5f-4619-969f-c34e20667274">
      <Value>82</Value>
    </TaxCatchAll>
    <MaintainPublication xmlns="91B9760D-53D8-425F-9F7F-8911CF84EED2">Publish</MaintainPublication>
    <nb766c42a6d34ad7b224884871f9394f xmlns="91b9760d-53d8-425f-9f7f-8911cf84eed2">
      <Terms xmlns="http://schemas.microsoft.com/office/infopath/2007/PartnerControls">
        <TermInfo xmlns="http://schemas.microsoft.com/office/infopath/2007/PartnerControls">
          <TermName xmlns="http://schemas.microsoft.com/office/infopath/2007/PartnerControls">A. Anti-Corruption</TermName>
          <TermId xmlns="http://schemas.microsoft.com/office/infopath/2007/PartnerControls">6ca01eac-d1ea-484a-8e00-748d721d9ad0</TermId>
        </TermInfo>
      </Terms>
    </nb766c42a6d34ad7b224884871f9394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E3134C1-3A97-4FA2-81E5-5151AB85CC80}">
  <ds:schemaRefs>
    <ds:schemaRef ds:uri="http://schemas.openxmlformats.org/officeDocument/2006/bibliography"/>
  </ds:schemaRefs>
</ds:datastoreItem>
</file>

<file path=customXml/itemProps2.xml><?xml version="1.0" encoding="utf-8"?>
<ds:datastoreItem xmlns:ds="http://schemas.openxmlformats.org/officeDocument/2006/customXml" ds:itemID="{9AE8DCDF-1EA2-4F63-8C00-602AFA3B78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B9760D-53D8-425F-9F7F-8911CF84EED2"/>
    <ds:schemaRef ds:uri="91b9760d-53d8-425f-9f7f-8911cf84eed2"/>
    <ds:schemaRef ds:uri="6ee1f5f8-4a5f-4619-969f-c34e206672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5C410B-8DA4-4E57-8D14-A0D69B388DE0}">
  <ds:schemaRefs>
    <ds:schemaRef ds:uri="http://schemas.microsoft.com/office/2006/documentManagement/types"/>
    <ds:schemaRef ds:uri="91b9760d-53d8-425f-9f7f-8911cf84eed2"/>
    <ds:schemaRef ds:uri="http://purl.org/dc/dcmitype/"/>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purl.org/dc/terms/"/>
    <ds:schemaRef ds:uri="6ee1f5f8-4a5f-4619-969f-c34e20667274"/>
    <ds:schemaRef ds:uri="91B9760D-53D8-425F-9F7F-8911CF84EED2"/>
    <ds:schemaRef ds:uri="http://www.w3.org/XML/1998/namespace"/>
  </ds:schemaRefs>
</ds:datastoreItem>
</file>

<file path=customXml/itemProps4.xml><?xml version="1.0" encoding="utf-8"?>
<ds:datastoreItem xmlns:ds="http://schemas.openxmlformats.org/officeDocument/2006/customXml" ds:itemID="{0340680D-646E-4F44-BA00-04EB703E5B3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SCL_140916_Legal_Handbook_Template_Lay07.dotx</Template>
  <TotalTime>0</TotalTime>
  <Pages>19</Pages>
  <Words>7142</Words>
  <Characters>44996</Characters>
  <Application>Microsoft Office Word</Application>
  <DocSecurity>0</DocSecurity>
  <Lines>374</Lines>
  <Paragraphs>104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Siemens AG</Company>
  <LinksUpToDate>false</LinksUpToDate>
  <CharactersWithSpaces>52034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Schieber, Franziska</dc:creator>
  <cp:keywords>C_Restricted</cp:keywords>
  <dc:description/>
  <cp:lastModifiedBy>Hamm-Dueppe, Yvonne (LC CO RFC LF)</cp:lastModifiedBy>
  <cp:revision>340</cp:revision>
  <cp:lastPrinted>2018-11-14T10:21:00Z</cp:lastPrinted>
  <dcterms:created xsi:type="dcterms:W3CDTF">2018-05-25T07:06:00Z</dcterms:created>
  <dcterms:modified xsi:type="dcterms:W3CDTF">2021-03-31T06:59:00Z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1024603846</vt:i4>
  </property>
  <property fmtid="{D5CDD505-2E9C-101B-9397-08002B2CF9AE}" pid="3" name="_NewReviewCycle">
    <vt:lpwstr/>
  </property>
  <property fmtid="{D5CDD505-2E9C-101B-9397-08002B2CF9AE}" pid="4" name="_EmailSubject">
    <vt:lpwstr>Compliance Web-book [SIE-LIA.FID4783254]</vt:lpwstr>
  </property>
  <property fmtid="{D5CDD505-2E9C-101B-9397-08002B2CF9AE}" pid="5" name="_AuthorEmail">
    <vt:lpwstr>panagiotis.chalioulias@siemens.com</vt:lpwstr>
  </property>
  <property fmtid="{D5CDD505-2E9C-101B-9397-08002B2CF9AE}" pid="6" name="_AuthorEmailDisplayName">
    <vt:lpwstr>Chalioulias, Panos (LC CO RG CL PL)</vt:lpwstr>
  </property>
  <property fmtid="{D5CDD505-2E9C-101B-9397-08002B2CF9AE}" pid="7" name="_PreviousAdHocReviewCycleID">
    <vt:i4>827501808</vt:i4>
  </property>
  <property fmtid="{D5CDD505-2E9C-101B-9397-08002B2CF9AE}" pid="8" name="ContentTypeId">
    <vt:lpwstr>0x010100DA792F68E16F46C1935D46987B61C0F50099EFCC051DBFF746BCEF6C3628588333</vt:lpwstr>
  </property>
  <property fmtid="{D5CDD505-2E9C-101B-9397-08002B2CF9AE}" pid="9" name="TOC">
    <vt:lpwstr>82;#A. Anti-Corruption|6ca01eac-d1ea-484a-8e00-748d721d9ad0</vt:lpwstr>
  </property>
  <property fmtid="{D5CDD505-2E9C-101B-9397-08002B2CF9AE}" pid="10" name="Document Confidentiality">
    <vt:lpwstr>Restricted</vt:lpwstr>
  </property>
  <property fmtid="{D5CDD505-2E9C-101B-9397-08002B2CF9AE}" pid="11" name="_ReviewingToolsShownOnce">
    <vt:lpwstr/>
  </property>
  <property fmtid="{D5CDD505-2E9C-101B-9397-08002B2CF9AE}" pid="12" name="MSIP_Label_a59b6cd5-d141-4a33-8bf1-0ca04484304f_Enabled">
    <vt:lpwstr>true</vt:lpwstr>
  </property>
  <property fmtid="{D5CDD505-2E9C-101B-9397-08002B2CF9AE}" pid="13" name="MSIP_Label_a59b6cd5-d141-4a33-8bf1-0ca04484304f_SetDate">
    <vt:lpwstr>2021-03-31T06:59:23Z</vt:lpwstr>
  </property>
  <property fmtid="{D5CDD505-2E9C-101B-9397-08002B2CF9AE}" pid="14" name="MSIP_Label_a59b6cd5-d141-4a33-8bf1-0ca04484304f_Method">
    <vt:lpwstr>Standard</vt:lpwstr>
  </property>
  <property fmtid="{D5CDD505-2E9C-101B-9397-08002B2CF9AE}" pid="15" name="MSIP_Label_a59b6cd5-d141-4a33-8bf1-0ca04484304f_Name">
    <vt:lpwstr>restricted-default</vt:lpwstr>
  </property>
  <property fmtid="{D5CDD505-2E9C-101B-9397-08002B2CF9AE}" pid="16" name="MSIP_Label_a59b6cd5-d141-4a33-8bf1-0ca04484304f_SiteId">
    <vt:lpwstr>38ae3bcd-9579-4fd4-adda-b42e1495d55a</vt:lpwstr>
  </property>
  <property fmtid="{D5CDD505-2E9C-101B-9397-08002B2CF9AE}" pid="17" name="MSIP_Label_a59b6cd5-d141-4a33-8bf1-0ca04484304f_ActionId">
    <vt:lpwstr>0afbee39-6e43-4ba3-a12f-59d4e5b66915</vt:lpwstr>
  </property>
  <property fmtid="{D5CDD505-2E9C-101B-9397-08002B2CF9AE}" pid="18" name="MSIP_Label_a59b6cd5-d141-4a33-8bf1-0ca04484304f_ContentBits">
    <vt:lpwstr>0</vt:lpwstr>
  </property>
  <property fmtid="{D5CDD505-2E9C-101B-9397-08002B2CF9AE}" pid="19" name="Document_Confidentiality">
    <vt:lpwstr>Restricted</vt:lpwstr>
  </property>
</Properties>
</file>