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BDFC0" w14:textId="6100D564" w:rsidR="00395F00" w:rsidRDefault="005D4922">
      <w:pPr>
        <w:rPr>
          <w:rFonts w:ascii="Times New Roman" w:hAnsi="Times New Roman" w:cs="Times New Roman"/>
          <w:color w:val="879BAA" w:themeColor="text2"/>
          <w:sz w:val="56"/>
          <w:szCs w:val="56"/>
        </w:rPr>
      </w:pPr>
      <w:r>
        <w:rPr>
          <w:rFonts w:ascii="Times New Roman" w:hAnsi="Times New Roman" w:cs="Times New Roman"/>
          <w:color w:val="879BAA" w:themeColor="text2"/>
          <w:sz w:val="56"/>
          <w:szCs w:val="56"/>
        </w:rPr>
        <w:t>5</w:t>
      </w:r>
      <w:r w:rsidR="00386E14">
        <w:rPr>
          <w:rFonts w:ascii="Times New Roman" w:hAnsi="Times New Roman" w:cs="Times New Roman"/>
          <w:color w:val="879BAA" w:themeColor="text2"/>
          <w:sz w:val="56"/>
          <w:szCs w:val="56"/>
        </w:rPr>
        <w:t>. Conflict of interest</w:t>
      </w:r>
    </w:p>
    <w:p w14:paraId="5AABDFC1" w14:textId="77777777" w:rsidR="00395F00" w:rsidRDefault="00386E14">
      <w:pPr>
        <w:rPr>
          <w:rFonts w:cstheme="minorHAnsi"/>
        </w:rPr>
      </w:pPr>
      <w:r>
        <w:rPr>
          <w:rFonts w:cstheme="minorHAnsi"/>
        </w:rPr>
        <w:t xml:space="preserve">Conflicts of interest can arise in a variety of constellations, when the interests of an individual or of his/her close personal relations diverge from those of the company or organization to which the individual belongs or belonged to. </w:t>
      </w:r>
    </w:p>
    <w:p w14:paraId="5AABDFC2" w14:textId="6B3DE8D7" w:rsidR="00395F00" w:rsidRDefault="00386E14">
      <w:pPr>
        <w:rPr>
          <w:rFonts w:cstheme="minorHAnsi"/>
        </w:rPr>
      </w:pPr>
      <w:r>
        <w:rPr>
          <w:rFonts w:cstheme="minorHAnsi"/>
        </w:rPr>
        <w:t>Conflicts of interest can hinder the success of a company, lead to economic damages and also tarnish the company’s reputation if they become public, for instance, if the conflict of interest leads to uneconomical decisions, if customers get lost because they lose confidence in the integrity of the company or if confidential information is disclosed as a result. In some cases, conflicts of interest might also bear anti-corruption or antitrust risks.</w:t>
      </w:r>
    </w:p>
    <w:p w14:paraId="5AABDFC3" w14:textId="77777777" w:rsidR="00395F00" w:rsidRDefault="00386E14">
      <w:pPr>
        <w:rPr>
          <w:szCs w:val="20"/>
        </w:rPr>
      </w:pPr>
      <w:r>
        <w:rPr>
          <w:szCs w:val="20"/>
        </w:rPr>
        <w:t>To minimize risks related to conflicts of interest, every employee must comply with the following general principles:</w:t>
      </w:r>
    </w:p>
    <w:tbl>
      <w:tblPr>
        <w:tblStyle w:val="Tabellenraster"/>
        <w:tblW w:w="0" w:type="auto"/>
        <w:tblInd w:w="360" w:type="dxa"/>
        <w:tblLook w:val="04A0" w:firstRow="1" w:lastRow="0" w:firstColumn="1" w:lastColumn="0" w:noHBand="0" w:noVBand="1"/>
      </w:tblPr>
      <w:tblGrid>
        <w:gridCol w:w="10186"/>
      </w:tblGrid>
      <w:tr w:rsidR="00395F00" w14:paraId="5AABDFC8" w14:textId="77777777">
        <w:tc>
          <w:tcPr>
            <w:tcW w:w="10225" w:type="dxa"/>
          </w:tcPr>
          <w:p w14:paraId="5AABDFC4" w14:textId="77777777" w:rsidR="00395F00" w:rsidRDefault="00386E14">
            <w:pPr>
              <w:pStyle w:val="HighlightboxGreyBulletpoints"/>
              <w:numPr>
                <w:ilvl w:val="0"/>
                <w:numId w:val="0"/>
              </w:numPr>
              <w:ind w:left="360" w:hanging="360"/>
              <w:rPr>
                <w:rFonts w:cs="Arial"/>
              </w:rPr>
            </w:pPr>
            <w:r>
              <w:rPr>
                <w:rFonts w:cs="Arial"/>
              </w:rPr>
              <w:t>General Principles:</w:t>
            </w:r>
          </w:p>
          <w:p w14:paraId="5AABDFC5" w14:textId="77777777" w:rsidR="00395F00" w:rsidRDefault="00386E14">
            <w:pPr>
              <w:pStyle w:val="HighlightboxGreyBulletpoints"/>
              <w:rPr>
                <w:rFonts w:cs="Arial"/>
                <w:b w:val="0"/>
              </w:rPr>
            </w:pPr>
            <w:r>
              <w:rPr>
                <w:rFonts w:cstheme="minorHAnsi"/>
                <w:b w:val="0"/>
              </w:rPr>
              <w:t xml:space="preserve">Business decisions always </w:t>
            </w:r>
            <w:proofErr w:type="gramStart"/>
            <w:r>
              <w:rPr>
                <w:rFonts w:cstheme="minorHAnsi"/>
                <w:b w:val="0"/>
              </w:rPr>
              <w:t>have to</w:t>
            </w:r>
            <w:proofErr w:type="gramEnd"/>
            <w:r>
              <w:rPr>
                <w:rFonts w:cstheme="minorHAnsi"/>
                <w:b w:val="0"/>
              </w:rPr>
              <w:t xml:space="preserve"> be made </w:t>
            </w:r>
            <w:r>
              <w:rPr>
                <w:rFonts w:cstheme="minorHAnsi"/>
              </w:rPr>
              <w:t>in the best interest of the company</w:t>
            </w:r>
            <w:r>
              <w:rPr>
                <w:rFonts w:cstheme="minorHAnsi"/>
                <w:b w:val="0"/>
              </w:rPr>
              <w:t xml:space="preserve"> and not on the basis of personal interests.</w:t>
            </w:r>
          </w:p>
          <w:p w14:paraId="5AABDFC6" w14:textId="77777777" w:rsidR="00395F00" w:rsidRDefault="00386E14">
            <w:pPr>
              <w:pStyle w:val="HighlightboxGreyBulletpoints"/>
              <w:rPr>
                <w:rFonts w:cs="Arial"/>
                <w:b w:val="0"/>
              </w:rPr>
            </w:pPr>
            <w:r>
              <w:rPr>
                <w:rFonts w:cstheme="minorHAnsi"/>
                <w:b w:val="0"/>
              </w:rPr>
              <w:t xml:space="preserve">Situations, in which the appearance of a conflict of interest may arise, </w:t>
            </w:r>
            <w:proofErr w:type="gramStart"/>
            <w:r>
              <w:rPr>
                <w:rFonts w:cstheme="minorHAnsi"/>
                <w:b w:val="0"/>
              </w:rPr>
              <w:t>have to</w:t>
            </w:r>
            <w:proofErr w:type="gramEnd"/>
            <w:r>
              <w:rPr>
                <w:rFonts w:cstheme="minorHAnsi"/>
                <w:b w:val="0"/>
              </w:rPr>
              <w:t xml:space="preserve"> be anticipated and </w:t>
            </w:r>
            <w:r>
              <w:rPr>
                <w:rFonts w:cstheme="minorHAnsi"/>
              </w:rPr>
              <w:t>avoided</w:t>
            </w:r>
            <w:r>
              <w:rPr>
                <w:rFonts w:cstheme="minorHAnsi"/>
                <w:b w:val="0"/>
              </w:rPr>
              <w:t xml:space="preserve">. </w:t>
            </w:r>
            <w:r>
              <w:rPr>
                <w:b w:val="0"/>
              </w:rPr>
              <w:t>Avoiding a conflict of interest can also mean to abstain from decisions that could be affected by the conflict of interest.</w:t>
            </w:r>
          </w:p>
          <w:p w14:paraId="5AABDFC7" w14:textId="77777777" w:rsidR="00395F00" w:rsidRDefault="00386E14">
            <w:pPr>
              <w:pStyle w:val="HighlightboxGreyBulletpoints"/>
              <w:rPr>
                <w:rFonts w:cs="Arial"/>
                <w:b w:val="0"/>
              </w:rPr>
            </w:pPr>
            <w:r>
              <w:rPr>
                <w:rFonts w:cstheme="minorHAnsi"/>
                <w:b w:val="0"/>
              </w:rPr>
              <w:t xml:space="preserve">Situations, in which the appearance of a conflict of interest may arise, </w:t>
            </w:r>
            <w:proofErr w:type="gramStart"/>
            <w:r>
              <w:rPr>
                <w:b w:val="0"/>
              </w:rPr>
              <w:t>have to</w:t>
            </w:r>
            <w:proofErr w:type="gramEnd"/>
            <w:r>
              <w:rPr>
                <w:b w:val="0"/>
              </w:rPr>
              <w:t xml:space="preserve"> be </w:t>
            </w:r>
            <w:r>
              <w:t>disclosed</w:t>
            </w:r>
            <w:r>
              <w:rPr>
                <w:rStyle w:val="Funotenzeichen"/>
              </w:rPr>
              <w:footnoteReference w:id="2"/>
            </w:r>
            <w:r>
              <w:rPr>
                <w:b w:val="0"/>
              </w:rPr>
              <w:t xml:space="preserve"> to our managers.</w:t>
            </w:r>
          </w:p>
        </w:tc>
      </w:tr>
    </w:tbl>
    <w:p w14:paraId="5AABDFC9" w14:textId="1746C942" w:rsidR="00395F00" w:rsidRDefault="005D4922">
      <w:pPr>
        <w:pStyle w:val="berschrift2"/>
      </w:pPr>
      <w:r>
        <w:t>5</w:t>
      </w:r>
      <w:r w:rsidR="00386E14">
        <w:t>.1. Typical constellations</w:t>
      </w:r>
    </w:p>
    <w:p w14:paraId="5AABDFCA" w14:textId="77777777" w:rsidR="00395F00" w:rsidRDefault="00386E14">
      <w:r>
        <w:t xml:space="preserve">There are typical constellations, in which a conflict of interest may potentially arise. </w:t>
      </w:r>
      <w:proofErr w:type="gramStart"/>
      <w:r>
        <w:t>In particular, such</w:t>
      </w:r>
      <w:proofErr w:type="gramEnd"/>
      <w:r>
        <w:t xml:space="preserve"> a conflict can be caused by: </w:t>
      </w:r>
    </w:p>
    <w:p w14:paraId="5AABDFCB" w14:textId="77777777" w:rsidR="00395F00" w:rsidRDefault="00386E14">
      <w:pPr>
        <w:pStyle w:val="CopyBulletpoints"/>
      </w:pPr>
      <w:r>
        <w:rPr>
          <w:b/>
        </w:rPr>
        <w:t>Direct relationships of Siemens employees or external Business Partners</w:t>
      </w:r>
      <w:r>
        <w:rPr>
          <w:rStyle w:val="Funotenzeichen"/>
          <w:b/>
        </w:rPr>
        <w:footnoteReference w:id="3"/>
      </w:r>
      <w:r>
        <w:t xml:space="preserve">, </w:t>
      </w:r>
    </w:p>
    <w:p w14:paraId="5AABDFCC" w14:textId="77777777" w:rsidR="00395F00" w:rsidRDefault="00386E14">
      <w:pPr>
        <w:pStyle w:val="CopyBulletpoints"/>
        <w:numPr>
          <w:ilvl w:val="0"/>
          <w:numId w:val="0"/>
        </w:numPr>
        <w:ind w:left="360"/>
      </w:pPr>
      <w:r>
        <w:t>i.e. Siemens employees or external Business Partners themselves, personally have:</w:t>
      </w:r>
    </w:p>
    <w:p w14:paraId="5AABDFCD" w14:textId="4CAB9319" w:rsidR="00395F00" w:rsidRDefault="00386E14">
      <w:pPr>
        <w:pStyle w:val="CopyBulletpoints"/>
        <w:numPr>
          <w:ilvl w:val="1"/>
          <w:numId w:val="1"/>
        </w:numPr>
      </w:pPr>
      <w:r>
        <w:t>Personal relations (</w:t>
      </w:r>
      <w:hyperlink w:anchor="_4.1.1._Personal_relations*" w:history="1">
        <w:r>
          <w:rPr>
            <w:rStyle w:val="Hyperlink"/>
          </w:rPr>
          <w:t>A.</w:t>
        </w:r>
        <w:r w:rsidR="00FA1779">
          <w:rPr>
            <w:rStyle w:val="Hyperlink"/>
          </w:rPr>
          <w:t>5</w:t>
        </w:r>
        <w:r>
          <w:rPr>
            <w:rStyle w:val="Hyperlink"/>
          </w:rPr>
          <w:t>.1.1.</w:t>
        </w:r>
      </w:hyperlink>
      <w:r>
        <w:t>).</w:t>
      </w:r>
    </w:p>
    <w:p w14:paraId="5AABDFCE" w14:textId="6F0668B0" w:rsidR="00395F00" w:rsidRDefault="00386E14">
      <w:pPr>
        <w:pStyle w:val="CopyBulletpoints"/>
        <w:numPr>
          <w:ilvl w:val="1"/>
          <w:numId w:val="1"/>
        </w:numPr>
      </w:pPr>
      <w:r>
        <w:t>Secondary/prior/subsequent employment in third party</w:t>
      </w:r>
      <w:r>
        <w:rPr>
          <w:rStyle w:val="Funotenzeichen"/>
        </w:rPr>
        <w:footnoteReference w:id="4"/>
      </w:r>
      <w:r>
        <w:t xml:space="preserve"> companies (</w:t>
      </w:r>
      <w:hyperlink w:anchor="_4.1.4._Employment:_Secondary," w:history="1">
        <w:r>
          <w:rPr>
            <w:rStyle w:val="Hyperlink"/>
          </w:rPr>
          <w:t>A.</w:t>
        </w:r>
        <w:r w:rsidR="00FA1779">
          <w:rPr>
            <w:rStyle w:val="Hyperlink"/>
          </w:rPr>
          <w:t>5</w:t>
        </w:r>
        <w:r>
          <w:rPr>
            <w:rStyle w:val="Hyperlink"/>
          </w:rPr>
          <w:t>.1.4.</w:t>
        </w:r>
      </w:hyperlink>
      <w:r>
        <w:t xml:space="preserve">), </w:t>
      </w:r>
    </w:p>
    <w:p w14:paraId="5AABDFCF" w14:textId="63EB24C4" w:rsidR="00395F00" w:rsidRDefault="00386E14">
      <w:pPr>
        <w:pStyle w:val="CopyBulletpoints"/>
        <w:numPr>
          <w:ilvl w:val="0"/>
          <w:numId w:val="0"/>
        </w:numPr>
        <w:ind w:left="1440" w:firstLine="720"/>
      </w:pPr>
      <w:r>
        <w:t>including job rotation between the public and the private sector (</w:t>
      </w:r>
      <w:hyperlink w:anchor="_4.1.5._Employment:_Job" w:history="1">
        <w:r>
          <w:rPr>
            <w:rStyle w:val="Hyperlink"/>
          </w:rPr>
          <w:t>A.</w:t>
        </w:r>
        <w:r w:rsidR="00FA1779">
          <w:rPr>
            <w:rStyle w:val="Hyperlink"/>
          </w:rPr>
          <w:t>5</w:t>
        </w:r>
        <w:r>
          <w:rPr>
            <w:rStyle w:val="Hyperlink"/>
          </w:rPr>
          <w:t>.1.5.</w:t>
        </w:r>
      </w:hyperlink>
      <w:r>
        <w:t>).</w:t>
      </w:r>
    </w:p>
    <w:p w14:paraId="5AABDFD0" w14:textId="2A9AC7CD" w:rsidR="00395F00" w:rsidRDefault="00386E14">
      <w:pPr>
        <w:pStyle w:val="CopyBulletpoints"/>
        <w:numPr>
          <w:ilvl w:val="1"/>
          <w:numId w:val="1"/>
        </w:numPr>
      </w:pPr>
      <w:r>
        <w:t xml:space="preserve">Competitive interest and/or </w:t>
      </w:r>
      <w:bookmarkStart w:id="0" w:name="_Hlk530409810"/>
      <w:r>
        <w:t>investment in third party companies (</w:t>
      </w:r>
      <w:hyperlink w:anchor="_4.1.2._Relations_to" w:history="1">
        <w:r>
          <w:rPr>
            <w:rStyle w:val="Hyperlink"/>
          </w:rPr>
          <w:t>A.</w:t>
        </w:r>
        <w:r w:rsidR="00FA1779">
          <w:rPr>
            <w:rStyle w:val="Hyperlink"/>
          </w:rPr>
          <w:t>5</w:t>
        </w:r>
        <w:r>
          <w:rPr>
            <w:rStyle w:val="Hyperlink"/>
          </w:rPr>
          <w:t>.1.2.</w:t>
        </w:r>
      </w:hyperlink>
      <w:r>
        <w:t xml:space="preserve"> und </w:t>
      </w:r>
      <w:hyperlink w:anchor="_4.1.3._Relations_to" w:history="1">
        <w:r>
          <w:rPr>
            <w:rStyle w:val="Hyperlink"/>
          </w:rPr>
          <w:t>A.</w:t>
        </w:r>
        <w:r w:rsidR="00FA1779">
          <w:rPr>
            <w:rStyle w:val="Hyperlink"/>
          </w:rPr>
          <w:t>5</w:t>
        </w:r>
        <w:r>
          <w:rPr>
            <w:rStyle w:val="Hyperlink"/>
          </w:rPr>
          <w:t>.1.3.</w:t>
        </w:r>
      </w:hyperlink>
      <w:r>
        <w:t>).</w:t>
      </w:r>
    </w:p>
    <w:p w14:paraId="5AABDFD1" w14:textId="77777777" w:rsidR="00395F00" w:rsidRDefault="00395F00">
      <w:pPr>
        <w:pStyle w:val="CopyBulletpoints"/>
        <w:numPr>
          <w:ilvl w:val="0"/>
          <w:numId w:val="0"/>
        </w:numPr>
      </w:pPr>
    </w:p>
    <w:bookmarkEnd w:id="0"/>
    <w:p w14:paraId="5AABDFD2" w14:textId="77777777" w:rsidR="00395F00" w:rsidRDefault="00386E14">
      <w:pPr>
        <w:pStyle w:val="CopyBulletpoints"/>
        <w:spacing w:before="240" w:after="0"/>
      </w:pPr>
      <w:r>
        <w:rPr>
          <w:b/>
        </w:rPr>
        <w:t>Indirect relationships of Siemens employees or external Business Partners</w:t>
      </w:r>
      <w:r>
        <w:t>,</w:t>
      </w:r>
    </w:p>
    <w:p w14:paraId="5AABDFD3" w14:textId="77777777" w:rsidR="00395F00" w:rsidRDefault="00386E14">
      <w:pPr>
        <w:pStyle w:val="CopyBulletpoints"/>
        <w:numPr>
          <w:ilvl w:val="0"/>
          <w:numId w:val="0"/>
        </w:numPr>
        <w:spacing w:before="240" w:after="0"/>
        <w:ind w:left="360"/>
      </w:pPr>
      <w:r>
        <w:t>i.e. friends and/or family of Siemens employees or external Business Partners have:</w:t>
      </w:r>
    </w:p>
    <w:p w14:paraId="5AABDFD4" w14:textId="04F620F2" w:rsidR="00395F00" w:rsidRDefault="00386E14">
      <w:pPr>
        <w:pStyle w:val="CopyBulletpoints"/>
        <w:numPr>
          <w:ilvl w:val="1"/>
          <w:numId w:val="1"/>
        </w:numPr>
        <w:spacing w:after="0"/>
      </w:pPr>
      <w:r>
        <w:t>Personal relations (</w:t>
      </w:r>
      <w:hyperlink w:anchor="_4.1.1._Personal_relations*" w:history="1">
        <w:r>
          <w:rPr>
            <w:rStyle w:val="Hyperlink"/>
          </w:rPr>
          <w:t>A.</w:t>
        </w:r>
        <w:r w:rsidR="00FA1779">
          <w:rPr>
            <w:rStyle w:val="Hyperlink"/>
          </w:rPr>
          <w:t>5</w:t>
        </w:r>
        <w:r>
          <w:rPr>
            <w:rStyle w:val="Hyperlink"/>
          </w:rPr>
          <w:t>.1.1.</w:t>
        </w:r>
      </w:hyperlink>
      <w:r>
        <w:t>).</w:t>
      </w:r>
    </w:p>
    <w:p w14:paraId="5AABDFD5" w14:textId="715A937E" w:rsidR="00395F00" w:rsidRDefault="00386E14">
      <w:pPr>
        <w:numPr>
          <w:ilvl w:val="1"/>
          <w:numId w:val="1"/>
        </w:numPr>
        <w:spacing w:after="0"/>
        <w:contextualSpacing/>
        <w:rPr>
          <w:lang w:val="en-GB"/>
        </w:rPr>
      </w:pPr>
      <w:r>
        <w:rPr>
          <w:lang w:val="en-GB"/>
        </w:rPr>
        <w:lastRenderedPageBreak/>
        <w:t>Employment in third party companies (</w:t>
      </w:r>
      <w:hyperlink w:anchor="_4.1.4._Employment:_Secondary," w:history="1">
        <w:r>
          <w:rPr>
            <w:rStyle w:val="Hyperlink"/>
          </w:rPr>
          <w:t>A.</w:t>
        </w:r>
        <w:r w:rsidR="00FA1779">
          <w:rPr>
            <w:rStyle w:val="Hyperlink"/>
            <w:lang w:val="en-GB"/>
          </w:rPr>
          <w:t>5</w:t>
        </w:r>
        <w:r>
          <w:rPr>
            <w:rStyle w:val="Hyperlink"/>
            <w:lang w:val="en-GB"/>
          </w:rPr>
          <w:t>.1.4</w:t>
        </w:r>
      </w:hyperlink>
      <w:r>
        <w:rPr>
          <w:lang w:val="en-GB"/>
        </w:rPr>
        <w:t>).</w:t>
      </w:r>
    </w:p>
    <w:p w14:paraId="5AABDFD6" w14:textId="3908BC3A" w:rsidR="00395F00" w:rsidRDefault="00386E14">
      <w:pPr>
        <w:pStyle w:val="CopyBulletpoints"/>
        <w:numPr>
          <w:ilvl w:val="1"/>
          <w:numId w:val="1"/>
        </w:numPr>
      </w:pPr>
      <w:r>
        <w:t>Competitive interest and/or investment in third party companies (</w:t>
      </w:r>
      <w:hyperlink w:anchor="_4.1.2._Relations_to" w:history="1">
        <w:r>
          <w:rPr>
            <w:rStyle w:val="Hyperlink"/>
          </w:rPr>
          <w:t>A.</w:t>
        </w:r>
        <w:r w:rsidR="00FA1779">
          <w:rPr>
            <w:rStyle w:val="Hyperlink"/>
          </w:rPr>
          <w:t>5</w:t>
        </w:r>
        <w:r>
          <w:rPr>
            <w:rStyle w:val="Hyperlink"/>
          </w:rPr>
          <w:t>.1.2.</w:t>
        </w:r>
      </w:hyperlink>
      <w:r>
        <w:t xml:space="preserve"> und </w:t>
      </w:r>
      <w:hyperlink w:anchor="_4.1.3._Relations_to" w:history="1">
        <w:r>
          <w:rPr>
            <w:rStyle w:val="Hyperlink"/>
          </w:rPr>
          <w:t>A.</w:t>
        </w:r>
        <w:r w:rsidR="00FA1779">
          <w:rPr>
            <w:rStyle w:val="Hyperlink"/>
          </w:rPr>
          <w:t>5</w:t>
        </w:r>
        <w:r>
          <w:rPr>
            <w:rStyle w:val="Hyperlink"/>
          </w:rPr>
          <w:t>.1.3.</w:t>
        </w:r>
      </w:hyperlink>
      <w:r>
        <w:t>).</w:t>
      </w:r>
    </w:p>
    <w:p w14:paraId="5AABDFD7" w14:textId="77777777" w:rsidR="00395F00" w:rsidRDefault="00395F00">
      <w:pPr>
        <w:spacing w:after="240"/>
        <w:ind w:left="2160"/>
        <w:contextualSpacing/>
        <w:rPr>
          <w:lang w:val="en-GB"/>
        </w:rPr>
      </w:pPr>
    </w:p>
    <w:p w14:paraId="5AABDFD8" w14:textId="77777777" w:rsidR="00395F00" w:rsidRDefault="00386E14">
      <w:r>
        <w:t>By its nature, a conflict of interest may potentially arise not only to the detriment of Siemens but also for the benefit of Siemens. In both cases, the same rules apply.</w:t>
      </w:r>
    </w:p>
    <w:p w14:paraId="5AABDFD9" w14:textId="77777777" w:rsidR="00395F00" w:rsidRDefault="00386E14">
      <w:r>
        <w:t xml:space="preserve">In any case, especially if in doubt, please involve Compliance as early as possible. </w:t>
      </w:r>
    </w:p>
    <w:p w14:paraId="5AABDFDA" w14:textId="77777777" w:rsidR="00395F00" w:rsidRDefault="00395F00"/>
    <w:p w14:paraId="5AABDFDB" w14:textId="77777777" w:rsidR="00395F00" w:rsidRDefault="00386E14">
      <w:r>
        <w:rPr>
          <w:noProof/>
        </w:rPr>
        <w:drawing>
          <wp:inline distT="0" distB="0" distL="0" distR="0" wp14:anchorId="5AABE06B" wp14:editId="5AABE06C">
            <wp:extent cx="6839194" cy="40227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9674" cy="4028889"/>
                    </a:xfrm>
                    <a:prstGeom prst="rect">
                      <a:avLst/>
                    </a:prstGeom>
                  </pic:spPr>
                </pic:pic>
              </a:graphicData>
            </a:graphic>
          </wp:inline>
        </w:drawing>
      </w:r>
      <w:r>
        <w:rPr>
          <w:noProof/>
        </w:rPr>
        <w:t xml:space="preserve"> </w:t>
      </w:r>
      <w:r>
        <w:rPr>
          <w:rStyle w:val="Funotenzeichen"/>
          <w:noProof/>
        </w:rPr>
        <w:footnoteReference w:id="5"/>
      </w:r>
    </w:p>
    <w:p w14:paraId="5AABDFDC" w14:textId="42A8770A" w:rsidR="00395F00" w:rsidRDefault="005D4922">
      <w:pPr>
        <w:pStyle w:val="berschrift3"/>
      </w:pPr>
      <w:bookmarkStart w:id="1" w:name="_4.1.1._Personal_relations*"/>
      <w:bookmarkEnd w:id="1"/>
      <w:r>
        <w:t>5</w:t>
      </w:r>
      <w:r w:rsidR="00386E14">
        <w:t>.1.1. Personal relations</w:t>
      </w:r>
    </w:p>
    <w:p w14:paraId="5AABDFDD" w14:textId="77777777" w:rsidR="00395F00" w:rsidRDefault="00386E14">
      <w:pPr>
        <w:rPr>
          <w:rFonts w:cstheme="minorHAnsi"/>
        </w:rPr>
      </w:pPr>
      <w:r>
        <w:rPr>
          <w:rFonts w:cstheme="minorHAnsi"/>
        </w:rPr>
        <w:t xml:space="preserve">Close relations can lead to a conflict of </w:t>
      </w:r>
      <w:proofErr w:type="gramStart"/>
      <w:r>
        <w:rPr>
          <w:rFonts w:cstheme="minorHAnsi"/>
        </w:rPr>
        <w:t>interest, if</w:t>
      </w:r>
      <w:proofErr w:type="gramEnd"/>
      <w:r>
        <w:rPr>
          <w:rFonts w:cstheme="minorHAnsi"/>
        </w:rPr>
        <w:t xml:space="preserve"> business decisions are made on the basis of personal interests as a result.</w:t>
      </w:r>
    </w:p>
    <w:p w14:paraId="5AABDFDE" w14:textId="77777777" w:rsidR="00395F00" w:rsidRDefault="00386E14">
      <w:pPr>
        <w:rPr>
          <w:rFonts w:cstheme="minorHAnsi"/>
        </w:rPr>
      </w:pPr>
      <w:r>
        <w:rPr>
          <w:rFonts w:cstheme="minorHAnsi"/>
        </w:rPr>
        <w:t>Typical examples:</w:t>
      </w:r>
    </w:p>
    <w:p w14:paraId="5AABDFDF" w14:textId="77777777" w:rsidR="00395F00" w:rsidRDefault="00386E14">
      <w:pPr>
        <w:pStyle w:val="CopyBulletpoints"/>
      </w:pPr>
      <w:r>
        <w:t xml:space="preserve">There is an intimate relationship between an employee and a </w:t>
      </w:r>
      <w:proofErr w:type="gramStart"/>
      <w:r>
        <w:t>manager</w:t>
      </w:r>
      <w:proofErr w:type="gramEnd"/>
      <w:r>
        <w:t xml:space="preserve"> and the manager grants an undue advantage to the employee due to the personal relationship. In this case, the manager is obliged to disclose the conflict of interest at an early stage and to eliminate it by e.g. changing the reporting relationships.</w:t>
      </w:r>
    </w:p>
    <w:p w14:paraId="5AABDFE0" w14:textId="77777777" w:rsidR="00395F00" w:rsidRDefault="00386E14">
      <w:pPr>
        <w:pStyle w:val="CopyBulletpoints"/>
        <w:rPr>
          <w:rFonts w:cs="Arial"/>
        </w:rPr>
      </w:pPr>
      <w:r>
        <w:rPr>
          <w:rFonts w:cs="Arial"/>
        </w:rPr>
        <w:lastRenderedPageBreak/>
        <w:t xml:space="preserve">There is a recommendation of a good friend for a job at Siemens or that the Siemens employee concludes a contract with a specific supplier, in whose company a close relative or good friend of the Siemens employee works. </w:t>
      </w:r>
    </w:p>
    <w:p w14:paraId="5AABDFE1" w14:textId="77777777" w:rsidR="00395F00" w:rsidRDefault="00386E14">
      <w:proofErr w:type="gramStart"/>
      <w:r>
        <w:t>Both of the examples</w:t>
      </w:r>
      <w:proofErr w:type="gramEnd"/>
      <w:r>
        <w:t xml:space="preserve"> and similar situations can be solved by creating transparency. </w:t>
      </w:r>
    </w:p>
    <w:p w14:paraId="5AABDFE2" w14:textId="77777777" w:rsidR="00395F00" w:rsidRDefault="00386E14">
      <w:pPr>
        <w:rPr>
          <w:rFonts w:cstheme="minorHAnsi"/>
          <w:i/>
        </w:rPr>
      </w:pPr>
      <w:r>
        <w:rPr>
          <w:rFonts w:cstheme="minorHAnsi"/>
        </w:rPr>
        <w:t>We must adhere to the following:</w:t>
      </w:r>
    </w:p>
    <w:p w14:paraId="5AABDFE3" w14:textId="77777777" w:rsidR="00395F00" w:rsidRDefault="00386E14">
      <w:pPr>
        <w:pStyle w:val="CopyBulletpoints"/>
      </w:pPr>
      <w:r>
        <w:t xml:space="preserve">We have to inform the HR department and follow the regular processes without offering exceptions </w:t>
      </w:r>
      <w:proofErr w:type="gramStart"/>
      <w:r>
        <w:t>what so ever</w:t>
      </w:r>
      <w:proofErr w:type="gramEnd"/>
      <w:r>
        <w:t>.</w:t>
      </w:r>
    </w:p>
    <w:p w14:paraId="5AABDFE4" w14:textId="53EB81BD" w:rsidR="00395F00" w:rsidRDefault="005D4922">
      <w:pPr>
        <w:pStyle w:val="berschrift3"/>
      </w:pPr>
      <w:bookmarkStart w:id="2" w:name="_4.1.2._Relations_to"/>
      <w:bookmarkEnd w:id="2"/>
      <w:r>
        <w:t>5</w:t>
      </w:r>
      <w:r w:rsidR="00386E14">
        <w:t>.1.2. Relations to third-party companies: Competition with Siemens</w:t>
      </w:r>
    </w:p>
    <w:p w14:paraId="5AABDFE5" w14:textId="209437EF" w:rsidR="00395F00" w:rsidRDefault="00386E14">
      <w:pPr>
        <w:rPr>
          <w:rFonts w:cstheme="minorHAnsi"/>
        </w:rPr>
      </w:pPr>
      <w:r>
        <w:rPr>
          <w:rFonts w:cstheme="minorHAnsi"/>
        </w:rPr>
        <w:t xml:space="preserve">A conflict of interest may also arise in business relationships with or through investments in a competitor or customer of Siemens. See also </w:t>
      </w:r>
      <w:hyperlink w:anchor="_4.1.3._Relations_to" w:history="1">
        <w:r>
          <w:rPr>
            <w:rStyle w:val="Hyperlink"/>
            <w:rFonts w:cstheme="minorHAnsi"/>
          </w:rPr>
          <w:t>A.</w:t>
        </w:r>
        <w:r w:rsidR="00FA1779">
          <w:rPr>
            <w:rStyle w:val="Hyperlink"/>
            <w:rFonts w:cstheme="minorHAnsi"/>
          </w:rPr>
          <w:t>5</w:t>
        </w:r>
        <w:r>
          <w:rPr>
            <w:rStyle w:val="Hyperlink"/>
            <w:rFonts w:cstheme="minorHAnsi"/>
          </w:rPr>
          <w:t>.1.3.</w:t>
        </w:r>
      </w:hyperlink>
      <w:r>
        <w:rPr>
          <w:rFonts w:cstheme="minorHAnsi"/>
        </w:rPr>
        <w:t xml:space="preserve"> and </w:t>
      </w:r>
      <w:hyperlink w:anchor="_4.1.4._Employment:_Secondary," w:history="1">
        <w:r>
          <w:rPr>
            <w:rStyle w:val="Hyperlink"/>
            <w:rFonts w:cstheme="minorHAnsi"/>
          </w:rPr>
          <w:t>A.</w:t>
        </w:r>
        <w:r w:rsidR="00FA1779">
          <w:rPr>
            <w:rStyle w:val="Hyperlink"/>
            <w:rFonts w:cstheme="minorHAnsi"/>
          </w:rPr>
          <w:t>5</w:t>
        </w:r>
        <w:r>
          <w:rPr>
            <w:rStyle w:val="Hyperlink"/>
            <w:rFonts w:cstheme="minorHAnsi"/>
          </w:rPr>
          <w:t>.1.4</w:t>
        </w:r>
      </w:hyperlink>
      <w:r>
        <w:rPr>
          <w:rFonts w:cstheme="minorHAnsi"/>
        </w:rPr>
        <w:t>.</w:t>
      </w:r>
    </w:p>
    <w:p w14:paraId="5AABDFE6" w14:textId="77777777" w:rsidR="00395F00" w:rsidRDefault="00386E14">
      <w:pPr>
        <w:rPr>
          <w:rFonts w:cstheme="minorHAnsi"/>
        </w:rPr>
      </w:pPr>
      <w:r>
        <w:rPr>
          <w:rFonts w:cstheme="minorHAnsi"/>
        </w:rPr>
        <w:t>Typical examples:</w:t>
      </w:r>
    </w:p>
    <w:p w14:paraId="5AABDFE7" w14:textId="77777777" w:rsidR="00395F00" w:rsidRDefault="00386E14">
      <w:pPr>
        <w:pStyle w:val="CopyBulletpoints"/>
      </w:pPr>
      <w:r>
        <w:t xml:space="preserve">The employee also works for or advises a competitor of Siemens. </w:t>
      </w:r>
    </w:p>
    <w:p w14:paraId="5AABDFE8" w14:textId="77777777" w:rsidR="00395F00" w:rsidRDefault="00386E14">
      <w:pPr>
        <w:pStyle w:val="CopyBulletpoints"/>
      </w:pPr>
      <w:r>
        <w:t xml:space="preserve">The employee himself competes directly with Siemens (by offering products that Siemens sells). </w:t>
      </w:r>
    </w:p>
    <w:p w14:paraId="5AABDFE9" w14:textId="77777777" w:rsidR="00395F00" w:rsidRDefault="00386E14">
      <w:pPr>
        <w:pStyle w:val="CopyBulletpoints"/>
      </w:pPr>
      <w:r>
        <w:t xml:space="preserve">There are personal or family ties to competitors. </w:t>
      </w:r>
    </w:p>
    <w:p w14:paraId="5AABDFEA" w14:textId="77777777" w:rsidR="00395F00" w:rsidRDefault="00386E14">
      <w:pPr>
        <w:rPr>
          <w:i/>
        </w:rPr>
      </w:pPr>
      <w:r>
        <w:t>We must adhere to the following:</w:t>
      </w:r>
    </w:p>
    <w:p w14:paraId="5AABDFEB" w14:textId="77777777" w:rsidR="00395F00" w:rsidRDefault="00386E14">
      <w:pPr>
        <w:pStyle w:val="CopyBulletpoints"/>
      </w:pPr>
      <w:r>
        <w:t>We do not operate or work for a company that competes with Siemens.</w:t>
      </w:r>
    </w:p>
    <w:p w14:paraId="5AABDFEC" w14:textId="77777777" w:rsidR="00395F00" w:rsidRDefault="00386E14">
      <w:pPr>
        <w:pStyle w:val="CopyBulletpoints"/>
      </w:pPr>
      <w:r>
        <w:t xml:space="preserve">We do not engage in any activity that competes with Siemens. </w:t>
      </w:r>
    </w:p>
    <w:p w14:paraId="5AABDFED" w14:textId="0CDD17F7" w:rsidR="00395F00" w:rsidRDefault="005D4922">
      <w:pPr>
        <w:pStyle w:val="berschrift3"/>
      </w:pPr>
      <w:bookmarkStart w:id="3" w:name="_4.1.3._Relations_to"/>
      <w:bookmarkStart w:id="4" w:name="_Toc526418218"/>
      <w:bookmarkEnd w:id="3"/>
      <w:r>
        <w:t>5</w:t>
      </w:r>
      <w:r w:rsidR="00386E14">
        <w:t>.1.3. Relations to third-party companies: Investment</w:t>
      </w:r>
      <w:bookmarkEnd w:id="4"/>
    </w:p>
    <w:p w14:paraId="5AABDFEE" w14:textId="77777777" w:rsidR="00395F00" w:rsidRDefault="00386E14">
      <w:pPr>
        <w:rPr>
          <w:rFonts w:cs="Arial"/>
          <w:szCs w:val="20"/>
        </w:rPr>
      </w:pPr>
      <w:r>
        <w:rPr>
          <w:rFonts w:cstheme="minorHAnsi"/>
        </w:rPr>
        <w:t>Conflicts of interest can also arise in the case of direct or indirect investments in third-party companies or other forms of influence on a company.</w:t>
      </w:r>
    </w:p>
    <w:p w14:paraId="5AABDFEF" w14:textId="77777777" w:rsidR="00395F00" w:rsidRDefault="00386E14">
      <w:pPr>
        <w:pStyle w:val="KeinAbsatzformat"/>
        <w:spacing w:after="120"/>
        <w:rPr>
          <w:rFonts w:cs="Arial"/>
          <w:szCs w:val="20"/>
          <w:lang w:val="en-US"/>
        </w:rPr>
      </w:pPr>
      <w:r>
        <w:rPr>
          <w:rFonts w:ascii="Arial" w:hAnsi="Arial" w:cs="Arial"/>
          <w:sz w:val="20"/>
          <w:szCs w:val="20"/>
          <w:lang w:val="en-US"/>
        </w:rPr>
        <w:t xml:space="preserve">For </w:t>
      </w:r>
      <w:r>
        <w:rPr>
          <w:rFonts w:ascii="Arial" w:hAnsi="Arial" w:cs="Arial"/>
          <w:b/>
          <w:sz w:val="20"/>
          <w:szCs w:val="20"/>
          <w:lang w:val="en-US"/>
        </w:rPr>
        <w:t>Business partners</w:t>
      </w:r>
      <w:r>
        <w:rPr>
          <w:rFonts w:ascii="Arial" w:hAnsi="Arial" w:cs="Arial"/>
          <w:sz w:val="20"/>
          <w:szCs w:val="20"/>
          <w:lang w:val="en-US"/>
        </w:rPr>
        <w:t xml:space="preserve"> of Siemens that only applies if Siemens is engaged in business with the respective company or has a mandate there. In the case of investments in publicly traded companies, this only applies if the investment exceeds three percent of the total capital.</w:t>
      </w:r>
    </w:p>
    <w:p w14:paraId="5AABDFF0" w14:textId="77777777" w:rsidR="00395F00" w:rsidRDefault="00386E14">
      <w:pPr>
        <w:pStyle w:val="KeinAbsatzformat"/>
        <w:spacing w:after="120"/>
        <w:rPr>
          <w:rFonts w:ascii="Arial" w:hAnsi="Arial" w:cs="Arial"/>
          <w:sz w:val="20"/>
          <w:szCs w:val="20"/>
          <w:lang w:val="en-US"/>
        </w:rPr>
      </w:pPr>
      <w:r>
        <w:rPr>
          <w:rFonts w:ascii="Arial" w:hAnsi="Arial" w:cs="Arial"/>
          <w:sz w:val="20"/>
          <w:szCs w:val="20"/>
          <w:lang w:val="en-US"/>
        </w:rPr>
        <w:t xml:space="preserve">For </w:t>
      </w:r>
      <w:r>
        <w:rPr>
          <w:rFonts w:ascii="Arial" w:hAnsi="Arial" w:cs="Arial"/>
          <w:b/>
          <w:sz w:val="20"/>
          <w:szCs w:val="20"/>
          <w:lang w:val="en-US"/>
        </w:rPr>
        <w:t>competitors</w:t>
      </w:r>
      <w:r>
        <w:rPr>
          <w:rFonts w:ascii="Arial" w:hAnsi="Arial" w:cs="Arial"/>
          <w:sz w:val="20"/>
          <w:szCs w:val="20"/>
          <w:lang w:val="en-US"/>
        </w:rPr>
        <w:t xml:space="preserve"> the above applies if the management of the competitor can be influenced through the investment. This can be assumed if the interest exceeds three percent of the total capital of this company.</w:t>
      </w:r>
    </w:p>
    <w:p w14:paraId="5AABDFF1" w14:textId="77777777" w:rsidR="00395F00" w:rsidRDefault="00386E14">
      <w:pPr>
        <w:rPr>
          <w:rFonts w:cstheme="minorHAnsi"/>
        </w:rPr>
      </w:pPr>
      <w:r>
        <w:rPr>
          <w:rFonts w:cstheme="minorHAnsi"/>
        </w:rPr>
        <w:t>A conflict of interest may also arise in business relationships with or through investments in a competitor or customer of Siemens.</w:t>
      </w:r>
    </w:p>
    <w:p w14:paraId="5AABDFF2" w14:textId="77777777" w:rsidR="00395F00" w:rsidRDefault="00386E14">
      <w:pPr>
        <w:rPr>
          <w:rFonts w:cstheme="minorHAnsi"/>
        </w:rPr>
      </w:pPr>
      <w:r>
        <w:rPr>
          <w:rFonts w:cstheme="minorHAnsi"/>
        </w:rPr>
        <w:t xml:space="preserve">Typical examples:  </w:t>
      </w:r>
    </w:p>
    <w:p w14:paraId="5AABDFF3" w14:textId="77777777" w:rsidR="00395F00" w:rsidRDefault="00386E14">
      <w:pPr>
        <w:pStyle w:val="CopyBulletpoints"/>
      </w:pPr>
      <w:r>
        <w:t xml:space="preserve">The employee also works for or advises a competitor of Siemens. </w:t>
      </w:r>
    </w:p>
    <w:p w14:paraId="5AABDFF4" w14:textId="77777777" w:rsidR="00395F00" w:rsidRDefault="00386E14">
      <w:pPr>
        <w:pStyle w:val="CopyBulletpoints"/>
      </w:pPr>
      <w:r>
        <w:t xml:space="preserve">The employee himself offers products that Siemens sells. </w:t>
      </w:r>
    </w:p>
    <w:p w14:paraId="5AABDFF5" w14:textId="77777777" w:rsidR="00395F00" w:rsidRDefault="00386E14">
      <w:pPr>
        <w:pStyle w:val="CopyBulletpoints"/>
      </w:pPr>
      <w:r>
        <w:t xml:space="preserve">There are personal or family ties to competitors. </w:t>
      </w:r>
    </w:p>
    <w:p w14:paraId="5AABDFF6" w14:textId="77777777" w:rsidR="00395F00" w:rsidRDefault="00386E14">
      <w:pPr>
        <w:pStyle w:val="CopyBulletpoints"/>
      </w:pPr>
      <w:r>
        <w:t>the offer of a seat on the supervisory board of another organization. The third-party company might be a Business Partner or a competitor of Siemens. These activities require Siemens’ approval.</w:t>
      </w:r>
    </w:p>
    <w:p w14:paraId="5AABDFF7" w14:textId="77777777" w:rsidR="00395F00" w:rsidRDefault="00386E14">
      <w:pPr>
        <w:rPr>
          <w:rFonts w:cstheme="minorHAnsi"/>
          <w:i/>
        </w:rPr>
      </w:pPr>
      <w:r>
        <w:rPr>
          <w:rFonts w:cstheme="minorHAnsi"/>
        </w:rPr>
        <w:t>We must adhere to the following:</w:t>
      </w:r>
    </w:p>
    <w:p w14:paraId="5AABDFF8" w14:textId="77777777" w:rsidR="00395F00" w:rsidRDefault="00386E14">
      <w:pPr>
        <w:pStyle w:val="CopyBulletpoints"/>
      </w:pPr>
      <w:r>
        <w:t>We inform the Human Resources department in writing of any direct or indirect investment in companies:</w:t>
      </w:r>
    </w:p>
    <w:p w14:paraId="5AABDFF9" w14:textId="77777777" w:rsidR="00395F00" w:rsidRDefault="00386E14">
      <w:pPr>
        <w:pStyle w:val="CopyBulletpoints"/>
        <w:numPr>
          <w:ilvl w:val="1"/>
          <w:numId w:val="1"/>
        </w:numPr>
        <w:ind w:left="709"/>
      </w:pPr>
      <w:r>
        <w:lastRenderedPageBreak/>
        <w:t>That are business partners of Siemens if We are engaged in business with the company or have a board or management role in the company. With respect to publicly traded companies, this only applies if the investment exceeds three percent of the total capital.</w:t>
      </w:r>
    </w:p>
    <w:p w14:paraId="5AABDFFA" w14:textId="77777777" w:rsidR="00395F00" w:rsidRDefault="00386E14">
      <w:pPr>
        <w:pStyle w:val="CopyBulletpoints"/>
        <w:numPr>
          <w:ilvl w:val="1"/>
          <w:numId w:val="1"/>
        </w:numPr>
        <w:ind w:left="709"/>
      </w:pPr>
      <w:r>
        <w:t>That compete with our company if We can influence the management of the competitor through this investment. This is presumed if the interest exceeds three percent of the total capital of the company.</w:t>
      </w:r>
    </w:p>
    <w:p w14:paraId="5AABDFFB" w14:textId="16BE88A0" w:rsidR="00395F00" w:rsidRDefault="005D4922">
      <w:pPr>
        <w:pStyle w:val="berschrift3"/>
      </w:pPr>
      <w:bookmarkStart w:id="5" w:name="_4.1.4._Employment:_Secondary,"/>
      <w:bookmarkEnd w:id="5"/>
      <w:r>
        <w:t>5</w:t>
      </w:r>
      <w:r w:rsidR="00386E14">
        <w:t xml:space="preserve">.1.4. Employment: Secondary, </w:t>
      </w:r>
      <w:proofErr w:type="gramStart"/>
      <w:r w:rsidR="00386E14">
        <w:t>prior</w:t>
      </w:r>
      <w:proofErr w:type="gramEnd"/>
      <w:r w:rsidR="00386E14">
        <w:t xml:space="preserve"> or subsequent employment</w:t>
      </w:r>
    </w:p>
    <w:p w14:paraId="5AABDFFC" w14:textId="77777777" w:rsidR="00395F00" w:rsidRDefault="00386E14">
      <w:pPr>
        <w:rPr>
          <w:rFonts w:cstheme="minorHAnsi"/>
        </w:rPr>
      </w:pPr>
      <w:r>
        <w:rPr>
          <w:rFonts w:cstheme="minorHAnsi"/>
        </w:rPr>
        <w:t xml:space="preserve">A conflict may arise in the performance of secondary activities or employment, which prevent the employee from properly performing his duties at Siemens. </w:t>
      </w:r>
    </w:p>
    <w:p w14:paraId="5AABDFFD" w14:textId="77777777" w:rsidR="00395F00" w:rsidRDefault="00386E14">
      <w:pPr>
        <w:rPr>
          <w:rFonts w:cstheme="minorHAnsi"/>
        </w:rPr>
      </w:pPr>
      <w:r>
        <w:rPr>
          <w:rFonts w:cstheme="minorHAnsi"/>
        </w:rPr>
        <w:t xml:space="preserve">Secondary employment can only be prohibited, and previously granted permission only be revoked, if it leads to an impairment of the employee’s work performance, interferes with his or her duties within the company, or if there is a risk of a conflict of interest. Occasional writing, lecturing, and similar activities, and temporary seasonal or clerical work are not regarded as secondary employment. </w:t>
      </w:r>
    </w:p>
    <w:p w14:paraId="5AABDFFE" w14:textId="77777777" w:rsidR="00395F00" w:rsidRDefault="00386E14">
      <w:pPr>
        <w:rPr>
          <w:rFonts w:cstheme="minorHAnsi"/>
        </w:rPr>
      </w:pPr>
      <w:r>
        <w:rPr>
          <w:rFonts w:cstheme="minorHAnsi"/>
        </w:rPr>
        <w:t>Typical examples:</w:t>
      </w:r>
    </w:p>
    <w:p w14:paraId="5AABDFFF" w14:textId="77777777" w:rsidR="00395F00" w:rsidRDefault="00386E14">
      <w:pPr>
        <w:pStyle w:val="CopyBulletpoints"/>
      </w:pPr>
      <w:r>
        <w:t xml:space="preserve">The employee could have an accident at work due to being overtired and exhausted by his secondary employment. Therefore, such a secondary employment must be approved by Siemens. </w:t>
      </w:r>
    </w:p>
    <w:p w14:paraId="5AABE000" w14:textId="77777777" w:rsidR="00395F00" w:rsidRDefault="00386E14">
      <w:pPr>
        <w:pStyle w:val="CopyBulletpoints"/>
        <w:numPr>
          <w:ilvl w:val="0"/>
          <w:numId w:val="0"/>
        </w:numPr>
        <w:ind w:left="360"/>
      </w:pPr>
      <w:r>
        <w:t xml:space="preserve">But: Only occasional writing activities, lectures, and similar occasional activities as well as temporary work are </w:t>
      </w:r>
      <w:r>
        <w:rPr>
          <w:u w:val="single"/>
        </w:rPr>
        <w:t>not</w:t>
      </w:r>
      <w:r>
        <w:t xml:space="preserve"> regarded as secondary employment.</w:t>
      </w:r>
    </w:p>
    <w:p w14:paraId="5AABE001" w14:textId="77777777" w:rsidR="00395F00" w:rsidRDefault="00386E14">
      <w:pPr>
        <w:pStyle w:val="CopyBulletpoints"/>
      </w:pPr>
      <w:r>
        <w:t>A prior or subsequent employment on the other hand can for example lead to the disclosure of confidential information or business secrets, if the employee does not handle the situation with care.</w:t>
      </w:r>
    </w:p>
    <w:p w14:paraId="5AABE002" w14:textId="77777777" w:rsidR="00395F00" w:rsidRDefault="00386E14">
      <w:pPr>
        <w:rPr>
          <w:rFonts w:cstheme="minorHAnsi"/>
          <w:i/>
        </w:rPr>
      </w:pPr>
      <w:r>
        <w:rPr>
          <w:rFonts w:cstheme="minorHAnsi"/>
        </w:rPr>
        <w:t>We must adhere to the following:</w:t>
      </w:r>
    </w:p>
    <w:p w14:paraId="5AABE003" w14:textId="77777777" w:rsidR="00395F00" w:rsidRDefault="00386E14">
      <w:pPr>
        <w:pStyle w:val="CopyBulletpoints"/>
      </w:pPr>
      <w:r>
        <w:t xml:space="preserve">Before we engage in paid secondary employment, we consult with our managers. </w:t>
      </w:r>
    </w:p>
    <w:p w14:paraId="5AABE004" w14:textId="77777777" w:rsidR="00395F00" w:rsidRDefault="00386E14">
      <w:pPr>
        <w:pStyle w:val="CopyBulletpoints"/>
      </w:pPr>
      <w:r>
        <w:t>We inform the HR department in writing that we would like to take up paid secondary employment and will only do so after obtaining written consent.</w:t>
      </w:r>
    </w:p>
    <w:p w14:paraId="5AABE005" w14:textId="268C1527" w:rsidR="00395F00" w:rsidRDefault="005D4922">
      <w:pPr>
        <w:pStyle w:val="berschrift3"/>
        <w:rPr>
          <w:iCs/>
        </w:rPr>
      </w:pPr>
      <w:bookmarkStart w:id="6" w:name="_4.1.5._Employment:_Job"/>
      <w:bookmarkEnd w:id="6"/>
      <w:r>
        <w:t>5</w:t>
      </w:r>
      <w:r w:rsidR="00386E14">
        <w:t>.1.5. Employment: Job rotation public/private sector</w:t>
      </w:r>
    </w:p>
    <w:p w14:paraId="5AABE006" w14:textId="77777777" w:rsidR="00395F00" w:rsidRDefault="00386E14">
      <w:pPr>
        <w:rPr>
          <w:rFonts w:cstheme="minorHAnsi"/>
        </w:rPr>
      </w:pPr>
      <w:r>
        <w:rPr>
          <w:rFonts w:cstheme="minorHAnsi"/>
        </w:rPr>
        <w:t>A conflict of interest can also arise if employees of a company switch to the public sector or vice versa.</w:t>
      </w:r>
      <w:r>
        <w:t xml:space="preserve"> </w:t>
      </w:r>
      <w:r>
        <w:rPr>
          <w:rFonts w:cstheme="minorHAnsi"/>
        </w:rPr>
        <w:t xml:space="preserve">The fast or repeated change between the public service (politics/ ministries) and the private sector may </w:t>
      </w:r>
      <w:proofErr w:type="gramStart"/>
      <w:r>
        <w:rPr>
          <w:rFonts w:cstheme="minorHAnsi"/>
        </w:rPr>
        <w:t>in particular lead</w:t>
      </w:r>
      <w:proofErr w:type="gramEnd"/>
      <w:r>
        <w:rPr>
          <w:rFonts w:cstheme="minorHAnsi"/>
        </w:rPr>
        <w:t xml:space="preserve"> to conflicts of interest, e.g. to influence on the legislation through the use of insider knowledge and acquired contacts.</w:t>
      </w:r>
    </w:p>
    <w:p w14:paraId="5AABE007" w14:textId="77777777" w:rsidR="00395F00" w:rsidRDefault="00386E14">
      <w:pPr>
        <w:spacing w:line="276" w:lineRule="auto"/>
        <w:jc w:val="both"/>
        <w:rPr>
          <w:shd w:val="clear" w:color="auto" w:fill="FFFFFF"/>
        </w:rPr>
      </w:pPr>
      <w:r>
        <w:rPr>
          <w:shd w:val="clear" w:color="auto" w:fill="FFFFFF"/>
        </w:rPr>
        <w:t xml:space="preserve">"Waiting periods", i.e. a waiting period between the change of positions, are intended to remedy this situation. In this context, the so-called </w:t>
      </w:r>
      <w:proofErr w:type="spellStart"/>
      <w:r>
        <w:rPr>
          <w:shd w:val="clear" w:color="auto" w:fill="FFFFFF"/>
        </w:rPr>
        <w:t>Karenzzeitengesetz</w:t>
      </w:r>
      <w:proofErr w:type="spellEnd"/>
      <w:r>
        <w:rPr>
          <w:shd w:val="clear" w:color="auto" w:fill="FFFFFF"/>
        </w:rPr>
        <w:t xml:space="preserve"> (“waiting period act”) has been introduced in Germany in 2015, but other countries also have corresponding laws and regulations.</w:t>
      </w:r>
    </w:p>
    <w:p w14:paraId="5AABE008" w14:textId="77777777" w:rsidR="00395F00" w:rsidRDefault="00386E14">
      <w:pPr>
        <w:spacing w:line="276" w:lineRule="auto"/>
        <w:jc w:val="both"/>
        <w:rPr>
          <w:shd w:val="clear" w:color="auto" w:fill="FFFFFF"/>
        </w:rPr>
      </w:pPr>
      <w:r>
        <w:rPr>
          <w:shd w:val="clear" w:color="auto" w:fill="FFFFFF"/>
        </w:rPr>
        <w:t xml:space="preserve">For Siemens employees but also for Siemens itself, different risks may arise in connection with the change of public servants to the private sector and vice versa. Thereby it makes no difference whether Siemens employees move to the public sector or vice versa or whether they do so temporarily as part of exchange programs or for an indefinite </w:t>
      </w:r>
      <w:proofErr w:type="gramStart"/>
      <w:r>
        <w:rPr>
          <w:shd w:val="clear" w:color="auto" w:fill="FFFFFF"/>
        </w:rPr>
        <w:t>period of time</w:t>
      </w:r>
      <w:proofErr w:type="gramEnd"/>
      <w:r>
        <w:rPr>
          <w:shd w:val="clear" w:color="auto" w:fill="FFFFFF"/>
        </w:rPr>
        <w:t xml:space="preserve">. </w:t>
      </w:r>
    </w:p>
    <w:p w14:paraId="5AABE009" w14:textId="77777777" w:rsidR="00395F00" w:rsidRDefault="00386E14">
      <w:pPr>
        <w:spacing w:line="276" w:lineRule="auto"/>
        <w:jc w:val="both"/>
        <w:rPr>
          <w:rFonts w:cstheme="minorHAnsi"/>
          <w:i/>
        </w:rPr>
      </w:pPr>
      <w:r>
        <w:rPr>
          <w:rFonts w:cstheme="minorHAnsi"/>
        </w:rPr>
        <w:t>We must adhere to the following:</w:t>
      </w:r>
    </w:p>
    <w:p w14:paraId="5AABE00A" w14:textId="77777777" w:rsidR="00395F00" w:rsidRDefault="00386E14">
      <w:pPr>
        <w:pStyle w:val="CopyBulletpoints"/>
      </w:pPr>
      <w:r>
        <w:t xml:space="preserve">Thorough subject and environment check (previous activity - planned position) especially of former or current contacts to Siemens (e.g. in the context of award procedures) </w:t>
      </w:r>
      <w:proofErr w:type="gramStart"/>
      <w:r>
        <w:t>in order to</w:t>
      </w:r>
      <w:proofErr w:type="gramEnd"/>
      <w:r>
        <w:t xml:space="preserve"> avoid conflicts of interest. </w:t>
      </w:r>
    </w:p>
    <w:p w14:paraId="5AABE00B" w14:textId="77777777" w:rsidR="00395F00" w:rsidRDefault="00386E14">
      <w:pPr>
        <w:pStyle w:val="CopyBulletpoints"/>
      </w:pPr>
      <w:r>
        <w:t xml:space="preserve">Transparent selection process. </w:t>
      </w:r>
    </w:p>
    <w:p w14:paraId="5AABE00C" w14:textId="77777777" w:rsidR="00395F00" w:rsidRDefault="00386E14">
      <w:pPr>
        <w:pStyle w:val="CopyBulletpoints"/>
      </w:pPr>
      <w:r>
        <w:lastRenderedPageBreak/>
        <w:t xml:space="preserve">Clear and transparent documentation of the secondment. </w:t>
      </w:r>
    </w:p>
    <w:p w14:paraId="5AABE00D" w14:textId="77777777" w:rsidR="00395F00" w:rsidRDefault="00386E14">
      <w:pPr>
        <w:pStyle w:val="CopyBulletpoints"/>
      </w:pPr>
      <w:r>
        <w:t>Examination and maintenance of legal requirements (e.g. Sec. 105 Federal Civil Servants Act (</w:t>
      </w:r>
      <w:proofErr w:type="spellStart"/>
      <w:r>
        <w:t>Bundesbeamtengesetz</w:t>
      </w:r>
      <w:proofErr w:type="spellEnd"/>
      <w:r>
        <w:t>), laws on waiting periods, etc.); in this respect, if necessary, also obtain a confirmation that the hiring does not conflict with statutory, contractual or other legal obstacles and waiting period regulations from the previous function.</w:t>
      </w:r>
    </w:p>
    <w:p w14:paraId="5AABE00E" w14:textId="77777777" w:rsidR="00395F00" w:rsidRDefault="00386E14">
      <w:pPr>
        <w:autoSpaceDE w:val="0"/>
        <w:autoSpaceDN w:val="0"/>
        <w:adjustRightInd w:val="0"/>
        <w:spacing w:after="120" w:line="240" w:lineRule="auto"/>
        <w:rPr>
          <w:rFonts w:cs="Arial"/>
          <w:color w:val="000000"/>
          <w:szCs w:val="24"/>
        </w:rPr>
      </w:pPr>
      <w:r>
        <w:rPr>
          <w:rFonts w:cs="Arial"/>
          <w:color w:val="000000"/>
          <w:szCs w:val="24"/>
        </w:rPr>
        <w:t>The following measures should be taken:</w:t>
      </w:r>
    </w:p>
    <w:p w14:paraId="5AABE00F" w14:textId="77777777" w:rsidR="00395F00" w:rsidRDefault="00386E14">
      <w:pPr>
        <w:pStyle w:val="CopyBulletpoints"/>
      </w:pPr>
      <w:r>
        <w:t xml:space="preserve">If necessary, implementation of further internal security measures (e.g. circular). </w:t>
      </w:r>
    </w:p>
    <w:p w14:paraId="5AABE010" w14:textId="77777777" w:rsidR="00395F00" w:rsidRDefault="00386E14">
      <w:pPr>
        <w:pStyle w:val="CopyBulletpoints"/>
      </w:pPr>
      <w:r>
        <w:t>Limitation of secondment time (generally up to six months; in justified individual cases prolongation possible).</w:t>
      </w:r>
    </w:p>
    <w:p w14:paraId="5AABE011" w14:textId="77777777" w:rsidR="00395F00" w:rsidRDefault="00386E14">
      <w:pPr>
        <w:pStyle w:val="CopyBulletpoints"/>
      </w:pPr>
      <w:r>
        <w:t xml:space="preserve">No assignment to drafting bills, to executive functions or to those with final decision-making authority, to the awarding of public contracts and to functions whose exercise directly affects the specific business interests of the sending office. </w:t>
      </w:r>
    </w:p>
    <w:p w14:paraId="5AABE012" w14:textId="77777777" w:rsidR="00395F00" w:rsidRDefault="00386E14">
      <w:pPr>
        <w:pStyle w:val="CopyBulletpoints"/>
      </w:pPr>
      <w:r>
        <w:t xml:space="preserve">For inquiries on lobbying topics, the Siemens communication principles must be observed. </w:t>
      </w:r>
    </w:p>
    <w:p w14:paraId="5AABE013" w14:textId="162414F5" w:rsidR="00395F00" w:rsidRDefault="00386E14">
      <w:pPr>
        <w:rPr>
          <w:rFonts w:cstheme="minorHAnsi"/>
        </w:rPr>
      </w:pPr>
      <w:r>
        <w:rPr>
          <w:rFonts w:cstheme="minorHAnsi"/>
        </w:rPr>
        <w:t xml:space="preserve">Therefore, always involve GM and </w:t>
      </w:r>
      <w:r w:rsidR="00E37729">
        <w:rPr>
          <w:rFonts w:cstheme="minorHAnsi"/>
        </w:rPr>
        <w:t>CM</w:t>
      </w:r>
      <w:r>
        <w:rPr>
          <w:rFonts w:cstheme="minorHAnsi"/>
        </w:rPr>
        <w:t xml:space="preserve">, respectively, and please coordinate potential reactions with GM GA EU and LC C GF. </w:t>
      </w:r>
    </w:p>
    <w:p w14:paraId="5AABE014" w14:textId="46FCC748" w:rsidR="00395F00" w:rsidRDefault="00386E14">
      <w:r>
        <w:t xml:space="preserve">In case of doubt please refer to your Compliance Officer or to Compliance Legal (LC CO RFC LF). </w:t>
      </w:r>
    </w:p>
    <w:p w14:paraId="5AABE015" w14:textId="713295DA" w:rsidR="00395F00" w:rsidRDefault="00FA1779">
      <w:pPr>
        <w:pStyle w:val="berschrift4"/>
      </w:pPr>
      <w:r>
        <w:t>5</w:t>
      </w:r>
      <w:r w:rsidR="00386E14">
        <w:t>.1.5.1 Specific legislation – Germany</w:t>
      </w:r>
    </w:p>
    <w:p w14:paraId="5AABE016" w14:textId="77777777" w:rsidR="00395F00" w:rsidRDefault="00386E14">
      <w:pPr>
        <w:pStyle w:val="Untertitel"/>
        <w:rPr>
          <w:b w:val="0"/>
        </w:rPr>
      </w:pPr>
      <w:proofErr w:type="spellStart"/>
      <w:r>
        <w:t>Karenzzeitengesetz</w:t>
      </w:r>
      <w:proofErr w:type="spellEnd"/>
      <w:r>
        <w:t>:</w:t>
      </w:r>
    </w:p>
    <w:p w14:paraId="5AABE017" w14:textId="77777777" w:rsidR="00395F00" w:rsidRDefault="00386E14">
      <w:pPr>
        <w:pStyle w:val="CopyBulletpoints"/>
      </w:pPr>
      <w:r>
        <w:t xml:space="preserve">Waiting period for retiring members of the Federal Government as well as for parliament state secretaries to prevent conflicts of interest between the public service contract and employment after office. </w:t>
      </w:r>
    </w:p>
    <w:p w14:paraId="5AABE018" w14:textId="77777777" w:rsidR="00395F00" w:rsidRDefault="00386E14">
      <w:pPr>
        <w:pStyle w:val="CopyBulletpoints"/>
      </w:pPr>
      <w:r>
        <w:t xml:space="preserve">Obligation to notify the Federal Government or its responsible member in the event of the intention to take up employment outside the public sector within the first 18 months after leaving office. </w:t>
      </w:r>
    </w:p>
    <w:p w14:paraId="5AABE019" w14:textId="77777777" w:rsidR="00395F00" w:rsidRDefault="00386E14">
      <w:pPr>
        <w:pStyle w:val="CopyBulletpoints"/>
      </w:pPr>
      <w:r>
        <w:t xml:space="preserve">Possibility of prohibiting intended employment in case of possible interference with public interests. </w:t>
      </w:r>
    </w:p>
    <w:p w14:paraId="5AABE01A" w14:textId="77777777" w:rsidR="00395F00" w:rsidRDefault="00386E14">
      <w:pPr>
        <w:pStyle w:val="CopyBulletpoints"/>
      </w:pPr>
      <w:r>
        <w:t>Limitation of the prohibition period to 12 to a maximum of 18 months, Sec. 6a of the Federal Ministerial Act (</w:t>
      </w:r>
      <w:proofErr w:type="spellStart"/>
      <w:r>
        <w:t>Bundesministergesetz</w:t>
      </w:r>
      <w:proofErr w:type="spellEnd"/>
      <w:r>
        <w:t xml:space="preserve"> “</w:t>
      </w:r>
      <w:proofErr w:type="spellStart"/>
      <w:r>
        <w:t>BMinG</w:t>
      </w:r>
      <w:proofErr w:type="spellEnd"/>
      <w:r>
        <w:t>”)</w:t>
      </w:r>
    </w:p>
    <w:p w14:paraId="5AABE01B" w14:textId="77777777" w:rsidR="00395F00" w:rsidRDefault="00386E14">
      <w:pPr>
        <w:pStyle w:val="CopyBulletpoints"/>
      </w:pPr>
      <w:r>
        <w:t>In addition, partly own waiting period regulations at Federal State level.</w:t>
      </w:r>
    </w:p>
    <w:p w14:paraId="5AABE01C" w14:textId="77777777" w:rsidR="00395F00" w:rsidRDefault="00386E14">
      <w:pPr>
        <w:pStyle w:val="Untertitel"/>
        <w:rPr>
          <w:b w:val="0"/>
        </w:rPr>
      </w:pPr>
      <w:r>
        <w:t>Further regulations</w:t>
      </w:r>
    </w:p>
    <w:p w14:paraId="5AABE01D" w14:textId="77777777" w:rsidR="00395F00" w:rsidRDefault="00386E14">
      <w:pPr>
        <w:pStyle w:val="CopyBulletpoints"/>
      </w:pPr>
      <w:r>
        <w:t>Obligation to maintain confidentiality on matters that have become known in office, e.g. in accordance with Sec. 6 of the Federal Ministerial Act (</w:t>
      </w:r>
      <w:proofErr w:type="spellStart"/>
      <w:r>
        <w:t>Bundesministergesetz</w:t>
      </w:r>
      <w:proofErr w:type="spellEnd"/>
      <w:r>
        <w:t xml:space="preserve"> “</w:t>
      </w:r>
      <w:proofErr w:type="spellStart"/>
      <w:r>
        <w:t>BMinG</w:t>
      </w:r>
      <w:proofErr w:type="spellEnd"/>
      <w:r>
        <w:t xml:space="preserve">”). </w:t>
      </w:r>
    </w:p>
    <w:p w14:paraId="5AABE01E" w14:textId="77777777" w:rsidR="00395F00" w:rsidRDefault="00386E14">
      <w:pPr>
        <w:pStyle w:val="CopyBulletpoints"/>
      </w:pPr>
      <w:r>
        <w:t>Duty to disclose a new lobbying activity for up to five years after leaving office for civil servants (judges, etc.), if the new activity is related to the previous activity. The administrative authority can then prohibit the new activity. Anyone who disregards this prohibition loses his pension rights, Sec. 105 Federal Civil Servants Act (</w:t>
      </w:r>
      <w:proofErr w:type="spellStart"/>
      <w:r>
        <w:t>Bundesbeamtengesetz</w:t>
      </w:r>
      <w:proofErr w:type="spellEnd"/>
      <w:r>
        <w:t xml:space="preserve"> “BBG”). </w:t>
      </w:r>
    </w:p>
    <w:p w14:paraId="5AABE01F" w14:textId="77777777" w:rsidR="00395F00" w:rsidRDefault="00386E14">
      <w:pPr>
        <w:pStyle w:val="CopyBulletpoints"/>
      </w:pPr>
      <w:r>
        <w:t xml:space="preserve">In the extreme case, possibly criminal acceptance of benefits (Sec. 331 German Criminal Code). </w:t>
      </w:r>
    </w:p>
    <w:p w14:paraId="5AABE020" w14:textId="77777777" w:rsidR="00395F00" w:rsidRDefault="00386E14">
      <w:pPr>
        <w:pStyle w:val="CopyBulletpoints"/>
      </w:pPr>
      <w:r>
        <w:t xml:space="preserve">Even if the legally required waiting periods are adhered to, Sec. 331 et seq. of the German Criminal Code and the Siemens BCGs are to be observed. </w:t>
      </w:r>
    </w:p>
    <w:p w14:paraId="5AABE021" w14:textId="77777777" w:rsidR="00395F00" w:rsidRDefault="00386E14">
      <w:pPr>
        <w:rPr>
          <w:rFonts w:cstheme="minorHAnsi"/>
        </w:rPr>
      </w:pPr>
      <w:r>
        <w:rPr>
          <w:rFonts w:cstheme="minorHAnsi"/>
          <w:u w:val="single"/>
        </w:rPr>
        <w:t>Important</w:t>
      </w:r>
      <w:r>
        <w:rPr>
          <w:rFonts w:cstheme="minorHAnsi"/>
        </w:rPr>
        <w:t>: An employment may not be offered or granted "in return" for the performance of the service. Already the appearance of dishonesty is to be avoided.</w:t>
      </w:r>
    </w:p>
    <w:p w14:paraId="5AABE022" w14:textId="3CABB7B8" w:rsidR="00395F00" w:rsidRDefault="00FA1779">
      <w:pPr>
        <w:pStyle w:val="berschrift4"/>
      </w:pPr>
      <w:r>
        <w:lastRenderedPageBreak/>
        <w:t>5</w:t>
      </w:r>
      <w:r w:rsidR="00386E14">
        <w:t>.1.5.2 Specific legislation - others</w:t>
      </w:r>
    </w:p>
    <w:p w14:paraId="5AABE023" w14:textId="77777777" w:rsidR="00395F00" w:rsidRDefault="00386E14">
      <w:pPr>
        <w:pStyle w:val="Untertitel"/>
      </w:pPr>
      <w:r>
        <w:t>European Union</w:t>
      </w:r>
    </w:p>
    <w:p w14:paraId="5AABE024" w14:textId="77777777" w:rsidR="00395F00" w:rsidRDefault="00386E14">
      <w:pPr>
        <w:pStyle w:val="Listenabsatz"/>
        <w:numPr>
          <w:ilvl w:val="0"/>
          <w:numId w:val="7"/>
        </w:numPr>
        <w:rPr>
          <w:rFonts w:cstheme="minorHAnsi"/>
        </w:rPr>
      </w:pPr>
      <w:r>
        <w:rPr>
          <w:rFonts w:cstheme="minorHAnsi"/>
        </w:rPr>
        <w:t xml:space="preserve">Members of the European Commission must notify the Commission of any intended professional activity which is to commence within 18 months after leaving the office. </w:t>
      </w:r>
    </w:p>
    <w:p w14:paraId="5AABE025" w14:textId="77777777" w:rsidR="00395F00" w:rsidRDefault="00386E14">
      <w:pPr>
        <w:pStyle w:val="Listenabsatz"/>
        <w:numPr>
          <w:ilvl w:val="0"/>
          <w:numId w:val="7"/>
        </w:numPr>
        <w:rPr>
          <w:rFonts w:cstheme="minorHAnsi"/>
        </w:rPr>
      </w:pPr>
      <w:r>
        <w:rPr>
          <w:rFonts w:cstheme="minorHAnsi"/>
        </w:rPr>
        <w:t xml:space="preserve">Lobbying in former departments is completely prohibited during this time. </w:t>
      </w:r>
    </w:p>
    <w:p w14:paraId="5AABE026" w14:textId="77777777" w:rsidR="00395F00" w:rsidRDefault="00386E14">
      <w:pPr>
        <w:pStyle w:val="Listenabsatz"/>
        <w:numPr>
          <w:ilvl w:val="0"/>
          <w:numId w:val="7"/>
        </w:numPr>
        <w:rPr>
          <w:rFonts w:cstheme="minorHAnsi"/>
        </w:rPr>
      </w:pPr>
      <w:r>
        <w:rPr>
          <w:rFonts w:cstheme="minorHAnsi"/>
        </w:rPr>
        <w:t xml:space="preserve">Furthermore, the Commissioners are subject to a non-competition clause: if there could be conflicts of interest with the former area of responsibility, an ethics committee decides on compatibility. </w:t>
      </w:r>
    </w:p>
    <w:p w14:paraId="5AABE027" w14:textId="77777777" w:rsidR="00395F00" w:rsidRDefault="00386E14">
      <w:pPr>
        <w:pStyle w:val="Listenabsatz"/>
        <w:numPr>
          <w:ilvl w:val="0"/>
          <w:numId w:val="7"/>
        </w:numPr>
        <w:rPr>
          <w:rFonts w:cstheme="minorHAnsi"/>
        </w:rPr>
      </w:pPr>
      <w:r>
        <w:rPr>
          <w:rFonts w:cstheme="minorHAnsi"/>
        </w:rPr>
        <w:t xml:space="preserve">For other employees in EU-Institutions, a similar waiting period of up to three years applies. </w:t>
      </w:r>
    </w:p>
    <w:p w14:paraId="5AABE028" w14:textId="77777777" w:rsidR="00395F00" w:rsidRDefault="00386E14">
      <w:pPr>
        <w:pStyle w:val="Untertitel"/>
      </w:pPr>
      <w:r>
        <w:t xml:space="preserve">Czech Republic </w:t>
      </w:r>
    </w:p>
    <w:p w14:paraId="5AABE029" w14:textId="77777777" w:rsidR="00395F00" w:rsidRDefault="00386E14">
      <w:pPr>
        <w:pStyle w:val="Listenabsatz"/>
        <w:numPr>
          <w:ilvl w:val="0"/>
          <w:numId w:val="7"/>
        </w:numPr>
        <w:rPr>
          <w:rFonts w:cstheme="minorHAnsi"/>
        </w:rPr>
      </w:pPr>
      <w:r>
        <w:rPr>
          <w:rFonts w:cstheme="minorHAnsi"/>
        </w:rPr>
        <w:t xml:space="preserve">The permission to take up a position in the public service must be granted by the employer; the employment must not be terminated. However, there is no entitlement to remuneration during the exercise of the public office. </w:t>
      </w:r>
    </w:p>
    <w:p w14:paraId="5AABE02A" w14:textId="77777777" w:rsidR="00395F00" w:rsidRDefault="00386E14">
      <w:pPr>
        <w:pStyle w:val="Listenabsatz"/>
        <w:numPr>
          <w:ilvl w:val="0"/>
          <w:numId w:val="7"/>
        </w:numPr>
        <w:rPr>
          <w:rFonts w:cstheme="minorHAnsi"/>
        </w:rPr>
      </w:pPr>
      <w:r>
        <w:rPr>
          <w:rFonts w:cstheme="minorHAnsi"/>
        </w:rPr>
        <w:t xml:space="preserve">After giving up/ leaving the public office, the employee has the right to continue working in a position of equal rank. The only exception would be the removal of the position in the meantime. If the employee is employed at a lower position, he would have to be fully compensated. </w:t>
      </w:r>
    </w:p>
    <w:p w14:paraId="5AABE02B" w14:textId="77777777" w:rsidR="00395F00" w:rsidRDefault="00386E14">
      <w:pPr>
        <w:pStyle w:val="Listenabsatz"/>
        <w:numPr>
          <w:ilvl w:val="0"/>
          <w:numId w:val="7"/>
        </w:numPr>
        <w:rPr>
          <w:rFonts w:cstheme="minorHAnsi"/>
        </w:rPr>
      </w:pPr>
      <w:r>
        <w:rPr>
          <w:rFonts w:cstheme="minorHAnsi"/>
        </w:rPr>
        <w:t xml:space="preserve">Confidential information obtained during affiliation with the company or the public employer may not be </w:t>
      </w:r>
      <w:proofErr w:type="gramStart"/>
      <w:r>
        <w:rPr>
          <w:rFonts w:cstheme="minorHAnsi"/>
        </w:rPr>
        <w:t>taken into account</w:t>
      </w:r>
      <w:proofErr w:type="gramEnd"/>
      <w:r>
        <w:rPr>
          <w:rFonts w:cstheme="minorHAnsi"/>
        </w:rPr>
        <w:t xml:space="preserve"> at the other office. </w:t>
      </w:r>
    </w:p>
    <w:p w14:paraId="5AABE02C" w14:textId="77777777" w:rsidR="00395F00" w:rsidRDefault="00386E14">
      <w:pPr>
        <w:pStyle w:val="Untertitel"/>
      </w:pPr>
      <w:r>
        <w:t xml:space="preserve">USA </w:t>
      </w:r>
    </w:p>
    <w:p w14:paraId="5AABE02D" w14:textId="77777777" w:rsidR="00395F00" w:rsidRDefault="00386E14">
      <w:pPr>
        <w:pStyle w:val="Listenabsatz"/>
        <w:numPr>
          <w:ilvl w:val="0"/>
          <w:numId w:val="7"/>
        </w:numPr>
        <w:rPr>
          <w:rFonts w:cstheme="minorHAnsi"/>
        </w:rPr>
      </w:pPr>
      <w:r>
        <w:rPr>
          <w:rFonts w:cstheme="minorHAnsi"/>
        </w:rPr>
        <w:t xml:space="preserve">Waiting periods for mandate holders and staff members of the executive range from one year to up to a lifelong ban on certain activities. </w:t>
      </w:r>
    </w:p>
    <w:p w14:paraId="5AABE02E" w14:textId="77777777" w:rsidR="00395F00" w:rsidRDefault="00386E14">
      <w:pPr>
        <w:pStyle w:val="Listenabsatz"/>
        <w:numPr>
          <w:ilvl w:val="0"/>
          <w:numId w:val="7"/>
        </w:numPr>
        <w:rPr>
          <w:rFonts w:cstheme="minorHAnsi"/>
        </w:rPr>
      </w:pPr>
      <w:r>
        <w:rPr>
          <w:rFonts w:cstheme="minorHAnsi"/>
        </w:rPr>
        <w:t>For the legislative, a different waiting period of one up to two years applies.</w:t>
      </w:r>
    </w:p>
    <w:p w14:paraId="5AABE02F" w14:textId="67144764" w:rsidR="00395F00" w:rsidRDefault="005D4922">
      <w:pPr>
        <w:pStyle w:val="berschrift2"/>
      </w:pPr>
      <w:r>
        <w:t>5</w:t>
      </w:r>
      <w:r w:rsidR="00386E14">
        <w:t>.2. Dos and Don’ts</w:t>
      </w:r>
    </w:p>
    <w:p w14:paraId="5AABE030" w14:textId="77777777" w:rsidR="00395F00" w:rsidRDefault="00386E14">
      <w:r>
        <w:t>To protect ourselves and our company, we pay close attention to possible conflicts of interest. The following questions help us to assess whether this is the case:</w:t>
      </w:r>
    </w:p>
    <w:p w14:paraId="5AABE031" w14:textId="77777777" w:rsidR="00395F00" w:rsidRDefault="00386E14">
      <w:pPr>
        <w:pStyle w:val="Listenabsatz"/>
        <w:numPr>
          <w:ilvl w:val="0"/>
          <w:numId w:val="7"/>
        </w:numPr>
        <w:rPr>
          <w:rFonts w:cstheme="minorHAnsi"/>
        </w:rPr>
      </w:pPr>
      <w:r>
        <w:rPr>
          <w:rFonts w:cstheme="minorHAnsi"/>
        </w:rPr>
        <w:t xml:space="preserve">Is the decision I make for Siemens influenced by personal interests? </w:t>
      </w:r>
    </w:p>
    <w:p w14:paraId="5AABE032" w14:textId="77777777" w:rsidR="00395F00" w:rsidRDefault="00386E14">
      <w:pPr>
        <w:pStyle w:val="Listenabsatz"/>
        <w:numPr>
          <w:ilvl w:val="0"/>
          <w:numId w:val="7"/>
        </w:numPr>
        <w:rPr>
          <w:rFonts w:cstheme="minorHAnsi"/>
        </w:rPr>
      </w:pPr>
      <w:r>
        <w:rPr>
          <w:rFonts w:cstheme="minorHAnsi"/>
        </w:rPr>
        <w:t xml:space="preserve">What impression does the situation leave on external third parties, such as customers, authorities, and investors? </w:t>
      </w:r>
    </w:p>
    <w:p w14:paraId="5AABE033" w14:textId="77777777" w:rsidR="00395F00" w:rsidRDefault="00386E14">
      <w:pPr>
        <w:pStyle w:val="Listenabsatz"/>
        <w:numPr>
          <w:ilvl w:val="0"/>
          <w:numId w:val="7"/>
        </w:numPr>
      </w:pPr>
      <w:r>
        <w:rPr>
          <w:rFonts w:cstheme="minorHAnsi"/>
        </w:rPr>
        <w:t xml:space="preserve">How would the public react to my business decision? </w:t>
      </w:r>
    </w:p>
    <w:p w14:paraId="5AABE034" w14:textId="77777777" w:rsidR="00395F00" w:rsidRDefault="00395F00">
      <w:pPr>
        <w:pStyle w:val="Listenabsatz"/>
        <w:rPr>
          <w:rFonts w:cstheme="minorHAnsi"/>
        </w:rPr>
      </w:pPr>
    </w:p>
    <w:p w14:paraId="5AABE035" w14:textId="77777777" w:rsidR="00395F00" w:rsidRDefault="00386E14">
      <w:pPr>
        <w:rPr>
          <w:rFonts w:cstheme="minorHAnsi"/>
          <w:i/>
        </w:rPr>
      </w:pPr>
      <w:r>
        <w:rPr>
          <w:rFonts w:cstheme="minorHAnsi"/>
        </w:rPr>
        <w:t>We must adhere to the following:</w:t>
      </w:r>
    </w:p>
    <w:p w14:paraId="5AABE036" w14:textId="22B3DA7F" w:rsidR="00395F00" w:rsidRDefault="00386E14">
      <w:pPr>
        <w:pStyle w:val="Listenabsatz"/>
        <w:numPr>
          <w:ilvl w:val="0"/>
          <w:numId w:val="40"/>
        </w:numPr>
        <w:ind w:left="426" w:hanging="426"/>
        <w:rPr>
          <w:rFonts w:cstheme="minorHAnsi"/>
        </w:rPr>
      </w:pPr>
      <w:r>
        <w:rPr>
          <w:rFonts w:cstheme="minorHAnsi"/>
        </w:rPr>
        <w:t xml:space="preserve">In case of </w:t>
      </w:r>
      <w:r>
        <w:rPr>
          <w:rFonts w:cstheme="minorHAnsi"/>
          <w:b/>
        </w:rPr>
        <w:t>competition</w:t>
      </w:r>
      <w:r>
        <w:rPr>
          <w:rFonts w:cstheme="minorHAnsi"/>
        </w:rPr>
        <w:t xml:space="preserve"> with Siemens (For details please refer to </w:t>
      </w:r>
      <w:hyperlink w:anchor="_4.1.2._Relations_to" w:history="1">
        <w:r>
          <w:rPr>
            <w:rStyle w:val="Hyperlink"/>
            <w:rFonts w:cstheme="minorHAnsi"/>
          </w:rPr>
          <w:t>A.</w:t>
        </w:r>
        <w:r w:rsidR="00FA1779">
          <w:rPr>
            <w:rStyle w:val="Hyperlink"/>
            <w:rFonts w:cstheme="minorHAnsi"/>
          </w:rPr>
          <w:t>5</w:t>
        </w:r>
        <w:r>
          <w:rPr>
            <w:rStyle w:val="Hyperlink"/>
            <w:rFonts w:cstheme="minorHAnsi"/>
          </w:rPr>
          <w:t>.1.2.</w:t>
        </w:r>
      </w:hyperlink>
      <w:r>
        <w:rPr>
          <w:rFonts w:cstheme="minorHAnsi"/>
        </w:rPr>
        <w:t xml:space="preserve">): </w:t>
      </w:r>
    </w:p>
    <w:p w14:paraId="5AABE037" w14:textId="77777777" w:rsidR="00395F00" w:rsidRDefault="00386E14">
      <w:pPr>
        <w:pStyle w:val="KeinAbsatzformat"/>
        <w:numPr>
          <w:ilvl w:val="0"/>
          <w:numId w:val="38"/>
        </w:numPr>
        <w:rPr>
          <w:rFonts w:ascii="Arial" w:hAnsi="Arial" w:cstheme="minorHAnsi"/>
          <w:color w:val="auto"/>
          <w:sz w:val="20"/>
          <w:szCs w:val="22"/>
          <w:lang w:val="en-US"/>
        </w:rPr>
      </w:pPr>
      <w:r>
        <w:rPr>
          <w:rFonts w:ascii="Arial" w:hAnsi="Arial" w:cstheme="minorHAnsi"/>
          <w:color w:val="auto"/>
          <w:sz w:val="20"/>
          <w:szCs w:val="22"/>
          <w:lang w:val="en-US"/>
        </w:rPr>
        <w:t>We do not operate or work for a company that competes with Siemens.</w:t>
      </w:r>
    </w:p>
    <w:p w14:paraId="5AABE038" w14:textId="77777777" w:rsidR="00395F00" w:rsidRDefault="00386E14">
      <w:pPr>
        <w:pStyle w:val="KeinAbsatzformat"/>
        <w:numPr>
          <w:ilvl w:val="0"/>
          <w:numId w:val="38"/>
        </w:numPr>
        <w:rPr>
          <w:rFonts w:ascii="Arial" w:hAnsi="Arial" w:cstheme="minorHAnsi"/>
          <w:color w:val="auto"/>
          <w:sz w:val="20"/>
          <w:szCs w:val="22"/>
          <w:lang w:val="en-US"/>
        </w:rPr>
      </w:pPr>
      <w:r>
        <w:rPr>
          <w:rFonts w:ascii="Arial" w:hAnsi="Arial" w:cstheme="minorHAnsi"/>
          <w:color w:val="auto"/>
          <w:sz w:val="20"/>
          <w:szCs w:val="22"/>
          <w:lang w:val="en-US"/>
        </w:rPr>
        <w:t xml:space="preserve">We do not engage in any activity that competes with Siemens. </w:t>
      </w:r>
    </w:p>
    <w:p w14:paraId="5AABE039" w14:textId="77777777" w:rsidR="00395F00" w:rsidRDefault="00395F00">
      <w:pPr>
        <w:pStyle w:val="KeinAbsatzformat"/>
        <w:ind w:left="720"/>
        <w:rPr>
          <w:rFonts w:ascii="Arial" w:hAnsi="Arial" w:cstheme="minorHAnsi"/>
          <w:color w:val="auto"/>
          <w:sz w:val="20"/>
          <w:szCs w:val="22"/>
          <w:lang w:val="en-US"/>
        </w:rPr>
      </w:pPr>
    </w:p>
    <w:p w14:paraId="5AABE03A" w14:textId="68D20D01" w:rsidR="00395F00" w:rsidRDefault="00386E14">
      <w:pPr>
        <w:pStyle w:val="Listenabsatz"/>
        <w:numPr>
          <w:ilvl w:val="0"/>
          <w:numId w:val="40"/>
        </w:numPr>
        <w:ind w:left="426" w:hanging="426"/>
        <w:rPr>
          <w:rFonts w:cstheme="minorHAnsi"/>
        </w:rPr>
      </w:pPr>
      <w:r>
        <w:rPr>
          <w:rFonts w:cstheme="minorHAnsi"/>
        </w:rPr>
        <w:t xml:space="preserve">In case of </w:t>
      </w:r>
      <w:r>
        <w:rPr>
          <w:rFonts w:cstheme="minorHAnsi"/>
          <w:b/>
        </w:rPr>
        <w:t>secondary, prior or subsequent employment</w:t>
      </w:r>
      <w:r>
        <w:rPr>
          <w:rFonts w:cstheme="minorHAnsi"/>
        </w:rPr>
        <w:t xml:space="preserve"> (For details please refer to </w:t>
      </w:r>
      <w:hyperlink w:anchor="_4.1.4._Employment:_Secondary," w:history="1">
        <w:r>
          <w:rPr>
            <w:rStyle w:val="Hyperlink"/>
            <w:rFonts w:cstheme="minorHAnsi"/>
          </w:rPr>
          <w:t>A.</w:t>
        </w:r>
        <w:r w:rsidR="00FA1779">
          <w:rPr>
            <w:rStyle w:val="Hyperlink"/>
            <w:rFonts w:cstheme="minorHAnsi"/>
          </w:rPr>
          <w:t>5</w:t>
        </w:r>
        <w:r>
          <w:rPr>
            <w:rStyle w:val="Hyperlink"/>
            <w:rFonts w:cstheme="minorHAnsi"/>
          </w:rPr>
          <w:t>.1.4.</w:t>
        </w:r>
      </w:hyperlink>
      <w:r>
        <w:rPr>
          <w:rFonts w:cstheme="minorHAnsi"/>
        </w:rPr>
        <w:t>)</w:t>
      </w:r>
    </w:p>
    <w:p w14:paraId="5AABE03B" w14:textId="77777777" w:rsidR="00395F00" w:rsidRDefault="00386E14">
      <w:pPr>
        <w:pStyle w:val="KeinAbsatzformat"/>
        <w:numPr>
          <w:ilvl w:val="0"/>
          <w:numId w:val="38"/>
        </w:numPr>
        <w:rPr>
          <w:rFonts w:ascii="Arial" w:hAnsi="Arial" w:cstheme="minorHAnsi"/>
          <w:color w:val="auto"/>
          <w:sz w:val="20"/>
          <w:szCs w:val="22"/>
          <w:lang w:val="en-US"/>
        </w:rPr>
      </w:pPr>
      <w:r>
        <w:rPr>
          <w:rFonts w:ascii="Arial" w:hAnsi="Arial" w:cstheme="minorHAnsi"/>
          <w:color w:val="auto"/>
          <w:sz w:val="20"/>
          <w:szCs w:val="22"/>
          <w:lang w:val="en-US"/>
        </w:rPr>
        <w:t xml:space="preserve">Before we engage in paid secondary employment, we consult with our managers. </w:t>
      </w:r>
    </w:p>
    <w:p w14:paraId="5AABE03C" w14:textId="77777777" w:rsidR="00395F00" w:rsidRDefault="00386E14">
      <w:pPr>
        <w:pStyle w:val="KeinAbsatzformat"/>
        <w:numPr>
          <w:ilvl w:val="0"/>
          <w:numId w:val="38"/>
        </w:numPr>
        <w:rPr>
          <w:rFonts w:ascii="Arial" w:hAnsi="Arial" w:cstheme="minorHAnsi"/>
          <w:color w:val="auto"/>
          <w:sz w:val="20"/>
          <w:szCs w:val="22"/>
          <w:lang w:val="en-US"/>
        </w:rPr>
      </w:pPr>
      <w:r>
        <w:rPr>
          <w:rFonts w:ascii="Arial" w:hAnsi="Arial" w:cstheme="minorHAnsi"/>
          <w:color w:val="auto"/>
          <w:sz w:val="20"/>
          <w:szCs w:val="22"/>
          <w:lang w:val="en-US"/>
        </w:rPr>
        <w:t>We inform the Human Resources department in writing that we would like to take up paid secondary employment and will only do so after obtaining written consent.</w:t>
      </w:r>
    </w:p>
    <w:p w14:paraId="5AABE03D" w14:textId="77777777" w:rsidR="00395F00" w:rsidRDefault="00395F00">
      <w:pPr>
        <w:autoSpaceDE w:val="0"/>
        <w:autoSpaceDN w:val="0"/>
        <w:adjustRightInd w:val="0"/>
        <w:spacing w:after="0" w:line="240" w:lineRule="auto"/>
        <w:ind w:left="426"/>
        <w:rPr>
          <w:rFonts w:cstheme="minorHAnsi"/>
          <w:i/>
          <w:highlight w:val="yellow"/>
        </w:rPr>
      </w:pPr>
    </w:p>
    <w:p w14:paraId="5AABE03E" w14:textId="5D49DB85" w:rsidR="00395F00" w:rsidRDefault="00386E14">
      <w:pPr>
        <w:pStyle w:val="Listenabsatz"/>
        <w:numPr>
          <w:ilvl w:val="0"/>
          <w:numId w:val="40"/>
        </w:numPr>
        <w:ind w:left="426" w:hanging="426"/>
        <w:rPr>
          <w:rFonts w:cstheme="minorHAnsi"/>
        </w:rPr>
      </w:pPr>
      <w:r>
        <w:rPr>
          <w:rFonts w:cstheme="minorHAnsi"/>
        </w:rPr>
        <w:t xml:space="preserve">In case of </w:t>
      </w:r>
      <w:r>
        <w:rPr>
          <w:rFonts w:cstheme="minorHAnsi"/>
          <w:b/>
        </w:rPr>
        <w:t xml:space="preserve">investment in third-party companies </w:t>
      </w:r>
      <w:r>
        <w:rPr>
          <w:rFonts w:cstheme="minorHAnsi"/>
        </w:rPr>
        <w:t xml:space="preserve">(For details please refer to </w:t>
      </w:r>
      <w:hyperlink w:anchor="_4.1.3._Relations_to" w:history="1">
        <w:r>
          <w:rPr>
            <w:rStyle w:val="Hyperlink"/>
            <w:rFonts w:cstheme="minorHAnsi"/>
          </w:rPr>
          <w:t>A.</w:t>
        </w:r>
        <w:r w:rsidR="00FA1779">
          <w:rPr>
            <w:rStyle w:val="Hyperlink"/>
            <w:rFonts w:cstheme="minorHAnsi"/>
          </w:rPr>
          <w:t>5</w:t>
        </w:r>
        <w:r>
          <w:rPr>
            <w:rStyle w:val="Hyperlink"/>
            <w:rFonts w:cstheme="minorHAnsi"/>
          </w:rPr>
          <w:t>.1.3.</w:t>
        </w:r>
      </w:hyperlink>
      <w:r>
        <w:rPr>
          <w:rFonts w:cstheme="minorHAnsi"/>
        </w:rPr>
        <w:t xml:space="preserve">): </w:t>
      </w:r>
    </w:p>
    <w:p w14:paraId="5AABE03F" w14:textId="77777777" w:rsidR="00395F00" w:rsidRDefault="00386E14">
      <w:pPr>
        <w:pStyle w:val="Listenabsatz"/>
        <w:numPr>
          <w:ilvl w:val="0"/>
          <w:numId w:val="7"/>
        </w:numPr>
        <w:rPr>
          <w:rFonts w:cstheme="minorHAnsi"/>
        </w:rPr>
      </w:pPr>
      <w:r>
        <w:rPr>
          <w:rFonts w:cstheme="minorHAnsi"/>
        </w:rPr>
        <w:t>We inform the Human Resources department in writing of any direct or indirect investment in companies:</w:t>
      </w:r>
    </w:p>
    <w:p w14:paraId="5AABE040" w14:textId="77777777" w:rsidR="00395F00" w:rsidRDefault="00386E14">
      <w:pPr>
        <w:pStyle w:val="KeinAbsatzformat"/>
        <w:numPr>
          <w:ilvl w:val="1"/>
          <w:numId w:val="7"/>
        </w:numPr>
        <w:rPr>
          <w:rFonts w:ascii="Arial" w:hAnsi="Arial" w:cstheme="minorHAnsi"/>
          <w:color w:val="auto"/>
          <w:sz w:val="20"/>
          <w:szCs w:val="22"/>
          <w:lang w:val="en-US"/>
        </w:rPr>
      </w:pPr>
      <w:r>
        <w:rPr>
          <w:rFonts w:ascii="Arial" w:hAnsi="Arial" w:cstheme="minorHAnsi"/>
          <w:color w:val="auto"/>
          <w:sz w:val="20"/>
          <w:szCs w:val="22"/>
          <w:lang w:val="en-US"/>
        </w:rPr>
        <w:t>That are business partners of Siemens if We are engaged in business with the company or have a board or management role in the company. With respect to publicly traded companies, this only applies if the investment exceeds three percent of the total capital.</w:t>
      </w:r>
    </w:p>
    <w:p w14:paraId="5AABE041" w14:textId="77777777" w:rsidR="00395F00" w:rsidRDefault="00386E14">
      <w:pPr>
        <w:pStyle w:val="KeinAbsatzformat"/>
        <w:numPr>
          <w:ilvl w:val="1"/>
          <w:numId w:val="7"/>
        </w:numPr>
        <w:rPr>
          <w:rFonts w:ascii="Arial" w:hAnsi="Arial" w:cstheme="minorHAnsi"/>
          <w:color w:val="auto"/>
          <w:sz w:val="20"/>
          <w:szCs w:val="22"/>
          <w:lang w:val="en-US"/>
        </w:rPr>
      </w:pPr>
      <w:r>
        <w:rPr>
          <w:rFonts w:ascii="Arial" w:hAnsi="Arial" w:cstheme="minorHAnsi"/>
          <w:color w:val="auto"/>
          <w:sz w:val="20"/>
          <w:szCs w:val="22"/>
          <w:lang w:val="en-US"/>
        </w:rPr>
        <w:t>That compete with our company if We can influence the management of the competitor through this investment. This is presumed if the interest exceeds three percent of the total capital of the company.</w:t>
      </w:r>
    </w:p>
    <w:p w14:paraId="5AABE042" w14:textId="77777777" w:rsidR="00395F00" w:rsidRDefault="00395F00">
      <w:pPr>
        <w:rPr>
          <w:rFonts w:cstheme="minorHAnsi"/>
        </w:rPr>
      </w:pPr>
    </w:p>
    <w:p w14:paraId="5AABE043" w14:textId="75775654" w:rsidR="00395F00" w:rsidRDefault="00386E14">
      <w:pPr>
        <w:pStyle w:val="Listenabsatz"/>
        <w:numPr>
          <w:ilvl w:val="0"/>
          <w:numId w:val="40"/>
        </w:numPr>
        <w:ind w:left="426" w:hanging="426"/>
        <w:rPr>
          <w:rFonts w:cstheme="minorHAnsi"/>
        </w:rPr>
      </w:pPr>
      <w:r>
        <w:rPr>
          <w:rFonts w:cstheme="minorHAnsi"/>
        </w:rPr>
        <w:t xml:space="preserve">In case of </w:t>
      </w:r>
      <w:r>
        <w:rPr>
          <w:rFonts w:cstheme="minorHAnsi"/>
          <w:b/>
        </w:rPr>
        <w:t>close relations</w:t>
      </w:r>
      <w:r>
        <w:rPr>
          <w:rFonts w:cstheme="minorHAnsi"/>
        </w:rPr>
        <w:t xml:space="preserve"> (For details please refer to </w:t>
      </w:r>
      <w:hyperlink w:anchor="_4.1.1._Personal_relations*" w:history="1">
        <w:r>
          <w:rPr>
            <w:rStyle w:val="Hyperlink"/>
            <w:rFonts w:cstheme="minorHAnsi"/>
          </w:rPr>
          <w:t>A.</w:t>
        </w:r>
        <w:r w:rsidR="00FA1779">
          <w:rPr>
            <w:rStyle w:val="Hyperlink"/>
            <w:rFonts w:cstheme="minorHAnsi"/>
          </w:rPr>
          <w:t>5</w:t>
        </w:r>
        <w:r>
          <w:rPr>
            <w:rStyle w:val="Hyperlink"/>
            <w:rFonts w:cstheme="minorHAnsi"/>
          </w:rPr>
          <w:t>.1.1.</w:t>
        </w:r>
      </w:hyperlink>
      <w:r>
        <w:rPr>
          <w:rFonts w:cstheme="minorHAnsi"/>
        </w:rPr>
        <w:t>)</w:t>
      </w:r>
    </w:p>
    <w:p w14:paraId="5AABE044" w14:textId="77777777" w:rsidR="00395F00" w:rsidRDefault="00386E14">
      <w:pPr>
        <w:pStyle w:val="Listenabsatz"/>
        <w:numPr>
          <w:ilvl w:val="0"/>
          <w:numId w:val="39"/>
        </w:numPr>
        <w:rPr>
          <w:rFonts w:cstheme="minorHAnsi"/>
        </w:rPr>
      </w:pPr>
      <w:r>
        <w:rPr>
          <w:rFonts w:cstheme="minorHAnsi"/>
        </w:rPr>
        <w:t xml:space="preserve">We have to inform the HR department and follow the regular processes without offering exceptions </w:t>
      </w:r>
      <w:proofErr w:type="gramStart"/>
      <w:r>
        <w:rPr>
          <w:rFonts w:cstheme="minorHAnsi"/>
        </w:rPr>
        <w:t>what so ever</w:t>
      </w:r>
      <w:proofErr w:type="gramEnd"/>
      <w:r>
        <w:rPr>
          <w:rFonts w:cstheme="minorHAnsi"/>
        </w:rPr>
        <w:t>.</w:t>
      </w:r>
    </w:p>
    <w:p w14:paraId="5AABE045" w14:textId="77777777" w:rsidR="00395F00" w:rsidRDefault="00395F00">
      <w:pPr>
        <w:pStyle w:val="Listenabsatz"/>
        <w:rPr>
          <w:rFonts w:cstheme="minorHAnsi"/>
        </w:rPr>
      </w:pPr>
    </w:p>
    <w:p w14:paraId="5AABE046" w14:textId="7E37CC9F" w:rsidR="00395F00" w:rsidRDefault="00386E14">
      <w:pPr>
        <w:pStyle w:val="Listenabsatz"/>
        <w:numPr>
          <w:ilvl w:val="0"/>
          <w:numId w:val="40"/>
        </w:numPr>
        <w:ind w:left="426" w:hanging="426"/>
        <w:rPr>
          <w:rFonts w:cstheme="minorHAnsi"/>
        </w:rPr>
      </w:pPr>
      <w:r>
        <w:rPr>
          <w:rFonts w:cstheme="minorHAnsi"/>
        </w:rPr>
        <w:t xml:space="preserve">In case of </w:t>
      </w:r>
      <w:r>
        <w:rPr>
          <w:rFonts w:cstheme="minorHAnsi"/>
          <w:b/>
        </w:rPr>
        <w:t>job rotation public/private sector</w:t>
      </w:r>
      <w:r>
        <w:rPr>
          <w:rFonts w:cstheme="minorHAnsi"/>
        </w:rPr>
        <w:t xml:space="preserve"> (For details please refer to </w:t>
      </w:r>
      <w:hyperlink w:anchor="_4.1.5._Employment:_Job" w:history="1">
        <w:r>
          <w:rPr>
            <w:rStyle w:val="Hyperlink"/>
            <w:rFonts w:cstheme="minorHAnsi"/>
          </w:rPr>
          <w:t>A.</w:t>
        </w:r>
        <w:r w:rsidR="00FA1779">
          <w:rPr>
            <w:rStyle w:val="Hyperlink"/>
            <w:rFonts w:cstheme="minorHAnsi"/>
          </w:rPr>
          <w:t>5</w:t>
        </w:r>
        <w:r>
          <w:rPr>
            <w:rStyle w:val="Hyperlink"/>
            <w:rFonts w:cstheme="minorHAnsi"/>
          </w:rPr>
          <w:t>.1.5.</w:t>
        </w:r>
      </w:hyperlink>
      <w:r>
        <w:rPr>
          <w:rFonts w:cstheme="minorHAnsi"/>
        </w:rPr>
        <w:t>)</w:t>
      </w:r>
    </w:p>
    <w:p w14:paraId="5AABE047" w14:textId="77777777" w:rsidR="00395F00" w:rsidRDefault="00386E14">
      <w:pPr>
        <w:pStyle w:val="Listenabsatz"/>
        <w:numPr>
          <w:ilvl w:val="0"/>
          <w:numId w:val="7"/>
        </w:numPr>
        <w:rPr>
          <w:rFonts w:cstheme="minorHAnsi"/>
        </w:rPr>
      </w:pPr>
      <w:r>
        <w:rPr>
          <w:rFonts w:cstheme="minorHAnsi"/>
        </w:rPr>
        <w:t xml:space="preserve">Thorough subject and environment check (previous activity - planned position) especially of former or current contacts to Siemens (e.g. in the context of award procedures) </w:t>
      </w:r>
      <w:proofErr w:type="gramStart"/>
      <w:r>
        <w:rPr>
          <w:rFonts w:cstheme="minorHAnsi"/>
        </w:rPr>
        <w:t>in order to</w:t>
      </w:r>
      <w:proofErr w:type="gramEnd"/>
      <w:r>
        <w:rPr>
          <w:rFonts w:cstheme="minorHAnsi"/>
        </w:rPr>
        <w:t xml:space="preserve"> avoid conflicts of interest. </w:t>
      </w:r>
    </w:p>
    <w:p w14:paraId="5AABE048" w14:textId="77777777" w:rsidR="00395F00" w:rsidRDefault="00386E14">
      <w:pPr>
        <w:pStyle w:val="Listenabsatz"/>
        <w:numPr>
          <w:ilvl w:val="0"/>
          <w:numId w:val="7"/>
        </w:numPr>
        <w:rPr>
          <w:rFonts w:cstheme="minorHAnsi"/>
        </w:rPr>
      </w:pPr>
      <w:r>
        <w:rPr>
          <w:rFonts w:cstheme="minorHAnsi"/>
        </w:rPr>
        <w:t xml:space="preserve">Transparent selection process. </w:t>
      </w:r>
    </w:p>
    <w:p w14:paraId="5AABE049" w14:textId="77777777" w:rsidR="00395F00" w:rsidRDefault="00386E14">
      <w:pPr>
        <w:pStyle w:val="Listenabsatz"/>
        <w:numPr>
          <w:ilvl w:val="0"/>
          <w:numId w:val="7"/>
        </w:numPr>
        <w:rPr>
          <w:rFonts w:cstheme="minorHAnsi"/>
        </w:rPr>
      </w:pPr>
      <w:r>
        <w:rPr>
          <w:rFonts w:cstheme="minorHAnsi"/>
        </w:rPr>
        <w:t xml:space="preserve">Clear and transparent documentation of the secondment. </w:t>
      </w:r>
    </w:p>
    <w:p w14:paraId="5AABE04A" w14:textId="77777777" w:rsidR="00395F00" w:rsidRDefault="00386E14">
      <w:pPr>
        <w:pStyle w:val="Listenabsatz"/>
        <w:numPr>
          <w:ilvl w:val="0"/>
          <w:numId w:val="7"/>
        </w:numPr>
        <w:rPr>
          <w:rFonts w:cstheme="minorHAnsi"/>
        </w:rPr>
      </w:pPr>
      <w:r>
        <w:rPr>
          <w:rFonts w:cstheme="minorHAnsi"/>
        </w:rPr>
        <w:t>Examination and maintenance of legal requirements (e.g. Sec. 105 Federal Civil Servants Act (</w:t>
      </w:r>
      <w:proofErr w:type="spellStart"/>
      <w:r>
        <w:rPr>
          <w:rFonts w:cstheme="minorHAnsi"/>
        </w:rPr>
        <w:t>Bundesbeamtengesetz</w:t>
      </w:r>
      <w:proofErr w:type="spellEnd"/>
      <w:r>
        <w:rPr>
          <w:rFonts w:cstheme="minorHAnsi"/>
        </w:rPr>
        <w:t>), laws on waiting periods, etc.); in this respect, if necessary, also obtain a confirmation that the hiring does not conflict with statutory, contractual or other legal obstacles and waiting period regulations from the previous function.</w:t>
      </w:r>
    </w:p>
    <w:p w14:paraId="5AABE04B" w14:textId="77777777" w:rsidR="00395F00" w:rsidRDefault="00386E14">
      <w:pPr>
        <w:autoSpaceDE w:val="0"/>
        <w:autoSpaceDN w:val="0"/>
        <w:adjustRightInd w:val="0"/>
        <w:spacing w:after="120" w:line="240" w:lineRule="auto"/>
        <w:ind w:firstLine="360"/>
        <w:rPr>
          <w:rFonts w:cs="Arial"/>
          <w:color w:val="000000"/>
          <w:szCs w:val="24"/>
        </w:rPr>
      </w:pPr>
      <w:r>
        <w:rPr>
          <w:rFonts w:cs="Arial"/>
          <w:color w:val="000000"/>
          <w:szCs w:val="24"/>
        </w:rPr>
        <w:t>The following regulations should be taken:</w:t>
      </w:r>
    </w:p>
    <w:p w14:paraId="5AABE04C" w14:textId="77777777" w:rsidR="00395F00" w:rsidRDefault="00386E14">
      <w:pPr>
        <w:pStyle w:val="Listenabsatz"/>
        <w:numPr>
          <w:ilvl w:val="0"/>
          <w:numId w:val="7"/>
        </w:numPr>
        <w:rPr>
          <w:rFonts w:cstheme="minorHAnsi"/>
        </w:rPr>
      </w:pPr>
      <w:r>
        <w:rPr>
          <w:rFonts w:cstheme="minorHAnsi"/>
        </w:rPr>
        <w:t xml:space="preserve">If necessary, implementation of further internal security measures (e.g. circular). </w:t>
      </w:r>
    </w:p>
    <w:p w14:paraId="5AABE04D" w14:textId="77777777" w:rsidR="00395F00" w:rsidRDefault="00386E14">
      <w:pPr>
        <w:pStyle w:val="Listenabsatz"/>
        <w:numPr>
          <w:ilvl w:val="0"/>
          <w:numId w:val="7"/>
        </w:numPr>
        <w:rPr>
          <w:rFonts w:cstheme="minorHAnsi"/>
        </w:rPr>
      </w:pPr>
      <w:r>
        <w:rPr>
          <w:rFonts w:cstheme="minorHAnsi"/>
        </w:rPr>
        <w:t>Limitation of secondment time (generally up to six months; in justified individual cases prolongation possible).</w:t>
      </w:r>
    </w:p>
    <w:p w14:paraId="5AABE04E" w14:textId="77777777" w:rsidR="00395F00" w:rsidRDefault="00386E14">
      <w:pPr>
        <w:pStyle w:val="Listenabsatz"/>
        <w:numPr>
          <w:ilvl w:val="0"/>
          <w:numId w:val="7"/>
        </w:numPr>
        <w:rPr>
          <w:rFonts w:cstheme="minorHAnsi"/>
        </w:rPr>
      </w:pPr>
      <w:r>
        <w:rPr>
          <w:rFonts w:cstheme="minorHAnsi"/>
        </w:rPr>
        <w:t xml:space="preserve">No assignment to drafting bills, to executive functions or to those with final decision-making authority, to the awarding of public contracts and to functions whose exercise directly affects the specific business interests of the sending office. </w:t>
      </w:r>
    </w:p>
    <w:p w14:paraId="5AABE04F" w14:textId="77777777" w:rsidR="00395F00" w:rsidRDefault="00386E14">
      <w:pPr>
        <w:pStyle w:val="Listenabsatz"/>
        <w:numPr>
          <w:ilvl w:val="0"/>
          <w:numId w:val="7"/>
        </w:numPr>
        <w:rPr>
          <w:rFonts w:cstheme="minorHAnsi"/>
        </w:rPr>
      </w:pPr>
      <w:r>
        <w:rPr>
          <w:rFonts w:cstheme="minorHAnsi"/>
        </w:rPr>
        <w:t xml:space="preserve">For inquiries on lobbying topics, the Siemens communication principles must be observed. </w:t>
      </w:r>
    </w:p>
    <w:p w14:paraId="5AABE050" w14:textId="1003B972" w:rsidR="00395F00" w:rsidRDefault="005D4922">
      <w:pPr>
        <w:pStyle w:val="berschrift2"/>
      </w:pPr>
      <w:r>
        <w:t>5</w:t>
      </w:r>
      <w:r w:rsidR="00386E14">
        <w:t>.3. Training and supporting material</w:t>
      </w:r>
    </w:p>
    <w:p w14:paraId="5AABE051" w14:textId="77777777" w:rsidR="00395F00" w:rsidRDefault="00386E14">
      <w:pPr>
        <w:rPr>
          <w:rFonts w:cs="Arial"/>
          <w:color w:val="000000"/>
          <w:sz w:val="24"/>
          <w:szCs w:val="24"/>
        </w:rPr>
      </w:pPr>
      <w:r>
        <w:t>Detailed public information can also be found here:</w:t>
      </w:r>
    </w:p>
    <w:p w14:paraId="5AABE052" w14:textId="77777777" w:rsidR="00395F00" w:rsidRDefault="00240349">
      <w:pPr>
        <w:pStyle w:val="Listenabsatz"/>
        <w:numPr>
          <w:ilvl w:val="0"/>
          <w:numId w:val="8"/>
        </w:numPr>
      </w:pPr>
      <w:hyperlink r:id="rId12" w:history="1">
        <w:r w:rsidR="00386E14">
          <w:rPr>
            <w:rStyle w:val="Hyperlink"/>
          </w:rPr>
          <w:t>ICC Guidelines on Conflict of Interest in Enterprises</w:t>
        </w:r>
      </w:hyperlink>
      <w:r w:rsidR="00386E14">
        <w:t xml:space="preserve"> </w:t>
      </w:r>
    </w:p>
    <w:p w14:paraId="5AABE053" w14:textId="77777777" w:rsidR="00395F00" w:rsidRDefault="00240349">
      <w:pPr>
        <w:pStyle w:val="Listenabsatz"/>
        <w:numPr>
          <w:ilvl w:val="0"/>
          <w:numId w:val="8"/>
        </w:numPr>
      </w:pPr>
      <w:hyperlink r:id="rId13" w:history="1">
        <w:r w:rsidR="00386E14">
          <w:rPr>
            <w:rStyle w:val="Hyperlink"/>
            <w:lang w:val="en"/>
          </w:rPr>
          <w:t>OECD Guidelines for Managing Conflict of Interest in the Public Service</w:t>
        </w:r>
      </w:hyperlink>
    </w:p>
    <w:p w14:paraId="5AABE054" w14:textId="77777777" w:rsidR="00395F00" w:rsidRDefault="00386E14">
      <w:r>
        <w:t>Siemens internal information can be found here:</w:t>
      </w:r>
    </w:p>
    <w:p w14:paraId="5AABE055" w14:textId="77777777" w:rsidR="00395F00" w:rsidRDefault="00386E14">
      <w:pPr>
        <w:pStyle w:val="Listenabsatz"/>
        <w:numPr>
          <w:ilvl w:val="0"/>
          <w:numId w:val="8"/>
        </w:numPr>
        <w:ind w:left="714" w:hanging="357"/>
      </w:pPr>
      <w:r>
        <w:t xml:space="preserve">Presentation: </w:t>
      </w:r>
      <w:hyperlink r:id="rId14" w:history="1">
        <w:r>
          <w:rPr>
            <w:rStyle w:val="Hyperlink"/>
          </w:rPr>
          <w:t>“Siemens and the public sector - The change of employees between the public service and the private sector”</w:t>
        </w:r>
      </w:hyperlink>
    </w:p>
    <w:p w14:paraId="5AABE057" w14:textId="77777777" w:rsidR="00395F00" w:rsidRDefault="00386E14">
      <w:pPr>
        <w:pStyle w:val="Listenabsatz"/>
        <w:numPr>
          <w:ilvl w:val="0"/>
          <w:numId w:val="8"/>
        </w:numPr>
        <w:ind w:left="714" w:hanging="357"/>
      </w:pPr>
      <w:r>
        <w:lastRenderedPageBreak/>
        <w:t>Article in the news center: “</w:t>
      </w:r>
      <w:hyperlink r:id="rId15" w:history="1">
        <w:r>
          <w:rPr>
            <w:rStyle w:val="Hyperlink"/>
          </w:rPr>
          <w:t>What is allowed, what is prohibited</w:t>
        </w:r>
      </w:hyperlink>
      <w:r>
        <w:t>?”</w:t>
      </w:r>
    </w:p>
    <w:p w14:paraId="5AABE058" w14:textId="77777777" w:rsidR="00395F00" w:rsidRDefault="00240349">
      <w:pPr>
        <w:pStyle w:val="Listenabsatz"/>
        <w:numPr>
          <w:ilvl w:val="0"/>
          <w:numId w:val="8"/>
        </w:numPr>
        <w:ind w:left="714" w:hanging="357"/>
        <w:rPr>
          <w:lang w:val="de-DE"/>
        </w:rPr>
      </w:pPr>
      <w:hyperlink r:id="rId16" w:history="1">
        <w:r w:rsidR="00386E14">
          <w:rPr>
            <w:rStyle w:val="Hyperlink"/>
            <w:lang w:val="de-DE"/>
          </w:rPr>
          <w:t xml:space="preserve">Intranet Page BT HQ </w:t>
        </w:r>
        <w:proofErr w:type="spellStart"/>
        <w:r w:rsidR="00386E14">
          <w:rPr>
            <w:rStyle w:val="Hyperlink"/>
            <w:lang w:val="de-DE"/>
          </w:rPr>
          <w:t>Switzerland</w:t>
        </w:r>
        <w:proofErr w:type="spellEnd"/>
        <w:r w:rsidR="00386E14">
          <w:rPr>
            <w:rStyle w:val="Hyperlink"/>
            <w:lang w:val="de-DE"/>
          </w:rPr>
          <w:t xml:space="preserve"> „</w:t>
        </w:r>
        <w:proofErr w:type="spellStart"/>
        <w:r w:rsidR="00386E14">
          <w:rPr>
            <w:rStyle w:val="Hyperlink"/>
            <w:lang w:val="de-DE"/>
          </w:rPr>
          <w:t>Sideline</w:t>
        </w:r>
        <w:proofErr w:type="spellEnd"/>
        <w:r w:rsidR="00386E14">
          <w:rPr>
            <w:rStyle w:val="Hyperlink"/>
            <w:lang w:val="de-DE"/>
          </w:rPr>
          <w:t xml:space="preserve"> Work“</w:t>
        </w:r>
      </w:hyperlink>
    </w:p>
    <w:p w14:paraId="5AABE059" w14:textId="77777777" w:rsidR="00395F00" w:rsidRDefault="00240349">
      <w:pPr>
        <w:pStyle w:val="Listenabsatz"/>
        <w:numPr>
          <w:ilvl w:val="0"/>
          <w:numId w:val="8"/>
        </w:numPr>
        <w:ind w:left="714" w:hanging="357"/>
      </w:pPr>
      <w:hyperlink r:id="rId17" w:history="1">
        <w:r w:rsidR="00386E14">
          <w:rPr>
            <w:rStyle w:val="Hyperlink"/>
            <w:lang w:val="en"/>
          </w:rPr>
          <w:t xml:space="preserve">Conflict of interest BCG short film </w:t>
        </w:r>
      </w:hyperlink>
      <w:r w:rsidR="00386E14">
        <w:rPr>
          <w:lang w:val="en"/>
        </w:rPr>
        <w:t xml:space="preserve"> </w:t>
      </w:r>
    </w:p>
    <w:p w14:paraId="5AABE05A" w14:textId="39E8AA4F" w:rsidR="00395F00" w:rsidRDefault="00240349">
      <w:pPr>
        <w:pStyle w:val="Listenabsatz"/>
        <w:numPr>
          <w:ilvl w:val="0"/>
          <w:numId w:val="8"/>
        </w:numPr>
        <w:ind w:left="714" w:hanging="357"/>
      </w:pPr>
      <w:r>
        <w:t>Potential sample for d</w:t>
      </w:r>
      <w:r w:rsidR="00386E14">
        <w:t xml:space="preserve">eclaration form: </w:t>
      </w:r>
      <w:hyperlink r:id="rId18" w:history="1">
        <w:r w:rsidR="00386E14">
          <w:rPr>
            <w:rStyle w:val="Hyperlink"/>
          </w:rPr>
          <w:t xml:space="preserve">Conflict </w:t>
        </w:r>
        <w:r w:rsidR="00386E14">
          <w:rPr>
            <w:rStyle w:val="Hyperlink"/>
          </w:rPr>
          <w:t>of Interest</w:t>
        </w:r>
      </w:hyperlink>
    </w:p>
    <w:p w14:paraId="5AABE05B" w14:textId="79EE1663" w:rsidR="00395F00" w:rsidRDefault="005D4922">
      <w:pPr>
        <w:pStyle w:val="berschrift2"/>
      </w:pPr>
      <w:r>
        <w:t>5</w:t>
      </w:r>
      <w:r w:rsidR="00386E14">
        <w:t>.4. History of changes</w:t>
      </w:r>
    </w:p>
    <w:tbl>
      <w:tblPr>
        <w:tblStyle w:val="Tabellenraster"/>
        <w:tblW w:w="0" w:type="auto"/>
        <w:tblInd w:w="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1873"/>
        <w:gridCol w:w="5745"/>
      </w:tblGrid>
      <w:tr w:rsidR="00395F00" w14:paraId="5AABE05F" w14:textId="77777777">
        <w:tc>
          <w:tcPr>
            <w:tcW w:w="2410" w:type="dxa"/>
            <w:shd w:val="clear" w:color="auto" w:fill="879BAA" w:themeFill="text2"/>
          </w:tcPr>
          <w:p w14:paraId="5AABE05C" w14:textId="77777777" w:rsidR="00395F00" w:rsidRDefault="00386E14">
            <w:pPr>
              <w:rPr>
                <w:b/>
                <w:color w:val="auto"/>
              </w:rPr>
            </w:pPr>
            <w:r>
              <w:rPr>
                <w:b/>
                <w:color w:val="auto"/>
              </w:rPr>
              <w:t xml:space="preserve">Date </w:t>
            </w:r>
          </w:p>
        </w:tc>
        <w:tc>
          <w:tcPr>
            <w:tcW w:w="1827" w:type="dxa"/>
            <w:shd w:val="clear" w:color="auto" w:fill="879BAA" w:themeFill="text2"/>
          </w:tcPr>
          <w:p w14:paraId="5AABE05D" w14:textId="77777777" w:rsidR="00395F00" w:rsidRDefault="00386E14">
            <w:pPr>
              <w:rPr>
                <w:b/>
                <w:color w:val="auto"/>
              </w:rPr>
            </w:pPr>
            <w:r>
              <w:rPr>
                <w:b/>
                <w:color w:val="auto"/>
              </w:rPr>
              <w:t>Author</w:t>
            </w:r>
          </w:p>
        </w:tc>
        <w:tc>
          <w:tcPr>
            <w:tcW w:w="5745" w:type="dxa"/>
            <w:shd w:val="clear" w:color="auto" w:fill="879BAA" w:themeFill="text2"/>
          </w:tcPr>
          <w:p w14:paraId="5AABE05E" w14:textId="77777777" w:rsidR="00395F00" w:rsidRDefault="00386E14">
            <w:pPr>
              <w:rPr>
                <w:b/>
                <w:color w:val="auto"/>
              </w:rPr>
            </w:pPr>
            <w:r>
              <w:rPr>
                <w:b/>
                <w:color w:val="auto"/>
              </w:rPr>
              <w:t>Major changes of binding content</w:t>
            </w:r>
          </w:p>
        </w:tc>
      </w:tr>
      <w:tr w:rsidR="00395F00" w14:paraId="5AABE063" w14:textId="77777777">
        <w:tc>
          <w:tcPr>
            <w:tcW w:w="2410" w:type="dxa"/>
          </w:tcPr>
          <w:p w14:paraId="5AABE060" w14:textId="77777777" w:rsidR="00395F00" w:rsidRDefault="00386E14">
            <w:r>
              <w:t>January 1, 2019</w:t>
            </w:r>
          </w:p>
        </w:tc>
        <w:tc>
          <w:tcPr>
            <w:tcW w:w="1827" w:type="dxa"/>
          </w:tcPr>
          <w:p w14:paraId="5AABE061" w14:textId="77777777" w:rsidR="00395F00" w:rsidRDefault="00386E14">
            <w:r>
              <w:t>Christina Wolfgramm</w:t>
            </w:r>
          </w:p>
        </w:tc>
        <w:tc>
          <w:tcPr>
            <w:tcW w:w="5745" w:type="dxa"/>
          </w:tcPr>
          <w:p w14:paraId="5AABE062" w14:textId="77777777" w:rsidR="00395F00" w:rsidRDefault="00386E14">
            <w:r>
              <w:t>Wording and structure in line with the new Business Conduct Guidelines. First release through the Compliance Handbook.</w:t>
            </w:r>
          </w:p>
        </w:tc>
      </w:tr>
      <w:tr w:rsidR="00E37729" w14:paraId="20B212DA" w14:textId="77777777">
        <w:tc>
          <w:tcPr>
            <w:tcW w:w="2410" w:type="dxa"/>
          </w:tcPr>
          <w:p w14:paraId="715A9ED7" w14:textId="447FBBE3" w:rsidR="00E37729" w:rsidRDefault="00E37729">
            <w:r>
              <w:t>January 1, 2020</w:t>
            </w:r>
          </w:p>
        </w:tc>
        <w:tc>
          <w:tcPr>
            <w:tcW w:w="1827" w:type="dxa"/>
          </w:tcPr>
          <w:p w14:paraId="3C8C80C9" w14:textId="2A719D3F" w:rsidR="00E37729" w:rsidRDefault="00E37729">
            <w:r>
              <w:t>Koen Miezenbeek</w:t>
            </w:r>
          </w:p>
        </w:tc>
        <w:tc>
          <w:tcPr>
            <w:tcW w:w="5745" w:type="dxa"/>
          </w:tcPr>
          <w:p w14:paraId="75358166" w14:textId="23B6DF44" w:rsidR="00E37729" w:rsidRDefault="00E37729">
            <w:r>
              <w:t>Update due to organizational changes</w:t>
            </w:r>
          </w:p>
        </w:tc>
      </w:tr>
    </w:tbl>
    <w:p w14:paraId="5AABE064" w14:textId="3DDDDB36" w:rsidR="00395F00" w:rsidRDefault="005D4922">
      <w:pPr>
        <w:pStyle w:val="berschrift2"/>
      </w:pPr>
      <w:r>
        <w:t>5</w:t>
      </w:r>
      <w:r w:rsidR="00386E14">
        <w:t>.5. Contacts</w:t>
      </w:r>
    </w:p>
    <w:p w14:paraId="5AABE065" w14:textId="77777777" w:rsidR="00395F00" w:rsidRDefault="00386E14">
      <w:pPr>
        <w:pStyle w:val="HighlightboxGreyBulletpoints"/>
      </w:pPr>
      <w:r>
        <w:t xml:space="preserve">Compliance Officer </w:t>
      </w:r>
    </w:p>
    <w:p w14:paraId="5AABE066" w14:textId="77777777" w:rsidR="00395F00" w:rsidRDefault="00386E14">
      <w:pPr>
        <w:ind w:left="360"/>
      </w:pPr>
      <w:r>
        <w:rPr>
          <w:rFonts w:eastAsia="Siemens Sans" w:cs="Arial"/>
          <w:lang w:eastAsia="de-DE"/>
        </w:rPr>
        <w:t xml:space="preserve">The Compliance Officer responsible for your unit can be found through the following </w:t>
      </w:r>
      <w:hyperlink r:id="rId19" w:history="1">
        <w:r>
          <w:rPr>
            <w:rStyle w:val="Hyperlink"/>
            <w:rFonts w:eastAsia="Siemens Sans" w:cs="Arial"/>
            <w:lang w:eastAsia="de-DE"/>
          </w:rPr>
          <w:t>link</w:t>
        </w:r>
      </w:hyperlink>
      <w:r>
        <w:rPr>
          <w:rFonts w:eastAsia="Siemens Sans" w:cs="Arial"/>
          <w:lang w:eastAsia="de-DE"/>
        </w:rPr>
        <w:t>.</w:t>
      </w:r>
      <w:r>
        <w:t xml:space="preserve"> </w:t>
      </w:r>
    </w:p>
    <w:p w14:paraId="5AABE067" w14:textId="77777777" w:rsidR="00395F00" w:rsidRDefault="00386E14">
      <w:pPr>
        <w:pStyle w:val="HighlightboxGreyBulletpoints"/>
      </w:pPr>
      <w:r>
        <w:t>Corporate Governance Owner</w:t>
      </w:r>
    </w:p>
    <w:p w14:paraId="5AABE068" w14:textId="77777777" w:rsidR="00395F00" w:rsidRDefault="00386E14">
      <w:pPr>
        <w:ind w:left="360"/>
      </w:pPr>
      <w:r>
        <w:rPr>
          <w:lang w:eastAsia="de-DE"/>
        </w:rPr>
        <w:t xml:space="preserve">The contact persons for conflicts of interest are: </w:t>
      </w:r>
      <w:bookmarkStart w:id="7" w:name="_Toc421711309"/>
      <w:bookmarkStart w:id="8" w:name="_Toc421711315"/>
      <w:bookmarkStart w:id="9" w:name="_bookmark1"/>
      <w:bookmarkStart w:id="10" w:name="_bookmark2"/>
      <w:bookmarkStart w:id="11" w:name="_bookmark3"/>
      <w:bookmarkStart w:id="12" w:name="_bookmark4"/>
      <w:bookmarkStart w:id="13" w:name="_bookmark5"/>
      <w:bookmarkStart w:id="14" w:name="_bookmark6"/>
      <w:bookmarkStart w:id="15" w:name="_bookmark7"/>
      <w:bookmarkStart w:id="16" w:name="_bookmark8"/>
      <w:bookmarkStart w:id="17" w:name="_bookmark9"/>
      <w:bookmarkStart w:id="18" w:name="_bookmark10"/>
      <w:bookmarkStart w:id="19" w:name="_bookmark11"/>
      <w:bookmarkStart w:id="20" w:name="_bookmark13"/>
      <w:bookmarkStart w:id="21" w:name="_bookmark14"/>
      <w:bookmarkStart w:id="22" w:name="_bookmark15"/>
      <w:bookmarkStart w:id="23" w:name="_bookmark16"/>
      <w:bookmarkStart w:id="24" w:name="_bookmark17"/>
      <w:bookmarkStart w:id="25" w:name="_bookmark18"/>
      <w:bookmarkStart w:id="26" w:name="_bookmark22"/>
      <w:bookmarkStart w:id="27" w:name="_bookmark23"/>
      <w:bookmarkStart w:id="28" w:name="_bookmark25"/>
      <w:bookmarkStart w:id="29" w:name="_bookmark26"/>
      <w:bookmarkStart w:id="30" w:name="_bookmark27"/>
      <w:bookmarkStart w:id="31" w:name="_bookmark28"/>
      <w:bookmarkStart w:id="32" w:name="_bookmark29"/>
      <w:bookmarkStart w:id="33" w:name="_bookmark30"/>
      <w:bookmarkStart w:id="34" w:name="_bookmark31"/>
      <w:bookmarkStart w:id="35" w:name="_bookmark32"/>
      <w:bookmarkStart w:id="36" w:name="_bookmark33"/>
      <w:bookmarkStart w:id="37" w:name="_bookmark34"/>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5AABE069" w14:textId="48B7D146" w:rsidR="00395F00" w:rsidRDefault="00386E14">
      <w:pPr>
        <w:ind w:left="360"/>
      </w:pPr>
      <w:r>
        <w:t xml:space="preserve">Christina Wolfgramm (LC CO </w:t>
      </w:r>
      <w:r w:rsidR="0099622F">
        <w:t>RFC L</w:t>
      </w:r>
      <w:r w:rsidR="003C4A22">
        <w:t>F</w:t>
      </w:r>
      <w:r>
        <w:t>)</w:t>
      </w:r>
    </w:p>
    <w:p w14:paraId="5AABE06A" w14:textId="2DDA65CD" w:rsidR="00395F00" w:rsidRDefault="004E7FF8">
      <w:pPr>
        <w:ind w:left="360"/>
      </w:pPr>
      <w:r>
        <w:t>Ulrike Desimoni</w:t>
      </w:r>
      <w:r w:rsidR="00386E14">
        <w:t xml:space="preserve"> (LC CO </w:t>
      </w:r>
      <w:r w:rsidR="0099622F">
        <w:t>RFC LF</w:t>
      </w:r>
      <w:r w:rsidR="00386E14">
        <w:t>)</w:t>
      </w:r>
    </w:p>
    <w:sectPr w:rsidR="00395F00">
      <w:headerReference w:type="even" r:id="rId20"/>
      <w:headerReference w:type="default" r:id="rId21"/>
      <w:footerReference w:type="even" r:id="rId22"/>
      <w:footerReference w:type="default" r:id="rId23"/>
      <w:headerReference w:type="first" r:id="rId24"/>
      <w:footerReference w:type="first" r:id="rId25"/>
      <w:pgSz w:w="11907" w:h="16839" w:code="9"/>
      <w:pgMar w:top="1871" w:right="1021" w:bottom="1474" w:left="1134" w:header="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BE070" w14:textId="77777777" w:rsidR="00395F00" w:rsidRDefault="00386E14">
      <w:pPr>
        <w:spacing w:after="0" w:line="240" w:lineRule="auto"/>
      </w:pPr>
      <w:r>
        <w:separator/>
      </w:r>
    </w:p>
  </w:endnote>
  <w:endnote w:type="continuationSeparator" w:id="0">
    <w:p w14:paraId="5AABE071" w14:textId="77777777" w:rsidR="00395F00" w:rsidRDefault="00386E14">
      <w:pPr>
        <w:spacing w:after="0" w:line="240" w:lineRule="auto"/>
      </w:pPr>
      <w:r>
        <w:continuationSeparator/>
      </w:r>
    </w:p>
  </w:endnote>
  <w:endnote w:type="continuationNotice" w:id="1">
    <w:p w14:paraId="5AABE072" w14:textId="77777777" w:rsidR="00395F00" w:rsidRDefault="00395F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emens Sans">
    <w:panose1 w:val="00000000000000000000"/>
    <w:charset w:val="00"/>
    <w:family w:val="auto"/>
    <w:pitch w:val="variable"/>
    <w:sig w:usb0="A00002FF" w:usb1="0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6471B" w14:textId="77777777" w:rsidR="005D4922" w:rsidRDefault="005D492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BE07E" w14:textId="77777777" w:rsidR="00395F00" w:rsidRDefault="00386E14">
    <w:pPr>
      <w:pStyle w:val="Fuzeile"/>
    </w:pPr>
    <w:r>
      <w:t>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812C9" w14:textId="77777777" w:rsidR="005D4922" w:rsidRDefault="005D492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BE06D" w14:textId="77777777" w:rsidR="00395F00" w:rsidRDefault="00386E14">
      <w:pPr>
        <w:spacing w:after="0" w:line="240" w:lineRule="auto"/>
      </w:pPr>
      <w:r>
        <w:separator/>
      </w:r>
    </w:p>
  </w:footnote>
  <w:footnote w:type="continuationSeparator" w:id="0">
    <w:p w14:paraId="5AABE06E" w14:textId="77777777" w:rsidR="00395F00" w:rsidRDefault="00386E14">
      <w:pPr>
        <w:spacing w:after="0" w:line="240" w:lineRule="auto"/>
      </w:pPr>
      <w:r>
        <w:continuationSeparator/>
      </w:r>
    </w:p>
  </w:footnote>
  <w:footnote w:type="continuationNotice" w:id="1">
    <w:p w14:paraId="5AABE06F" w14:textId="77777777" w:rsidR="00395F00" w:rsidRDefault="00395F00">
      <w:pPr>
        <w:spacing w:after="0" w:line="240" w:lineRule="auto"/>
      </w:pPr>
    </w:p>
  </w:footnote>
  <w:footnote w:id="2">
    <w:p w14:paraId="5AABE081" w14:textId="77777777" w:rsidR="00395F00" w:rsidRDefault="00386E14">
      <w:pPr>
        <w:pStyle w:val="Funotentext"/>
        <w:spacing w:after="0"/>
      </w:pPr>
      <w:r>
        <w:rPr>
          <w:rStyle w:val="Funotenzeichen"/>
          <w:sz w:val="20"/>
        </w:rPr>
        <w:footnoteRef/>
      </w:r>
      <w:r>
        <w:rPr>
          <w:sz w:val="20"/>
        </w:rPr>
        <w:t xml:space="preserve"> To do so, please use the </w:t>
      </w:r>
      <w:hyperlink r:id="rId1" w:history="1">
        <w:r>
          <w:rPr>
            <w:rStyle w:val="Hyperlink"/>
            <w:sz w:val="20"/>
          </w:rPr>
          <w:t>Declaration form: Conflict of Interest</w:t>
        </w:r>
      </w:hyperlink>
      <w:r>
        <w:rPr>
          <w:sz w:val="20"/>
        </w:rPr>
        <w:t>.</w:t>
      </w:r>
    </w:p>
  </w:footnote>
  <w:footnote w:id="3">
    <w:p w14:paraId="5AABE082" w14:textId="114DB803" w:rsidR="00395F00" w:rsidRDefault="00386E14">
      <w:pPr>
        <w:pStyle w:val="Funotentext"/>
        <w:spacing w:after="0"/>
        <w:rPr>
          <w:sz w:val="20"/>
          <w:szCs w:val="20"/>
        </w:rPr>
      </w:pPr>
      <w:r>
        <w:rPr>
          <w:rStyle w:val="Funotenzeichen"/>
        </w:rPr>
        <w:footnoteRef/>
      </w:r>
      <w:r>
        <w:t xml:space="preserve"> </w:t>
      </w:r>
      <w:r>
        <w:rPr>
          <w:sz w:val="20"/>
          <w:lang w:val="en-GB"/>
        </w:rPr>
        <w:t xml:space="preserve">External Business Partner: see </w:t>
      </w:r>
      <w:hyperlink r:id="rId2" w:history="1">
        <w:r>
          <w:rPr>
            <w:rStyle w:val="Hyperlink"/>
            <w:sz w:val="20"/>
            <w:lang w:val="en-GB"/>
          </w:rPr>
          <w:t>A.</w:t>
        </w:r>
      </w:hyperlink>
      <w:r w:rsidR="007059F3">
        <w:rPr>
          <w:rStyle w:val="Hyperlink"/>
          <w:sz w:val="20"/>
          <w:lang w:val="en-GB"/>
        </w:rPr>
        <w:t>4</w:t>
      </w:r>
      <w:r>
        <w:rPr>
          <w:sz w:val="20"/>
          <w:lang w:val="en-GB"/>
        </w:rPr>
        <w:t>.</w:t>
      </w:r>
    </w:p>
  </w:footnote>
  <w:footnote w:id="4">
    <w:p w14:paraId="5AABE083" w14:textId="77777777" w:rsidR="00395F00" w:rsidRDefault="00386E14">
      <w:pPr>
        <w:rPr>
          <w:szCs w:val="20"/>
        </w:rPr>
      </w:pPr>
      <w:r>
        <w:rPr>
          <w:rStyle w:val="Funotenzeichen"/>
          <w:szCs w:val="20"/>
        </w:rPr>
        <w:footnoteRef/>
      </w:r>
      <w:r>
        <w:rPr>
          <w:szCs w:val="20"/>
        </w:rPr>
        <w:t xml:space="preserve"> Third-party: </w:t>
      </w:r>
      <w:r>
        <w:rPr>
          <w:szCs w:val="20"/>
          <w:lang w:val="en-GB"/>
        </w:rPr>
        <w:t xml:space="preserve">Customer (e.g. public sector), Supplier, Competitor.  </w:t>
      </w:r>
    </w:p>
  </w:footnote>
  <w:footnote w:id="5">
    <w:p w14:paraId="5AABE084" w14:textId="77777777" w:rsidR="00395F00" w:rsidRDefault="00386E14">
      <w:pPr>
        <w:pStyle w:val="Funotentext"/>
      </w:pPr>
      <w:r>
        <w:rPr>
          <w:rStyle w:val="Funotenzeichen"/>
          <w:sz w:val="20"/>
          <w:szCs w:val="20"/>
        </w:rPr>
        <w:footnoteRef/>
      </w:r>
      <w:r>
        <w:rPr>
          <w:sz w:val="20"/>
          <w:szCs w:val="20"/>
        </w:rPr>
        <w:t xml:space="preserve"> The Declaration of Conflict of Interest form can be found </w:t>
      </w:r>
      <w:hyperlink r:id="rId3" w:history="1">
        <w:r>
          <w:rPr>
            <w:rStyle w:val="Hyperlink"/>
            <w:sz w:val="20"/>
            <w:szCs w:val="20"/>
          </w:rPr>
          <w:t>here</w:t>
        </w:r>
      </w:hyperlink>
      <w:r>
        <w:rPr>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2D5AF" w14:textId="77777777" w:rsidR="005D4922" w:rsidRDefault="005D492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Head"/>
      <w:tblW w:w="12569" w:type="dxa"/>
      <w:tblInd w:w="-1134" w:type="dxa"/>
      <w:tblCellMar>
        <w:top w:w="0" w:type="dxa"/>
        <w:bottom w:w="0" w:type="dxa"/>
      </w:tblCellMar>
      <w:tblLook w:val="04A0" w:firstRow="1" w:lastRow="0" w:firstColumn="1" w:lastColumn="0" w:noHBand="0" w:noVBand="1"/>
    </w:tblPr>
    <w:tblGrid>
      <w:gridCol w:w="1020"/>
      <w:gridCol w:w="624"/>
      <w:gridCol w:w="9752"/>
      <w:gridCol w:w="1173"/>
    </w:tblGrid>
    <w:tr w:rsidR="00395F00" w14:paraId="5AABE077" w14:textId="77777777" w:rsidTr="00395F00">
      <w:trPr>
        <w:cnfStyle w:val="100000000000" w:firstRow="1" w:lastRow="0" w:firstColumn="0" w:lastColumn="0" w:oddVBand="0" w:evenVBand="0" w:oddHBand="0" w:evenHBand="0" w:firstRowFirstColumn="0" w:firstRowLastColumn="0" w:lastRowFirstColumn="0" w:lastRowLastColumn="0"/>
        <w:trHeight w:hRule="exact" w:val="567"/>
      </w:trPr>
      <w:tc>
        <w:tcPr>
          <w:tcW w:w="1020" w:type="dxa"/>
        </w:tcPr>
        <w:p w14:paraId="5AABE073" w14:textId="77777777" w:rsidR="00395F00" w:rsidRDefault="00386E14">
          <w:pPr>
            <w:pStyle w:val="Kopfzeile"/>
            <w:ind w:left="-426"/>
          </w:pPr>
          <w:r>
            <w:t>z</w:t>
          </w:r>
        </w:p>
      </w:tc>
      <w:tc>
        <w:tcPr>
          <w:tcW w:w="624" w:type="dxa"/>
        </w:tcPr>
        <w:p w14:paraId="5AABE074" w14:textId="77777777" w:rsidR="00395F00" w:rsidRDefault="00395F00">
          <w:pPr>
            <w:pStyle w:val="Kopfzeile"/>
            <w:ind w:left="-641"/>
          </w:pPr>
        </w:p>
      </w:tc>
      <w:tc>
        <w:tcPr>
          <w:tcW w:w="9752" w:type="dxa"/>
        </w:tcPr>
        <w:p w14:paraId="5AABE075" w14:textId="77777777" w:rsidR="00395F00" w:rsidRDefault="00395F00">
          <w:pPr>
            <w:pStyle w:val="Kopfzeile"/>
          </w:pPr>
        </w:p>
      </w:tc>
      <w:tc>
        <w:tcPr>
          <w:tcW w:w="1173" w:type="dxa"/>
        </w:tcPr>
        <w:p w14:paraId="5AABE076" w14:textId="77777777" w:rsidR="00395F00" w:rsidRDefault="00395F00">
          <w:pPr>
            <w:pStyle w:val="Kopfzeile"/>
          </w:pPr>
        </w:p>
      </w:tc>
    </w:tr>
    <w:tr w:rsidR="00395F00" w14:paraId="5AABE07C" w14:textId="77777777" w:rsidTr="00395F00">
      <w:trPr>
        <w:cantSplit/>
        <w:trHeight w:hRule="exact" w:val="575"/>
      </w:trPr>
      <w:tc>
        <w:tcPr>
          <w:tcW w:w="1020" w:type="dxa"/>
        </w:tcPr>
        <w:p w14:paraId="5AABE078" w14:textId="77777777" w:rsidR="00395F00" w:rsidRDefault="00395F00">
          <w:pPr>
            <w:pStyle w:val="Fuzeile"/>
          </w:pPr>
        </w:p>
      </w:tc>
      <w:tc>
        <w:tcPr>
          <w:tcW w:w="624" w:type="dxa"/>
          <w:vAlign w:val="bottom"/>
        </w:tcPr>
        <w:p w14:paraId="5AABE079" w14:textId="77777777" w:rsidR="00395F00" w:rsidRDefault="00386E14">
          <w:pPr>
            <w:pStyle w:val="Fuzeile"/>
            <w:jc w:val="center"/>
          </w:pPr>
          <w:r>
            <w:rPr>
              <w:noProof/>
            </w:rPr>
            <w:drawing>
              <wp:inline distT="0" distB="0" distL="0" distR="0" wp14:anchorId="5AABE07F" wp14:editId="5AABE080">
                <wp:extent cx="346710" cy="305061"/>
                <wp:effectExtent l="19050" t="0" r="0" b="0"/>
                <wp:docPr id="5" name="Bild 2" descr="C:\Users\TONSC00A\AppData\Local\Microsoft\Windows\Temporary Internet Files\Content.Word\Icon_Legal_Handbook_Schriftro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SC00A\AppData\Local\Microsoft\Windows\Temporary Internet Files\Content.Word\Icon_Legal_Handbook_Schriftrolle.png"/>
                        <pic:cNvPicPr>
                          <a:picLocks noChangeAspect="1" noChangeArrowheads="1"/>
                        </pic:cNvPicPr>
                      </pic:nvPicPr>
                      <pic:blipFill>
                        <a:blip r:embed="rId1"/>
                        <a:srcRect/>
                        <a:stretch>
                          <a:fillRect/>
                        </a:stretch>
                      </pic:blipFill>
                      <pic:spPr bwMode="auto">
                        <a:xfrm>
                          <a:off x="0" y="0"/>
                          <a:ext cx="347763" cy="305987"/>
                        </a:xfrm>
                        <a:prstGeom prst="rect">
                          <a:avLst/>
                        </a:prstGeom>
                        <a:noFill/>
                        <a:ln w="9525">
                          <a:noFill/>
                          <a:miter lim="800000"/>
                          <a:headEnd/>
                          <a:tailEnd/>
                        </a:ln>
                      </pic:spPr>
                    </pic:pic>
                  </a:graphicData>
                </a:graphic>
              </wp:inline>
            </w:drawing>
          </w:r>
        </w:p>
      </w:tc>
      <w:tc>
        <w:tcPr>
          <w:tcW w:w="9752" w:type="dxa"/>
        </w:tcPr>
        <w:p w14:paraId="5AABE07A" w14:textId="0CAE56DB" w:rsidR="00395F00" w:rsidRDefault="00386E14">
          <w:pPr>
            <w:pStyle w:val="Header"/>
          </w:pPr>
          <w:r>
            <w:t xml:space="preserve">Compliance Handbook | Part 1 | A. Anti-Corruption | </w:t>
          </w:r>
          <w:r w:rsidR="005D4922">
            <w:t>5</w:t>
          </w:r>
          <w:r>
            <w:t>. Conflict of interest</w:t>
          </w:r>
        </w:p>
      </w:tc>
      <w:tc>
        <w:tcPr>
          <w:tcW w:w="1173" w:type="dxa"/>
        </w:tcPr>
        <w:p w14:paraId="5AABE07B" w14:textId="77777777" w:rsidR="00395F00" w:rsidRDefault="00395F00">
          <w:pPr>
            <w:pStyle w:val="Header"/>
          </w:pPr>
        </w:p>
      </w:tc>
    </w:tr>
  </w:tbl>
  <w:p w14:paraId="5AABE07D" w14:textId="77777777" w:rsidR="00395F00" w:rsidRDefault="00395F0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5AC71" w14:textId="77777777" w:rsidR="005D4922" w:rsidRDefault="005D492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E6755"/>
    <w:multiLevelType w:val="hybridMultilevel"/>
    <w:tmpl w:val="6374C2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E55077"/>
    <w:multiLevelType w:val="hybridMultilevel"/>
    <w:tmpl w:val="6FAEE8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233778"/>
    <w:multiLevelType w:val="hybridMultilevel"/>
    <w:tmpl w:val="63784D1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56155B"/>
    <w:multiLevelType w:val="hybridMultilevel"/>
    <w:tmpl w:val="060AFF3A"/>
    <w:lvl w:ilvl="0" w:tplc="6EF05930">
      <w:start w:val="1"/>
      <w:numFmt w:val="lowerLetter"/>
      <w:pStyle w:val="eManualAufzhlunga"/>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4" w15:restartNumberingAfterBreak="0">
    <w:nsid w:val="10A706B3"/>
    <w:multiLevelType w:val="hybridMultilevel"/>
    <w:tmpl w:val="53C662D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AC4AEA"/>
    <w:multiLevelType w:val="hybridMultilevel"/>
    <w:tmpl w:val="4CF6DD4C"/>
    <w:lvl w:ilvl="0" w:tplc="B816B088">
      <w:start w:val="1"/>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15B0CD6"/>
    <w:multiLevelType w:val="hybridMultilevel"/>
    <w:tmpl w:val="4E5A5F46"/>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1F04B90"/>
    <w:multiLevelType w:val="multilevel"/>
    <w:tmpl w:val="D5C8EBA6"/>
    <w:lvl w:ilvl="0">
      <w:start w:val="1"/>
      <w:numFmt w:val="decimal"/>
      <w:pStyle w:val="Numbers"/>
      <w:lvlText w:val="%1."/>
      <w:lvlJc w:val="left"/>
      <w:pPr>
        <w:ind w:left="720" w:hanging="360"/>
      </w:pPr>
    </w:lvl>
    <w:lvl w:ilvl="1">
      <w:start w:val="4"/>
      <w:numFmt w:val="decimal"/>
      <w:isLgl/>
      <w:lvlText w:val="%1.%2"/>
      <w:lvlJc w:val="left"/>
      <w:pPr>
        <w:ind w:left="1350" w:hanging="990"/>
      </w:pPr>
      <w:rPr>
        <w:rFonts w:hint="default"/>
      </w:rPr>
    </w:lvl>
    <w:lvl w:ilvl="2">
      <w:start w:val="1"/>
      <w:numFmt w:val="decimal"/>
      <w:isLgl/>
      <w:lvlText w:val="%1.%2.%3"/>
      <w:lvlJc w:val="left"/>
      <w:pPr>
        <w:ind w:left="1350" w:hanging="990"/>
      </w:pPr>
      <w:rPr>
        <w:rFonts w:hint="default"/>
      </w:rPr>
    </w:lvl>
    <w:lvl w:ilvl="3">
      <w:start w:val="2"/>
      <w:numFmt w:val="decimal"/>
      <w:isLgl/>
      <w:lvlText w:val="%1.%2.%3.%4"/>
      <w:lvlJc w:val="left"/>
      <w:pPr>
        <w:ind w:left="1350" w:hanging="99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2E058A1"/>
    <w:multiLevelType w:val="hybridMultilevel"/>
    <w:tmpl w:val="A61CF02E"/>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7857F67"/>
    <w:multiLevelType w:val="hybridMultilevel"/>
    <w:tmpl w:val="5824EF12"/>
    <w:lvl w:ilvl="0" w:tplc="9B8CD03E">
      <w:start w:val="1"/>
      <w:numFmt w:val="bullet"/>
      <w:pStyle w:val="CopyBulletpoints"/>
      <w:lvlText w:val=""/>
      <w:lvlJc w:val="left"/>
      <w:pPr>
        <w:ind w:left="360" w:hanging="360"/>
      </w:pPr>
      <w:rPr>
        <w:rFonts w:ascii="Symbol" w:hAnsi="Symbol" w:hint="default"/>
        <w:color w:val="BECDD7" w:themeColor="background2"/>
      </w:rPr>
    </w:lvl>
    <w:lvl w:ilvl="1" w:tplc="931403F6">
      <w:start w:val="1"/>
      <w:numFmt w:val="bullet"/>
      <w:lvlText w:val="o"/>
      <w:lvlJc w:val="left"/>
      <w:pPr>
        <w:ind w:left="1440" w:hanging="360"/>
      </w:pPr>
      <w:rPr>
        <w:rFonts w:ascii="Courier New" w:hAnsi="Courier New" w:cs="Courier New" w:hint="default"/>
      </w:rPr>
    </w:lvl>
    <w:lvl w:ilvl="2" w:tplc="3CB40F0A">
      <w:start w:val="1"/>
      <w:numFmt w:val="bullet"/>
      <w:lvlText w:val=""/>
      <w:lvlJc w:val="left"/>
      <w:pPr>
        <w:ind w:left="2160" w:hanging="360"/>
      </w:pPr>
      <w:rPr>
        <w:rFonts w:ascii="Wingdings" w:hAnsi="Wingdings" w:hint="default"/>
      </w:rPr>
    </w:lvl>
    <w:lvl w:ilvl="3" w:tplc="2E7EFE6C" w:tentative="1">
      <w:start w:val="1"/>
      <w:numFmt w:val="bullet"/>
      <w:lvlText w:val=""/>
      <w:lvlJc w:val="left"/>
      <w:pPr>
        <w:ind w:left="2880" w:hanging="360"/>
      </w:pPr>
      <w:rPr>
        <w:rFonts w:ascii="Symbol" w:hAnsi="Symbol" w:hint="default"/>
      </w:rPr>
    </w:lvl>
    <w:lvl w:ilvl="4" w:tplc="0854DFA6" w:tentative="1">
      <w:start w:val="1"/>
      <w:numFmt w:val="bullet"/>
      <w:lvlText w:val="o"/>
      <w:lvlJc w:val="left"/>
      <w:pPr>
        <w:ind w:left="3600" w:hanging="360"/>
      </w:pPr>
      <w:rPr>
        <w:rFonts w:ascii="Courier New" w:hAnsi="Courier New" w:cs="Courier New" w:hint="default"/>
      </w:rPr>
    </w:lvl>
    <w:lvl w:ilvl="5" w:tplc="95E61DAE" w:tentative="1">
      <w:start w:val="1"/>
      <w:numFmt w:val="bullet"/>
      <w:lvlText w:val=""/>
      <w:lvlJc w:val="left"/>
      <w:pPr>
        <w:ind w:left="4320" w:hanging="360"/>
      </w:pPr>
      <w:rPr>
        <w:rFonts w:ascii="Wingdings" w:hAnsi="Wingdings" w:hint="default"/>
      </w:rPr>
    </w:lvl>
    <w:lvl w:ilvl="6" w:tplc="09F67890" w:tentative="1">
      <w:start w:val="1"/>
      <w:numFmt w:val="bullet"/>
      <w:lvlText w:val=""/>
      <w:lvlJc w:val="left"/>
      <w:pPr>
        <w:ind w:left="5040" w:hanging="360"/>
      </w:pPr>
      <w:rPr>
        <w:rFonts w:ascii="Symbol" w:hAnsi="Symbol" w:hint="default"/>
      </w:rPr>
    </w:lvl>
    <w:lvl w:ilvl="7" w:tplc="9C0ABC14" w:tentative="1">
      <w:start w:val="1"/>
      <w:numFmt w:val="bullet"/>
      <w:lvlText w:val="o"/>
      <w:lvlJc w:val="left"/>
      <w:pPr>
        <w:ind w:left="5760" w:hanging="360"/>
      </w:pPr>
      <w:rPr>
        <w:rFonts w:ascii="Courier New" w:hAnsi="Courier New" w:cs="Courier New" w:hint="default"/>
      </w:rPr>
    </w:lvl>
    <w:lvl w:ilvl="8" w:tplc="F5822C54" w:tentative="1">
      <w:start w:val="1"/>
      <w:numFmt w:val="bullet"/>
      <w:lvlText w:val=""/>
      <w:lvlJc w:val="left"/>
      <w:pPr>
        <w:ind w:left="6480" w:hanging="360"/>
      </w:pPr>
      <w:rPr>
        <w:rFonts w:ascii="Wingdings" w:hAnsi="Wingdings" w:hint="default"/>
      </w:rPr>
    </w:lvl>
  </w:abstractNum>
  <w:abstractNum w:abstractNumId="10" w15:restartNumberingAfterBreak="0">
    <w:nsid w:val="2A2B60B3"/>
    <w:multiLevelType w:val="hybridMultilevel"/>
    <w:tmpl w:val="F2622C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7FD2446"/>
    <w:multiLevelType w:val="hybridMultilevel"/>
    <w:tmpl w:val="91D046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8AE179A"/>
    <w:multiLevelType w:val="hybridMultilevel"/>
    <w:tmpl w:val="582883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3CA001CF"/>
    <w:multiLevelType w:val="hybridMultilevel"/>
    <w:tmpl w:val="3E14EF9A"/>
    <w:lvl w:ilvl="0" w:tplc="A406EF52">
      <w:start w:val="1"/>
      <w:numFmt w:val="upperLetter"/>
      <w:pStyle w:val="berschrift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BDAE6A88" w:tentative="1">
      <w:start w:val="1"/>
      <w:numFmt w:val="lowerLetter"/>
      <w:lvlText w:val="%2."/>
      <w:lvlJc w:val="left"/>
      <w:pPr>
        <w:ind w:left="1440" w:hanging="360"/>
      </w:pPr>
    </w:lvl>
    <w:lvl w:ilvl="2" w:tplc="83AAA582" w:tentative="1">
      <w:start w:val="1"/>
      <w:numFmt w:val="lowerRoman"/>
      <w:lvlText w:val="%3."/>
      <w:lvlJc w:val="right"/>
      <w:pPr>
        <w:ind w:left="2160" w:hanging="180"/>
      </w:pPr>
    </w:lvl>
    <w:lvl w:ilvl="3" w:tplc="0E726AE8" w:tentative="1">
      <w:start w:val="1"/>
      <w:numFmt w:val="decimal"/>
      <w:lvlText w:val="%4."/>
      <w:lvlJc w:val="left"/>
      <w:pPr>
        <w:ind w:left="2880" w:hanging="360"/>
      </w:pPr>
    </w:lvl>
    <w:lvl w:ilvl="4" w:tplc="BDC4BAA0" w:tentative="1">
      <w:start w:val="1"/>
      <w:numFmt w:val="lowerLetter"/>
      <w:lvlText w:val="%5."/>
      <w:lvlJc w:val="left"/>
      <w:pPr>
        <w:ind w:left="3600" w:hanging="360"/>
      </w:pPr>
    </w:lvl>
    <w:lvl w:ilvl="5" w:tplc="1F28A842" w:tentative="1">
      <w:start w:val="1"/>
      <w:numFmt w:val="lowerRoman"/>
      <w:lvlText w:val="%6."/>
      <w:lvlJc w:val="right"/>
      <w:pPr>
        <w:ind w:left="4320" w:hanging="180"/>
      </w:pPr>
    </w:lvl>
    <w:lvl w:ilvl="6" w:tplc="5FCEF82A" w:tentative="1">
      <w:start w:val="1"/>
      <w:numFmt w:val="decimal"/>
      <w:lvlText w:val="%7."/>
      <w:lvlJc w:val="left"/>
      <w:pPr>
        <w:ind w:left="5040" w:hanging="360"/>
      </w:pPr>
    </w:lvl>
    <w:lvl w:ilvl="7" w:tplc="EE720D6C" w:tentative="1">
      <w:start w:val="1"/>
      <w:numFmt w:val="lowerLetter"/>
      <w:lvlText w:val="%8."/>
      <w:lvlJc w:val="left"/>
      <w:pPr>
        <w:ind w:left="5760" w:hanging="360"/>
      </w:pPr>
    </w:lvl>
    <w:lvl w:ilvl="8" w:tplc="4BA447DA" w:tentative="1">
      <w:start w:val="1"/>
      <w:numFmt w:val="lowerRoman"/>
      <w:lvlText w:val="%9."/>
      <w:lvlJc w:val="right"/>
      <w:pPr>
        <w:ind w:left="6480" w:hanging="180"/>
      </w:pPr>
    </w:lvl>
  </w:abstractNum>
  <w:abstractNum w:abstractNumId="14" w15:restartNumberingAfterBreak="0">
    <w:nsid w:val="444B3351"/>
    <w:multiLevelType w:val="hybridMultilevel"/>
    <w:tmpl w:val="EE9A2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72506D3"/>
    <w:multiLevelType w:val="hybridMultilevel"/>
    <w:tmpl w:val="05D2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0058E"/>
    <w:multiLevelType w:val="multilevel"/>
    <w:tmpl w:val="B3B00628"/>
    <w:styleLink w:val="Formatvorlage1"/>
    <w:lvl w:ilvl="0">
      <w:start w:val="1"/>
      <w:numFmt w:val="decimal"/>
      <w:lvlText w:val="%1."/>
      <w:lvlJc w:val="left"/>
      <w:pPr>
        <w:ind w:left="360" w:hanging="360"/>
      </w:pPr>
    </w:lvl>
    <w:lvl w:ilvl="1">
      <w:start w:val="3"/>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9F1714E"/>
    <w:multiLevelType w:val="hybridMultilevel"/>
    <w:tmpl w:val="243674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A851BC9"/>
    <w:multiLevelType w:val="hybridMultilevel"/>
    <w:tmpl w:val="3E3A9F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02A19FB"/>
    <w:multiLevelType w:val="hybridMultilevel"/>
    <w:tmpl w:val="F2960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F451DD"/>
    <w:multiLevelType w:val="hybridMultilevel"/>
    <w:tmpl w:val="BA68D8C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29B59C6"/>
    <w:multiLevelType w:val="hybridMultilevel"/>
    <w:tmpl w:val="858CAE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54A44F6"/>
    <w:multiLevelType w:val="hybridMultilevel"/>
    <w:tmpl w:val="F7FAD052"/>
    <w:lvl w:ilvl="0" w:tplc="0407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5D1E052F"/>
    <w:multiLevelType w:val="hybridMultilevel"/>
    <w:tmpl w:val="2FE4A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65603F"/>
    <w:multiLevelType w:val="hybridMultilevel"/>
    <w:tmpl w:val="5054F9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625F1011"/>
    <w:multiLevelType w:val="hybridMultilevel"/>
    <w:tmpl w:val="07AE041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62B2229F"/>
    <w:multiLevelType w:val="hybridMultilevel"/>
    <w:tmpl w:val="610C69E6"/>
    <w:lvl w:ilvl="0" w:tplc="CDAA92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1A0B32"/>
    <w:multiLevelType w:val="hybridMultilevel"/>
    <w:tmpl w:val="7DD0F1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81661B5"/>
    <w:multiLevelType w:val="hybridMultilevel"/>
    <w:tmpl w:val="4AC856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9372504"/>
    <w:multiLevelType w:val="hybridMultilevel"/>
    <w:tmpl w:val="70B66C0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A2A0A71"/>
    <w:multiLevelType w:val="hybridMultilevel"/>
    <w:tmpl w:val="659C6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95A67"/>
    <w:multiLevelType w:val="hybridMultilevel"/>
    <w:tmpl w:val="D5BE8D0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DA476B2"/>
    <w:multiLevelType w:val="hybridMultilevel"/>
    <w:tmpl w:val="AF109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7C6C80"/>
    <w:multiLevelType w:val="hybridMultilevel"/>
    <w:tmpl w:val="8860354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E8B1705"/>
    <w:multiLevelType w:val="hybridMultilevel"/>
    <w:tmpl w:val="84D6AA8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FC06E98"/>
    <w:multiLevelType w:val="hybridMultilevel"/>
    <w:tmpl w:val="9CF863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0E25D42"/>
    <w:multiLevelType w:val="hybridMultilevel"/>
    <w:tmpl w:val="4124815E"/>
    <w:lvl w:ilvl="0" w:tplc="0FC0B704">
      <w:start w:val="1"/>
      <w:numFmt w:val="bullet"/>
      <w:pStyle w:val="DoDontBulletpoints"/>
      <w:lvlText w:val="▌"/>
      <w:lvlJc w:val="left"/>
      <w:pPr>
        <w:ind w:left="360" w:hanging="360"/>
      </w:pPr>
      <w:rPr>
        <w:rFonts w:ascii="Arial" w:hAnsi="Arial" w:hint="default"/>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37" w15:restartNumberingAfterBreak="0">
    <w:nsid w:val="71966287"/>
    <w:multiLevelType w:val="hybridMultilevel"/>
    <w:tmpl w:val="3158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AD284A"/>
    <w:multiLevelType w:val="hybridMultilevel"/>
    <w:tmpl w:val="D43A6C9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9" w15:restartNumberingAfterBreak="0">
    <w:nsid w:val="735C63B7"/>
    <w:multiLevelType w:val="hybridMultilevel"/>
    <w:tmpl w:val="1D6E85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36"/>
  </w:num>
  <w:num w:numId="4">
    <w:abstractNumId w:val="13"/>
  </w:num>
  <w:num w:numId="5">
    <w:abstractNumId w:val="16"/>
  </w:num>
  <w:num w:numId="6">
    <w:abstractNumId w:val="3"/>
  </w:num>
  <w:num w:numId="7">
    <w:abstractNumId w:val="30"/>
  </w:num>
  <w:num w:numId="8">
    <w:abstractNumId w:val="23"/>
  </w:num>
  <w:num w:numId="9">
    <w:abstractNumId w:val="18"/>
  </w:num>
  <w:num w:numId="10">
    <w:abstractNumId w:val="21"/>
  </w:num>
  <w:num w:numId="11">
    <w:abstractNumId w:val="38"/>
  </w:num>
  <w:num w:numId="12">
    <w:abstractNumId w:val="17"/>
  </w:num>
  <w:num w:numId="13">
    <w:abstractNumId w:val="29"/>
  </w:num>
  <w:num w:numId="14">
    <w:abstractNumId w:val="34"/>
  </w:num>
  <w:num w:numId="15">
    <w:abstractNumId w:val="35"/>
  </w:num>
  <w:num w:numId="16">
    <w:abstractNumId w:val="31"/>
  </w:num>
  <w:num w:numId="17">
    <w:abstractNumId w:val="20"/>
  </w:num>
  <w:num w:numId="18">
    <w:abstractNumId w:val="6"/>
  </w:num>
  <w:num w:numId="19">
    <w:abstractNumId w:val="2"/>
  </w:num>
  <w:num w:numId="20">
    <w:abstractNumId w:val="4"/>
  </w:num>
  <w:num w:numId="21">
    <w:abstractNumId w:val="27"/>
  </w:num>
  <w:num w:numId="22">
    <w:abstractNumId w:val="10"/>
  </w:num>
  <w:num w:numId="23">
    <w:abstractNumId w:val="33"/>
  </w:num>
  <w:num w:numId="24">
    <w:abstractNumId w:val="28"/>
  </w:num>
  <w:num w:numId="25">
    <w:abstractNumId w:val="11"/>
  </w:num>
  <w:num w:numId="26">
    <w:abstractNumId w:val="1"/>
  </w:num>
  <w:num w:numId="27">
    <w:abstractNumId w:val="0"/>
  </w:num>
  <w:num w:numId="28">
    <w:abstractNumId w:val="25"/>
  </w:num>
  <w:num w:numId="29">
    <w:abstractNumId w:val="14"/>
  </w:num>
  <w:num w:numId="30">
    <w:abstractNumId w:val="39"/>
  </w:num>
  <w:num w:numId="31">
    <w:abstractNumId w:val="24"/>
  </w:num>
  <w:num w:numId="32">
    <w:abstractNumId w:val="5"/>
  </w:num>
  <w:num w:numId="33">
    <w:abstractNumId w:val="22"/>
  </w:num>
  <w:num w:numId="34">
    <w:abstractNumId w:val="12"/>
  </w:num>
  <w:num w:numId="35">
    <w:abstractNumId w:val="5"/>
  </w:num>
  <w:num w:numId="36">
    <w:abstractNumId w:val="19"/>
  </w:num>
  <w:num w:numId="37">
    <w:abstractNumId w:val="37"/>
  </w:num>
  <w:num w:numId="38">
    <w:abstractNumId w:val="15"/>
  </w:num>
  <w:num w:numId="39">
    <w:abstractNumId w:val="32"/>
  </w:num>
  <w:num w:numId="40">
    <w:abstractNumId w:val="26"/>
  </w:num>
  <w:num w:numId="4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trackRevisions/>
  <w:defaultTabStop w:val="720"/>
  <w:hyphenationZone w:val="425"/>
  <w:characterSpacingControl w:val="doNotCompress"/>
  <w:hdrShapeDefaults>
    <o:shapedefaults v:ext="edit" spidmax="59393"/>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95F00"/>
    <w:rsid w:val="00240349"/>
    <w:rsid w:val="00386E14"/>
    <w:rsid w:val="00395F00"/>
    <w:rsid w:val="003C4A22"/>
    <w:rsid w:val="004E7FF8"/>
    <w:rsid w:val="00554F15"/>
    <w:rsid w:val="005D4922"/>
    <w:rsid w:val="006A3400"/>
    <w:rsid w:val="007059F3"/>
    <w:rsid w:val="007A115D"/>
    <w:rsid w:val="008F02A5"/>
    <w:rsid w:val="0099622F"/>
    <w:rsid w:val="00A33AC9"/>
    <w:rsid w:val="00BF7C0E"/>
    <w:rsid w:val="00E37729"/>
    <w:rsid w:val="00EF038D"/>
    <w:rsid w:val="00FA17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5AABDFC0"/>
  <w15:docId w15:val="{0DFC3AF2-7DC6-4895-84CE-40E56B4DD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_Copy Arial 10pt"/>
    <w:qFormat/>
    <w:pPr>
      <w:spacing w:after="140" w:line="300" w:lineRule="auto"/>
    </w:pPr>
    <w:rPr>
      <w:sz w:val="20"/>
    </w:rPr>
  </w:style>
  <w:style w:type="paragraph" w:styleId="berschrift1">
    <w:name w:val="heading 1"/>
    <w:aliases w:val="_Headline 18 pt"/>
    <w:basedOn w:val="Standard"/>
    <w:next w:val="Standard"/>
    <w:link w:val="berschrift1Zchn"/>
    <w:uiPriority w:val="9"/>
    <w:qFormat/>
    <w:pPr>
      <w:keepNext/>
      <w:keepLines/>
      <w:numPr>
        <w:numId w:val="4"/>
      </w:numPr>
      <w:spacing w:after="600"/>
      <w:outlineLvl w:val="0"/>
    </w:pPr>
    <w:rPr>
      <w:rFonts w:ascii="Times New Roman" w:eastAsiaTheme="majorEastAsia" w:hAnsi="Times New Roman" w:cstheme="majorBidi"/>
      <w:bCs/>
      <w:color w:val="BECDD7" w:themeColor="background2"/>
      <w:sz w:val="52"/>
      <w:szCs w:val="28"/>
    </w:rPr>
  </w:style>
  <w:style w:type="paragraph" w:styleId="berschrift2">
    <w:name w:val="heading 2"/>
    <w:aliases w:val="_Headline Times 30 pt"/>
    <w:next w:val="Standard"/>
    <w:link w:val="berschrift2Zchn"/>
    <w:uiPriority w:val="9"/>
    <w:unhideWhenUsed/>
    <w:qFormat/>
    <w:pPr>
      <w:keepNext/>
      <w:keepLines/>
      <w:spacing w:before="360" w:after="120"/>
      <w:outlineLvl w:val="1"/>
    </w:pPr>
    <w:rPr>
      <w:rFonts w:ascii="Times New Roman" w:eastAsiaTheme="majorEastAsia" w:hAnsi="Times New Roman" w:cstheme="majorBidi"/>
      <w:bCs/>
      <w:color w:val="879BAA" w:themeColor="text2"/>
      <w:sz w:val="48"/>
      <w:szCs w:val="26"/>
    </w:rPr>
  </w:style>
  <w:style w:type="paragraph" w:styleId="berschrift3">
    <w:name w:val="heading 3"/>
    <w:aliases w:val="_Headline 11pt"/>
    <w:next w:val="Standard"/>
    <w:link w:val="berschrift3Zchn"/>
    <w:uiPriority w:val="9"/>
    <w:unhideWhenUsed/>
    <w:qFormat/>
    <w:pPr>
      <w:spacing w:before="360" w:after="120"/>
      <w:outlineLvl w:val="2"/>
    </w:pPr>
    <w:rPr>
      <w:rFonts w:eastAsiaTheme="majorEastAsia" w:cstheme="majorBidi"/>
      <w:b/>
      <w:color w:val="006487" w:themeColor="accent3"/>
      <w:szCs w:val="26"/>
    </w:rPr>
  </w:style>
  <w:style w:type="paragraph" w:styleId="berschrift4">
    <w:name w:val="heading 4"/>
    <w:aliases w:val="_"/>
    <w:basedOn w:val="berschrift3"/>
    <w:next w:val="KeinAbsatzformat"/>
    <w:link w:val="berschrift4Zchn"/>
    <w:uiPriority w:val="9"/>
    <w:unhideWhenUsed/>
    <w:qFormat/>
    <w:pPr>
      <w:outlineLvl w:val="3"/>
    </w:pPr>
    <w:rPr>
      <w:bCs/>
      <w:iCs/>
    </w:rPr>
  </w:style>
  <w:style w:type="paragraph" w:styleId="berschrift5">
    <w:name w:val="heading 5"/>
    <w:basedOn w:val="berschrift3"/>
    <w:next w:val="KeinAbsatzformat"/>
    <w:link w:val="berschrift5Zchn"/>
    <w:uiPriority w:val="9"/>
    <w:unhideWhenUsed/>
    <w:qFormat/>
    <w:pPr>
      <w:keepNext/>
      <w:keepLines/>
      <w:numPr>
        <w:ilvl w:val="4"/>
      </w:numPr>
      <w:tabs>
        <w:tab w:val="left" w:pos="1418"/>
      </w:tabs>
      <w:ind w:left="1418" w:hanging="1418"/>
      <w:jc w:val="both"/>
      <w:outlineLvl w:val="4"/>
    </w:pPr>
  </w:style>
  <w:style w:type="paragraph" w:styleId="berschrift6">
    <w:name w:val="heading 6"/>
    <w:basedOn w:val="berschrift3"/>
    <w:next w:val="KeinAbsatzformat"/>
    <w:link w:val="berschrift6Zchn"/>
    <w:uiPriority w:val="9"/>
    <w:unhideWhenUsed/>
    <w:qFormat/>
    <w:pPr>
      <w:keepNext/>
      <w:keepLines/>
      <w:outlineLvl w:val="5"/>
    </w:pPr>
    <w:rPr>
      <w:iCs/>
    </w:rPr>
  </w:style>
  <w:style w:type="paragraph" w:styleId="berschrift7">
    <w:name w:val="heading 7"/>
    <w:basedOn w:val="Standard"/>
    <w:next w:val="Standard"/>
    <w:link w:val="berschrift7Zchn"/>
    <w:qFormat/>
    <w:pPr>
      <w:keepNext/>
      <w:tabs>
        <w:tab w:val="num" w:pos="1296"/>
      </w:tabs>
      <w:spacing w:after="200" w:line="276" w:lineRule="auto"/>
      <w:ind w:left="1296" w:hanging="1296"/>
      <w:outlineLvl w:val="6"/>
    </w:pPr>
    <w:rPr>
      <w:sz w:val="22"/>
    </w:rPr>
  </w:style>
  <w:style w:type="paragraph" w:styleId="berschrift8">
    <w:name w:val="heading 8"/>
    <w:basedOn w:val="Standard"/>
    <w:next w:val="Standard"/>
    <w:link w:val="berschrift8Zchn"/>
    <w:qFormat/>
    <w:pPr>
      <w:tabs>
        <w:tab w:val="num" w:pos="1440"/>
      </w:tabs>
      <w:spacing w:before="240" w:after="60" w:line="276" w:lineRule="auto"/>
      <w:ind w:left="1440" w:hanging="1440"/>
      <w:outlineLvl w:val="7"/>
    </w:pPr>
    <w:rPr>
      <w:i/>
      <w:iCs/>
      <w:sz w:val="22"/>
      <w:szCs w:val="24"/>
    </w:rPr>
  </w:style>
  <w:style w:type="paragraph" w:styleId="berschrift9">
    <w:name w:val="heading 9"/>
    <w:basedOn w:val="Standard"/>
    <w:next w:val="Standard"/>
    <w:link w:val="berschrift9Zchn"/>
    <w:qFormat/>
    <w:pPr>
      <w:tabs>
        <w:tab w:val="num" w:pos="1584"/>
      </w:tabs>
      <w:spacing w:before="240" w:after="60" w:line="276" w:lineRule="auto"/>
      <w:ind w:left="1584" w:hanging="1584"/>
      <w:outlineLvl w:val="8"/>
    </w:pPr>
    <w:rPr>
      <w:rFonts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_Headline 18 pt Zchn"/>
    <w:basedOn w:val="Absatz-Standardschriftart"/>
    <w:link w:val="berschrift1"/>
    <w:uiPriority w:val="9"/>
    <w:rPr>
      <w:rFonts w:ascii="Times New Roman" w:eastAsiaTheme="majorEastAsia" w:hAnsi="Times New Roman" w:cstheme="majorBidi"/>
      <w:bCs/>
      <w:color w:val="BECDD7" w:themeColor="background2"/>
      <w:sz w:val="52"/>
      <w:szCs w:val="28"/>
    </w:rPr>
  </w:style>
  <w:style w:type="paragraph" w:styleId="KeinLeerraum">
    <w:name w:val="No Spacing"/>
    <w:uiPriority w:val="1"/>
    <w:pPr>
      <w:spacing w:after="0" w:line="240" w:lineRule="auto"/>
    </w:pPr>
    <w:rPr>
      <w:sz w:val="20"/>
    </w:rPr>
  </w:style>
  <w:style w:type="character" w:customStyle="1" w:styleId="berschrift2Zchn">
    <w:name w:val="Überschrift 2 Zchn"/>
    <w:aliases w:val="_Headline Times 30 pt Zchn"/>
    <w:basedOn w:val="Absatz-Standardschriftart"/>
    <w:link w:val="berschrift2"/>
    <w:uiPriority w:val="9"/>
    <w:rPr>
      <w:rFonts w:ascii="Times New Roman" w:eastAsiaTheme="majorEastAsia" w:hAnsi="Times New Roman" w:cstheme="majorBidi"/>
      <w:bCs/>
      <w:color w:val="879BAA" w:themeColor="text2"/>
      <w:sz w:val="48"/>
      <w:szCs w:val="26"/>
    </w:rPr>
  </w:style>
  <w:style w:type="character" w:customStyle="1" w:styleId="berschrift3Zchn">
    <w:name w:val="Überschrift 3 Zchn"/>
    <w:aliases w:val="_Headline 11pt Zchn"/>
    <w:basedOn w:val="Absatz-Standardschriftart"/>
    <w:link w:val="berschrift3"/>
    <w:uiPriority w:val="9"/>
    <w:rPr>
      <w:rFonts w:eastAsiaTheme="majorEastAsia" w:cstheme="majorBidi"/>
      <w:b/>
      <w:color w:val="006487" w:themeColor="accent3"/>
      <w:szCs w:val="26"/>
    </w:rPr>
  </w:style>
  <w:style w:type="character" w:styleId="SchwacheHervorhebung">
    <w:name w:val="Subtle Emphasis"/>
    <w:basedOn w:val="Absatz-Standardschriftart"/>
    <w:uiPriority w:val="19"/>
    <w:qFormat/>
    <w:rPr>
      <w:b/>
      <w:i w:val="0"/>
      <w:iCs/>
      <w:color w:val="000000" w:themeColor="text1"/>
    </w:rPr>
  </w:style>
  <w:style w:type="character" w:styleId="Hervorhebung">
    <w:name w:val="Emphasis"/>
    <w:basedOn w:val="Absatz-Standardschriftart"/>
    <w:uiPriority w:val="20"/>
    <w:qFormat/>
    <w:rPr>
      <w:b/>
      <w:i w:val="0"/>
      <w:iCs/>
    </w:rPr>
  </w:style>
  <w:style w:type="paragraph" w:styleId="Zitat">
    <w:name w:val="Quote"/>
    <w:basedOn w:val="Standard"/>
    <w:next w:val="Standard"/>
    <w:link w:val="ZitatZchn"/>
    <w:uiPriority w:val="29"/>
    <w:rPr>
      <w:i/>
      <w:iCs/>
    </w:rPr>
  </w:style>
  <w:style w:type="character" w:customStyle="1" w:styleId="ZitatZchn">
    <w:name w:val="Zitat Zchn"/>
    <w:basedOn w:val="Absatz-Standardschriftart"/>
    <w:link w:val="Zitat"/>
    <w:uiPriority w:val="29"/>
    <w:rPr>
      <w:i/>
      <w:iCs/>
      <w:sz w:val="20"/>
    </w:rPr>
  </w:style>
  <w:style w:type="character" w:styleId="IntensiveHervorhebung">
    <w:name w:val="Intense Emphasis"/>
    <w:basedOn w:val="Absatz-Standardschriftart"/>
    <w:uiPriority w:val="21"/>
    <w:qFormat/>
    <w:rPr>
      <w:b/>
      <w:bCs/>
      <w:i w:val="0"/>
      <w:iCs/>
      <w:color w:val="879BAA" w:themeColor="text2"/>
    </w:rPr>
  </w:style>
  <w:style w:type="paragraph" w:styleId="IntensivesZitat">
    <w:name w:val="Intense Quote"/>
    <w:basedOn w:val="Standard"/>
    <w:next w:val="Standard"/>
    <w:link w:val="IntensivesZitatZchn"/>
    <w:uiPriority w:val="30"/>
    <w:pPr>
      <w:spacing w:before="200" w:after="280"/>
      <w:ind w:left="936" w:right="936"/>
    </w:pPr>
    <w:rPr>
      <w:b/>
      <w:bCs/>
      <w:i/>
      <w:iCs/>
    </w:rPr>
  </w:style>
  <w:style w:type="character" w:customStyle="1" w:styleId="IntensivesZitatZchn">
    <w:name w:val="Intensives Zitat Zchn"/>
    <w:basedOn w:val="Absatz-Standardschriftart"/>
    <w:link w:val="IntensivesZitat"/>
    <w:uiPriority w:val="30"/>
    <w:rPr>
      <w:b/>
      <w:bCs/>
      <w:i/>
      <w:iCs/>
      <w:sz w:val="20"/>
    </w:rPr>
  </w:style>
  <w:style w:type="paragraph" w:styleId="Titel">
    <w:name w:val="Title"/>
    <w:basedOn w:val="Standard"/>
    <w:next w:val="Standard"/>
    <w:link w:val="TitelZchn"/>
    <w:uiPriority w:val="10"/>
    <w:pPr>
      <w:spacing w:after="300" w:line="240" w:lineRule="auto"/>
      <w:contextualSpacing/>
    </w:pPr>
    <w:rPr>
      <w:rFonts w:ascii="Times New Roman" w:eastAsiaTheme="majorEastAsia" w:hAnsi="Times New Roman" w:cstheme="majorBidi"/>
      <w:color w:val="879BAA" w:themeColor="text2"/>
      <w:spacing w:val="5"/>
      <w:kern w:val="28"/>
      <w:sz w:val="60"/>
      <w:szCs w:val="52"/>
    </w:rPr>
  </w:style>
  <w:style w:type="character" w:customStyle="1" w:styleId="TitelZchn">
    <w:name w:val="Titel Zchn"/>
    <w:basedOn w:val="Absatz-Standardschriftart"/>
    <w:link w:val="Titel"/>
    <w:uiPriority w:val="10"/>
    <w:rPr>
      <w:rFonts w:ascii="Times New Roman" w:eastAsiaTheme="majorEastAsia" w:hAnsi="Times New Roman" w:cstheme="majorBidi"/>
      <w:color w:val="879BAA" w:themeColor="text2"/>
      <w:spacing w:val="5"/>
      <w:kern w:val="28"/>
      <w:sz w:val="60"/>
      <w:szCs w:val="52"/>
    </w:rPr>
  </w:style>
  <w:style w:type="paragraph" w:styleId="Untertitel">
    <w:name w:val="Subtitle"/>
    <w:basedOn w:val="Standard"/>
    <w:next w:val="Standard"/>
    <w:link w:val="UntertitelZchn"/>
    <w:uiPriority w:val="11"/>
    <w:qFormat/>
    <w:pPr>
      <w:numPr>
        <w:ilvl w:val="1"/>
      </w:numPr>
    </w:pPr>
    <w:rPr>
      <w:rFonts w:eastAsiaTheme="majorEastAsia" w:cstheme="majorBidi"/>
      <w:b/>
      <w:iCs/>
      <w:color w:val="879BAA" w:themeColor="text2"/>
      <w:sz w:val="22"/>
    </w:rPr>
  </w:style>
  <w:style w:type="character" w:customStyle="1" w:styleId="UntertitelZchn">
    <w:name w:val="Untertitel Zchn"/>
    <w:basedOn w:val="Absatz-Standardschriftart"/>
    <w:link w:val="Untertitel"/>
    <w:uiPriority w:val="11"/>
    <w:rPr>
      <w:rFonts w:eastAsiaTheme="majorEastAsia" w:cstheme="majorBidi"/>
      <w:b/>
      <w:iCs/>
      <w:color w:val="879BAA" w:themeColor="text2"/>
    </w:rPr>
  </w:style>
  <w:style w:type="paragraph" w:customStyle="1" w:styleId="Footer">
    <w:name w:val="_Footer"/>
    <w:basedOn w:val="KeinAbsatzformat"/>
    <w:next w:val="KeinAbsatzformat"/>
    <w:qFormat/>
    <w:rPr>
      <w:color w:val="879BAA" w:themeColor="text2"/>
      <w:sz w:val="15"/>
    </w:rPr>
  </w:style>
  <w:style w:type="paragraph" w:customStyle="1" w:styleId="KeinAbsatzformat">
    <w:name w:val="[Kein Absatzformat]"/>
    <w:pPr>
      <w:autoSpaceDE w:val="0"/>
      <w:autoSpaceDN w:val="0"/>
      <w:adjustRightInd w:val="0"/>
      <w:spacing w:after="0" w:line="288" w:lineRule="auto"/>
      <w:textAlignment w:val="center"/>
    </w:pPr>
    <w:rPr>
      <w:rFonts w:ascii="MinionPro-Regular" w:hAnsi="MinionPro-Regular" w:cs="MinionPro-Regular"/>
      <w:color w:val="000000"/>
      <w:sz w:val="24"/>
      <w:szCs w:val="24"/>
      <w:lang w:val="de-DE"/>
    </w:r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table" w:styleId="Tabellenraster">
    <w:name w:val="Table Grid"/>
    <w:aliases w:val="Highlight_Box_Stone 35%"/>
    <w:basedOn w:val="NormaleTabelle"/>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IntensiverVerweis">
    <w:name w:val="Intense Reference"/>
    <w:basedOn w:val="Absatz-Standardschriftart"/>
    <w:uiPriority w:val="32"/>
    <w:rPr>
      <w:b/>
      <w:bCs/>
      <w:smallCaps/>
      <w:color w:val="D7D7CD" w:themeColor="accent2"/>
      <w:spacing w:val="5"/>
      <w:u w:val="single"/>
    </w:rPr>
  </w:style>
  <w:style w:type="character" w:customStyle="1" w:styleId="berschrift4Zchn">
    <w:name w:val="Überschrift 4 Zchn"/>
    <w:aliases w:val="_ Zchn"/>
    <w:basedOn w:val="Absatz-Standardschriftart"/>
    <w:link w:val="berschrift4"/>
    <w:uiPriority w:val="9"/>
    <w:rPr>
      <w:rFonts w:eastAsiaTheme="majorEastAsia" w:cstheme="majorBidi"/>
      <w:b/>
      <w:bCs/>
      <w:iCs/>
      <w:color w:val="006487" w:themeColor="accent3"/>
      <w:szCs w:val="26"/>
    </w:rPr>
  </w:style>
  <w:style w:type="paragraph" w:customStyle="1" w:styleId="CopyBulletpoints">
    <w:name w:val="_Copy Bulletpoints"/>
    <w:basedOn w:val="Standard"/>
    <w:qFormat/>
    <w:pPr>
      <w:numPr>
        <w:numId w:val="1"/>
      </w:numPr>
      <w:spacing w:after="240"/>
      <w:contextualSpacing/>
    </w:pPr>
    <w:rPr>
      <w:lang w:val="en-GB"/>
    </w:rPr>
  </w:style>
  <w:style w:type="paragraph" w:customStyle="1" w:styleId="Page">
    <w:name w:val="_Page"/>
    <w:next w:val="KeinAbsatzformat"/>
    <w:qFormat/>
    <w:pPr>
      <w:spacing w:after="0"/>
      <w:jc w:val="right"/>
    </w:pPr>
    <w:rPr>
      <w:b/>
      <w:sz w:val="18"/>
      <w:szCs w:val="18"/>
    </w:rPr>
  </w:style>
  <w:style w:type="character" w:styleId="Fett">
    <w:name w:val="Strong"/>
    <w:basedOn w:val="Absatz-Standardschriftart"/>
    <w:uiPriority w:val="22"/>
    <w:qFormat/>
    <w:rPr>
      <w:b/>
      <w:bCs/>
    </w:rPr>
  </w:style>
  <w:style w:type="paragraph" w:styleId="Fuzeile">
    <w:name w:val="footer"/>
    <w:next w:val="KeinAbsatzformat"/>
    <w:link w:val="FuzeileZchn"/>
    <w:uiPriority w:val="99"/>
    <w:unhideWhenUsed/>
    <w:pPr>
      <w:tabs>
        <w:tab w:val="center" w:pos="4536"/>
        <w:tab w:val="right" w:pos="9072"/>
      </w:tabs>
      <w:spacing w:after="0" w:line="360" w:lineRule="auto"/>
    </w:pPr>
    <w:rPr>
      <w:color w:val="879BAA" w:themeColor="text2"/>
      <w:sz w:val="15"/>
    </w:rPr>
  </w:style>
  <w:style w:type="character" w:customStyle="1" w:styleId="FuzeileZchn">
    <w:name w:val="Fußzeile Zchn"/>
    <w:basedOn w:val="Absatz-Standardschriftart"/>
    <w:link w:val="Fuzeile"/>
    <w:uiPriority w:val="99"/>
    <w:rPr>
      <w:color w:val="879BAA" w:themeColor="text2"/>
      <w:sz w:val="15"/>
    </w:rPr>
  </w:style>
  <w:style w:type="paragraph" w:customStyle="1" w:styleId="DoDontHeadline1">
    <w:name w:val="_Do/Don't Headline 1"/>
    <w:next w:val="KeinAbsatzformat"/>
    <w:qFormat/>
    <w:rPr>
      <w:rFonts w:eastAsiaTheme="majorEastAsia" w:cstheme="majorBidi"/>
      <w:b/>
      <w:bCs/>
      <w:noProof/>
      <w:color w:val="006487" w:themeColor="accent3"/>
      <w:szCs w:val="26"/>
      <w:lang w:val="en-GB"/>
    </w:rPr>
  </w:style>
  <w:style w:type="table" w:styleId="HelleSchattierung-Akzent5">
    <w:name w:val="Light Shading Accent 5"/>
    <w:basedOn w:val="NormaleTabelle"/>
    <w:uiPriority w:val="60"/>
    <w:pPr>
      <w:spacing w:after="0" w:line="240" w:lineRule="auto"/>
    </w:pPr>
    <w:rPr>
      <w:color w:val="4A1234" w:themeColor="accent5" w:themeShade="BF"/>
    </w:rPr>
    <w:tblPr>
      <w:tblStyleRowBandSize w:val="1"/>
      <w:tblStyleColBandSize w:val="1"/>
      <w:tblBorders>
        <w:top w:val="single" w:sz="8" w:space="0" w:color="641946" w:themeColor="accent5"/>
        <w:bottom w:val="single" w:sz="8" w:space="0" w:color="641946" w:themeColor="accent5"/>
      </w:tblBorders>
    </w:tblPr>
    <w:tblStylePr w:type="fir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la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B2D5" w:themeFill="accent5" w:themeFillTint="3F"/>
      </w:tcPr>
    </w:tblStylePr>
    <w:tblStylePr w:type="band1Horz">
      <w:tblPr/>
      <w:tcPr>
        <w:tcBorders>
          <w:left w:val="nil"/>
          <w:right w:val="nil"/>
          <w:insideH w:val="nil"/>
          <w:insideV w:val="nil"/>
        </w:tcBorders>
        <w:shd w:val="clear" w:color="auto" w:fill="ECB2D5" w:themeFill="accent5" w:themeFillTint="3F"/>
      </w:tcPr>
    </w:tblStylePr>
  </w:style>
  <w:style w:type="paragraph" w:customStyle="1" w:styleId="DoDontHeadline2">
    <w:name w:val="_Do/Don't Headline 2"/>
    <w:basedOn w:val="Standard"/>
    <w:qFormat/>
    <w:pPr>
      <w:contextualSpacing/>
    </w:pPr>
    <w:rPr>
      <w:b/>
      <w:color w:val="FFFFFF" w:themeColor="background1"/>
    </w:rPr>
  </w:style>
  <w:style w:type="paragraph" w:styleId="Listenabsatz">
    <w:name w:val="List Paragraph"/>
    <w:basedOn w:val="Standard"/>
    <w:uiPriority w:val="34"/>
    <w:qFormat/>
    <w:pPr>
      <w:ind w:left="720"/>
      <w:contextualSpacing/>
    </w:pPr>
  </w:style>
  <w:style w:type="paragraph" w:customStyle="1" w:styleId="DoDontCopy">
    <w:name w:val="_Do/Don't Copy"/>
    <w:qFormat/>
    <w:pPr>
      <w:spacing w:after="40"/>
    </w:pPr>
    <w:rPr>
      <w:color w:val="FFFFFF" w:themeColor="background1"/>
      <w:sz w:val="20"/>
    </w:rPr>
  </w:style>
  <w:style w:type="paragraph" w:customStyle="1" w:styleId="HighlightboxGreyBulletpoints">
    <w:name w:val="_Highlightbox_Grey: Bulletpoints"/>
    <w:basedOn w:val="DoDontBulletpoints"/>
    <w:qFormat/>
    <w:pPr>
      <w:spacing w:after="120"/>
      <w:ind w:left="360" w:hanging="360"/>
    </w:pPr>
    <w:rPr>
      <w:b/>
      <w:color w:val="006487" w:themeColor="accent3"/>
      <w:sz w:val="20"/>
      <w:szCs w:val="20"/>
    </w:rPr>
  </w:style>
  <w:style w:type="paragraph" w:customStyle="1" w:styleId="DoDontBulletpoints">
    <w:name w:val="_Do/Don't Bulletpoints"/>
    <w:basedOn w:val="Standard"/>
    <w:qFormat/>
    <w:pPr>
      <w:numPr>
        <w:numId w:val="3"/>
      </w:numPr>
      <w:spacing w:line="240" w:lineRule="auto"/>
      <w:ind w:left="284" w:hanging="284"/>
    </w:pPr>
    <w:rPr>
      <w:color w:val="FFFFFF" w:themeColor="background1"/>
      <w:sz w:val="18"/>
    </w:rPr>
  </w:style>
  <w:style w:type="paragraph" w:customStyle="1" w:styleId="HighlightboxGreyHeadlineNaturalBlue">
    <w:name w:val="_Highlightbox_Grey: Headline Natural Blue"/>
    <w:basedOn w:val="Standard"/>
    <w:qFormat/>
    <w:pPr>
      <w:tabs>
        <w:tab w:val="left" w:pos="426"/>
      </w:tabs>
      <w:spacing w:after="120" w:line="240" w:lineRule="auto"/>
    </w:pPr>
    <w:rPr>
      <w:b/>
      <w:color w:val="006487" w:themeColor="accent3"/>
    </w:rPr>
  </w:style>
  <w:style w:type="paragraph" w:customStyle="1" w:styleId="ExamplesCopy">
    <w:name w:val="_Examples Copy"/>
    <w:basedOn w:val="Standard"/>
    <w:pPr>
      <w:tabs>
        <w:tab w:val="left" w:pos="426"/>
      </w:tabs>
      <w:spacing w:after="0" w:line="240" w:lineRule="auto"/>
      <w:ind w:right="227"/>
      <w:contextualSpacing/>
    </w:pPr>
    <w:rPr>
      <w:b/>
      <w:i/>
      <w:color w:val="006487" w:themeColor="accent3"/>
    </w:rPr>
  </w:style>
  <w:style w:type="character" w:styleId="SchwacherVerweis">
    <w:name w:val="Subtle Reference"/>
    <w:basedOn w:val="Absatz-Standardschriftart"/>
    <w:uiPriority w:val="31"/>
    <w:rPr>
      <w:caps w:val="0"/>
      <w:smallCaps w:val="0"/>
      <w:color w:val="BECDD7" w:themeColor="background2"/>
      <w:u w:val="none"/>
    </w:rPr>
  </w:style>
  <w:style w:type="paragraph" w:customStyle="1" w:styleId="HighlightboxGreyCopy">
    <w:name w:val="_Highlightbox_Grey: Copy"/>
    <w:basedOn w:val="HighlightboxGreyHeadlineNaturalBlue"/>
    <w:qFormat/>
    <w:rPr>
      <w:b w:val="0"/>
    </w:rPr>
  </w:style>
  <w:style w:type="character" w:styleId="Buchtitel">
    <w:name w:val="Book Title"/>
    <w:basedOn w:val="Absatz-Standardschriftart"/>
    <w:uiPriority w:val="33"/>
    <w:rPr>
      <w:b w:val="0"/>
      <w:bCs/>
      <w:i/>
      <w:caps w:val="0"/>
      <w:smallCaps w:val="0"/>
      <w:spacing w:val="0"/>
    </w:rPr>
  </w:style>
  <w:style w:type="paragraph" w:customStyle="1" w:styleId="Underlinepictures">
    <w:name w:val="_Underline: pictures"/>
    <w:aliases w:val="graphics,tables"/>
    <w:basedOn w:val="KeinAbsatzformat"/>
    <w:qFormat/>
    <w:pPr>
      <w:spacing w:before="113" w:after="454"/>
      <w:ind w:left="454"/>
    </w:pPr>
    <w:rPr>
      <w:rFonts w:ascii="Arial" w:hAnsi="Arial" w:cs="Arial"/>
      <w:i/>
      <w:sz w:val="18"/>
      <w:szCs w:val="18"/>
    </w:rPr>
  </w:style>
  <w:style w:type="character" w:customStyle="1" w:styleId="Naturalblue">
    <w:name w:val="_Natural blue"/>
    <w:basedOn w:val="Absatz-Standardschriftart"/>
    <w:uiPriority w:val="1"/>
    <w:qFormat/>
    <w:rPr>
      <w:color w:val="006487" w:themeColor="accent3"/>
    </w:rPr>
  </w:style>
  <w:style w:type="paragraph" w:customStyle="1" w:styleId="Numbers">
    <w:name w:val="_Numbers"/>
    <w:basedOn w:val="Standard"/>
    <w:qFormat/>
    <w:pPr>
      <w:numPr>
        <w:numId w:val="2"/>
      </w:numPr>
      <w:tabs>
        <w:tab w:val="left" w:pos="426"/>
      </w:tabs>
      <w:ind w:left="442" w:hanging="357"/>
      <w:contextualSpacing/>
    </w:pPr>
    <w:rPr>
      <w:rFonts w:cs="Arial"/>
    </w:rPr>
  </w:style>
  <w:style w:type="paragraph" w:styleId="Kopfzeile">
    <w:name w:val="header"/>
    <w:basedOn w:val="Standard"/>
    <w:link w:val="KopfzeileZchn"/>
    <w:uiPriority w:val="99"/>
    <w:unhideWhenUsed/>
    <w:pPr>
      <w:tabs>
        <w:tab w:val="center" w:pos="4536"/>
        <w:tab w:val="right" w:pos="9072"/>
      </w:tabs>
      <w:spacing w:after="0" w:line="240" w:lineRule="auto"/>
    </w:pPr>
    <w:rPr>
      <w:sz w:val="15"/>
    </w:rPr>
  </w:style>
  <w:style w:type="character" w:customStyle="1" w:styleId="KopfzeileZchn">
    <w:name w:val="Kopfzeile Zchn"/>
    <w:basedOn w:val="Absatz-Standardschriftart"/>
    <w:link w:val="Kopfzeile"/>
    <w:uiPriority w:val="99"/>
    <w:rPr>
      <w:sz w:val="15"/>
    </w:rPr>
  </w:style>
  <w:style w:type="paragraph" w:customStyle="1" w:styleId="Header">
    <w:name w:val="_Header"/>
    <w:next w:val="KeinAbsatzformat"/>
    <w:qFormat/>
    <w:rPr>
      <w:sz w:val="15"/>
    </w:rPr>
  </w:style>
  <w:style w:type="table" w:customStyle="1" w:styleId="HelleSchattierung-Akzent11">
    <w:name w:val="Helle Schattierung - Akzent 11"/>
    <w:basedOn w:val="NormaleTabelle"/>
    <w:uiPriority w:val="60"/>
    <w:pPr>
      <w:spacing w:after="0" w:line="240" w:lineRule="auto"/>
    </w:pPr>
    <w:rPr>
      <w:color w:val="84846B" w:themeColor="accent1" w:themeShade="BF"/>
    </w:rPr>
    <w:tblPr>
      <w:tblStyleRowBandSize w:val="1"/>
      <w:tblStyleColBandSize w:val="1"/>
      <w:tblBorders>
        <w:top w:val="single" w:sz="8" w:space="0" w:color="AAAA96" w:themeColor="accent1"/>
        <w:bottom w:val="single" w:sz="8" w:space="0" w:color="AAAA96" w:themeColor="accent1"/>
      </w:tblBorders>
    </w:tblPr>
    <w:tblStylePr w:type="fir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la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AE5" w:themeFill="accent1" w:themeFillTint="3F"/>
      </w:tcPr>
    </w:tblStylePr>
    <w:tblStylePr w:type="band1Horz">
      <w:tblPr/>
      <w:tcPr>
        <w:tcBorders>
          <w:left w:val="nil"/>
          <w:right w:val="nil"/>
          <w:insideH w:val="nil"/>
          <w:insideV w:val="nil"/>
        </w:tcBorders>
        <w:shd w:val="clear" w:color="auto" w:fill="EAEAE5" w:themeFill="accent1" w:themeFillTint="3F"/>
      </w:tcPr>
    </w:tblStylePr>
  </w:style>
  <w:style w:type="table" w:styleId="HelleListe-Akzent3">
    <w:name w:val="Light List Accent 3"/>
    <w:basedOn w:val="NormaleTabelle"/>
    <w:uiPriority w:val="61"/>
    <w:pPr>
      <w:spacing w:after="0" w:line="240" w:lineRule="auto"/>
    </w:pPr>
    <w:tblPr>
      <w:tblStyleRowBandSize w:val="1"/>
      <w:tblStyleColBandSize w:val="1"/>
      <w:tblBorders>
        <w:top w:val="single" w:sz="8" w:space="0" w:color="006487" w:themeColor="accent3"/>
        <w:left w:val="single" w:sz="8" w:space="0" w:color="006487" w:themeColor="accent3"/>
        <w:bottom w:val="single" w:sz="8" w:space="0" w:color="006487" w:themeColor="accent3"/>
        <w:right w:val="single" w:sz="8" w:space="0" w:color="006487" w:themeColor="accent3"/>
      </w:tblBorders>
    </w:tblPr>
    <w:tblStylePr w:type="firstRow">
      <w:pPr>
        <w:spacing w:before="0" w:after="0" w:line="240" w:lineRule="auto"/>
      </w:pPr>
      <w:rPr>
        <w:b/>
        <w:bCs/>
        <w:color w:val="FFFFFF" w:themeColor="background1"/>
      </w:rPr>
      <w:tblPr/>
      <w:tcPr>
        <w:shd w:val="clear" w:color="auto" w:fill="006487" w:themeFill="accent3"/>
      </w:tcPr>
    </w:tblStylePr>
    <w:tblStylePr w:type="lastRow">
      <w:pPr>
        <w:spacing w:before="0" w:after="0" w:line="240" w:lineRule="auto"/>
      </w:pPr>
      <w:rPr>
        <w:b/>
        <w:bCs/>
      </w:rPr>
      <w:tblPr/>
      <w:tcPr>
        <w:tcBorders>
          <w:top w:val="double" w:sz="6" w:space="0" w:color="006487" w:themeColor="accent3"/>
          <w:left w:val="single" w:sz="8" w:space="0" w:color="006487" w:themeColor="accent3"/>
          <w:bottom w:val="single" w:sz="8" w:space="0" w:color="006487" w:themeColor="accent3"/>
          <w:right w:val="single" w:sz="8" w:space="0" w:color="006487" w:themeColor="accent3"/>
        </w:tcBorders>
      </w:tcPr>
    </w:tblStylePr>
    <w:tblStylePr w:type="firstCol">
      <w:rPr>
        <w:b/>
        <w:bCs/>
      </w:rPr>
    </w:tblStylePr>
    <w:tblStylePr w:type="lastCol">
      <w:rPr>
        <w:b/>
        <w:bCs/>
      </w:rPr>
    </w:tblStylePr>
    <w:tblStylePr w:type="band1Vert">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tblStylePr w:type="band1Horz">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style>
  <w:style w:type="table" w:customStyle="1" w:styleId="Head">
    <w:name w:val="Head"/>
    <w:basedOn w:val="NormaleTabelle"/>
    <w:uiPriority w:val="99"/>
    <w:pPr>
      <w:spacing w:after="0" w:line="240" w:lineRule="auto"/>
    </w:pPr>
    <w:rPr>
      <w:sz w:val="15"/>
    </w:rPr>
    <w:tblPr>
      <w:tblCellMar>
        <w:top w:w="85" w:type="dxa"/>
        <w:left w:w="0" w:type="dxa"/>
        <w:bottom w:w="91" w:type="dxa"/>
        <w:right w:w="0" w:type="dxa"/>
      </w:tblCellMar>
    </w:tblPr>
    <w:tcPr>
      <w:shd w:val="clear" w:color="auto" w:fill="F2F5F7" w:themeFill="background2" w:themeFillTint="33"/>
      <w:vAlign w:val="center"/>
    </w:tcPr>
    <w:tblStylePr w:type="firstRow">
      <w:tblPr/>
      <w:tcPr>
        <w:tcBorders>
          <w:top w:val="nil"/>
          <w:left w:val="nil"/>
          <w:bottom w:val="nil"/>
          <w:right w:val="nil"/>
          <w:insideH w:val="nil"/>
          <w:insideV w:val="nil"/>
          <w:tl2br w:val="nil"/>
          <w:tr2bl w:val="nil"/>
        </w:tcBorders>
        <w:shd w:val="clear" w:color="auto" w:fill="879BAA" w:themeFill="text2"/>
      </w:tcPr>
    </w:tblStylePr>
  </w:style>
  <w:style w:type="table" w:styleId="HelleListe-Akzent2">
    <w:name w:val="Light List Accent 2"/>
    <w:basedOn w:val="NormaleTabelle"/>
    <w:uiPriority w:val="61"/>
    <w:pPr>
      <w:spacing w:after="0" w:line="240" w:lineRule="auto"/>
    </w:pPr>
    <w:tblPr>
      <w:tblStyleRowBandSize w:val="1"/>
      <w:tblStyleColBandSize w:val="1"/>
      <w:tblBorders>
        <w:top w:val="single" w:sz="8" w:space="0" w:color="D7D7CD" w:themeColor="accent2"/>
        <w:left w:val="single" w:sz="8" w:space="0" w:color="D7D7CD" w:themeColor="accent2"/>
        <w:bottom w:val="single" w:sz="8" w:space="0" w:color="D7D7CD" w:themeColor="accent2"/>
        <w:right w:val="single" w:sz="8" w:space="0" w:color="D7D7CD" w:themeColor="accent2"/>
      </w:tblBorders>
    </w:tblPr>
    <w:tblStylePr w:type="firstRow">
      <w:pPr>
        <w:spacing w:before="0" w:after="0" w:line="240" w:lineRule="auto"/>
      </w:pPr>
      <w:rPr>
        <w:b/>
        <w:bCs/>
        <w:color w:val="FFFFFF" w:themeColor="background1"/>
      </w:rPr>
      <w:tblPr/>
      <w:tcPr>
        <w:shd w:val="clear" w:color="auto" w:fill="D7D7CD" w:themeFill="accent2"/>
      </w:tcPr>
    </w:tblStylePr>
    <w:tblStylePr w:type="lastRow">
      <w:pPr>
        <w:spacing w:before="0" w:after="0" w:line="240" w:lineRule="auto"/>
      </w:pPr>
      <w:rPr>
        <w:b/>
        <w:bCs/>
      </w:rPr>
      <w:tblPr/>
      <w:tcPr>
        <w:tcBorders>
          <w:top w:val="double" w:sz="6" w:space="0" w:color="D7D7CD" w:themeColor="accent2"/>
          <w:left w:val="single" w:sz="8" w:space="0" w:color="D7D7CD" w:themeColor="accent2"/>
          <w:bottom w:val="single" w:sz="8" w:space="0" w:color="D7D7CD" w:themeColor="accent2"/>
          <w:right w:val="single" w:sz="8" w:space="0" w:color="D7D7CD" w:themeColor="accent2"/>
        </w:tcBorders>
      </w:tcPr>
    </w:tblStylePr>
    <w:tblStylePr w:type="firstCol">
      <w:rPr>
        <w:b/>
        <w:bCs/>
      </w:rPr>
    </w:tblStylePr>
    <w:tblStylePr w:type="lastCol">
      <w:rPr>
        <w:b/>
        <w:bCs/>
      </w:rPr>
    </w:tblStylePr>
    <w:tblStylePr w:type="band1Vert">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tblStylePr w:type="band1Horz">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style>
  <w:style w:type="table" w:customStyle="1" w:styleId="Invisible">
    <w:name w:val="Invisible"/>
    <w:basedOn w:val="NormaleTabelle"/>
    <w:uiPriority w:val="99"/>
    <w:pPr>
      <w:spacing w:after="0" w:line="240" w:lineRule="auto"/>
    </w:pPr>
    <w:tblPr>
      <w:tblCellMar>
        <w:left w:w="0" w:type="dxa"/>
        <w:right w:w="0" w:type="dxa"/>
      </w:tblCellMar>
    </w:tblPr>
  </w:style>
  <w:style w:type="character" w:customStyle="1" w:styleId="berschrift5Zchn">
    <w:name w:val="Überschrift 5 Zchn"/>
    <w:basedOn w:val="Absatz-Standardschriftart"/>
    <w:link w:val="berschrift5"/>
    <w:uiPriority w:val="9"/>
    <w:rPr>
      <w:rFonts w:eastAsiaTheme="majorEastAsia" w:cstheme="majorBidi"/>
      <w:b/>
      <w:color w:val="006487" w:themeColor="accent3"/>
      <w:szCs w:val="26"/>
    </w:rPr>
  </w:style>
  <w:style w:type="character" w:customStyle="1" w:styleId="berschrift6Zchn">
    <w:name w:val="Überschrift 6 Zchn"/>
    <w:basedOn w:val="Absatz-Standardschriftart"/>
    <w:link w:val="berschrift6"/>
    <w:uiPriority w:val="9"/>
    <w:rPr>
      <w:rFonts w:eastAsiaTheme="majorEastAsia" w:cstheme="majorBidi"/>
      <w:b/>
      <w:iCs/>
      <w:color w:val="006487" w:themeColor="accent3"/>
      <w:szCs w:val="26"/>
    </w:rPr>
  </w:style>
  <w:style w:type="numbering" w:customStyle="1" w:styleId="Formatvorlage1">
    <w:name w:val="Formatvorlage1"/>
    <w:uiPriority w:val="99"/>
    <w:pPr>
      <w:numPr>
        <w:numId w:val="5"/>
      </w:numPr>
    </w:pPr>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rPr>
  </w:style>
  <w:style w:type="character" w:styleId="Hyperlink">
    <w:name w:val="Hyperlink"/>
    <w:basedOn w:val="Absatz-Standardschriftart"/>
    <w:uiPriority w:val="99"/>
    <w:unhideWhenUsed/>
    <w:rPr>
      <w:color w:val="0000FF" w:themeColor="hyperlink"/>
      <w:u w:val="single"/>
    </w:rPr>
  </w:style>
  <w:style w:type="paragraph" w:styleId="Funotentext">
    <w:name w:val="footnote text"/>
    <w:basedOn w:val="Standard"/>
    <w:link w:val="FunotentextZchn"/>
    <w:pPr>
      <w:spacing w:after="200" w:line="276" w:lineRule="auto"/>
    </w:pPr>
    <w:rPr>
      <w:sz w:val="22"/>
    </w:rPr>
  </w:style>
  <w:style w:type="character" w:customStyle="1" w:styleId="FunotentextZchn">
    <w:name w:val="Fußnotentext Zchn"/>
    <w:basedOn w:val="Absatz-Standardschriftart"/>
    <w:link w:val="Funotentext"/>
  </w:style>
  <w:style w:type="paragraph" w:customStyle="1" w:styleId="eManualAufzhlunga">
    <w:name w:val="eManual Aufzählung a"/>
    <w:aliases w:val="b"/>
    <w:basedOn w:val="Standard"/>
    <w:uiPriority w:val="99"/>
    <w:pPr>
      <w:numPr>
        <w:numId w:val="6"/>
      </w:numPr>
      <w:spacing w:after="200" w:line="360" w:lineRule="atLeast"/>
      <w:jc w:val="both"/>
    </w:pPr>
    <w:rPr>
      <w:rFonts w:cs="Arial"/>
      <w:sz w:val="22"/>
    </w:rPr>
  </w:style>
  <w:style w:type="character" w:styleId="Funotenzeichen">
    <w:name w:val="footnote reference"/>
    <w:basedOn w:val="Absatz-Standardschriftart"/>
    <w:unhideWhenUsed/>
    <w:rPr>
      <w:vertAlign w:val="superscript"/>
    </w:rPr>
  </w:style>
  <w:style w:type="character" w:customStyle="1" w:styleId="berschrift7Zchn">
    <w:name w:val="Überschrift 7 Zchn"/>
    <w:basedOn w:val="Absatz-Standardschriftart"/>
    <w:link w:val="berschrift7"/>
  </w:style>
  <w:style w:type="character" w:customStyle="1" w:styleId="berschrift8Zchn">
    <w:name w:val="Überschrift 8 Zchn"/>
    <w:basedOn w:val="Absatz-Standardschriftart"/>
    <w:link w:val="berschrift8"/>
    <w:rPr>
      <w:i/>
      <w:iCs/>
      <w:szCs w:val="24"/>
    </w:rPr>
  </w:style>
  <w:style w:type="character" w:customStyle="1" w:styleId="berschrift9Zchn">
    <w:name w:val="Überschrift 9 Zchn"/>
    <w:basedOn w:val="Absatz-Standardschriftart"/>
    <w:link w:val="berschrift9"/>
    <w:rPr>
      <w:rFonts w:cs="Arial"/>
    </w:rPr>
  </w:style>
  <w:style w:type="character" w:styleId="BesuchterLink">
    <w:name w:val="FollowedHyperlink"/>
    <w:basedOn w:val="Absatz-Standardschriftart"/>
    <w:uiPriority w:val="99"/>
    <w:semiHidden/>
    <w:unhideWhenUsed/>
    <w:rPr>
      <w:color w:val="800080" w:themeColor="followedHyperlink"/>
      <w:u w:val="single"/>
    </w:rPr>
  </w:style>
  <w:style w:type="paragraph" w:styleId="StandardWeb">
    <w:name w:val="Normal (Web)"/>
    <w:basedOn w:val="Standard"/>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hyperlink1">
    <w:name w:val="hyperlink1"/>
    <w:basedOn w:val="Absatz-Standardschriftart"/>
    <w:rPr>
      <w:strike w:val="0"/>
      <w:dstrike w:val="0"/>
      <w:color w:val="990000"/>
      <w:u w:val="none"/>
      <w:effect w:val="none"/>
    </w:rPr>
  </w:style>
  <w:style w:type="paragraph" w:customStyle="1" w:styleId="Default">
    <w:name w:val="Default"/>
    <w:pPr>
      <w:autoSpaceDE w:val="0"/>
      <w:autoSpaceDN w:val="0"/>
      <w:adjustRightInd w:val="0"/>
      <w:spacing w:after="0" w:line="240" w:lineRule="auto"/>
    </w:pPr>
    <w:rPr>
      <w:rFonts w:cs="Arial"/>
      <w:color w:val="000000"/>
      <w:sz w:val="24"/>
      <w:szCs w:val="24"/>
    </w:rPr>
  </w:style>
  <w:style w:type="table" w:customStyle="1" w:styleId="HighlightBoxStone351">
    <w:name w:val="Highlight_Box_Stone 35%1"/>
    <w:basedOn w:val="NormaleTabelle"/>
    <w:next w:val="Tabellenraster"/>
    <w:uiPriority w:val="5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paragraph" w:styleId="berarbeitung">
    <w:name w:val="Revision"/>
    <w:hidden/>
    <w:uiPriority w:val="99"/>
    <w:semiHidden/>
    <w:pPr>
      <w:spacing w:after="0" w:line="240" w:lineRule="auto"/>
    </w:pPr>
    <w:rPr>
      <w:sz w:val="20"/>
    </w:rPr>
  </w:style>
  <w:style w:type="paragraph" w:customStyle="1" w:styleId="Formatvorlage2">
    <w:name w:val="Formatvorlage2"/>
    <w:basedOn w:val="berschrift2"/>
    <w:qFormat/>
    <w:rPr>
      <w:rFonts w:cstheme="minorHAnsi"/>
    </w:rPr>
  </w:style>
  <w:style w:type="paragraph" w:customStyle="1" w:styleId="scfbrieftext">
    <w:name w:val="scfbrieftext"/>
    <w:basedOn w:val="Standard"/>
    <w:qFormat/>
    <w:pPr>
      <w:spacing w:after="0" w:line="280" w:lineRule="exact"/>
      <w:ind w:right="567"/>
    </w:pPr>
    <w:rPr>
      <w:rFonts w:eastAsia="Times New Roman" w:cs="Times New Roman"/>
      <w:szCs w:val="20"/>
      <w:lang w:eastAsia="de-DE"/>
    </w:rPr>
  </w:style>
  <w:style w:type="character" w:customStyle="1" w:styleId="NichtaufgelsteErwhnung1">
    <w:name w:val="Nicht aufgelöste Erwähnung1"/>
    <w:basedOn w:val="Absatz-Standardschriftart"/>
    <w:uiPriority w:val="99"/>
    <w:semiHidden/>
    <w:unhideWhenUsed/>
    <w:rPr>
      <w:color w:val="605E5C"/>
      <w:shd w:val="clear" w:color="auto" w:fill="E1DFDD"/>
    </w:rPr>
  </w:style>
  <w:style w:type="character" w:customStyle="1" w:styleId="UnresolvedMention1">
    <w:name w:val="Unresolved Mention1"/>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47643">
      <w:bodyDiv w:val="1"/>
      <w:marLeft w:val="0"/>
      <w:marRight w:val="0"/>
      <w:marTop w:val="0"/>
      <w:marBottom w:val="0"/>
      <w:divBdr>
        <w:top w:val="none" w:sz="0" w:space="0" w:color="auto"/>
        <w:left w:val="none" w:sz="0" w:space="0" w:color="auto"/>
        <w:bottom w:val="none" w:sz="0" w:space="0" w:color="auto"/>
        <w:right w:val="none" w:sz="0" w:space="0" w:color="auto"/>
      </w:divBdr>
    </w:div>
    <w:div w:id="210266944">
      <w:bodyDiv w:val="1"/>
      <w:marLeft w:val="0"/>
      <w:marRight w:val="0"/>
      <w:marTop w:val="0"/>
      <w:marBottom w:val="0"/>
      <w:divBdr>
        <w:top w:val="none" w:sz="0" w:space="0" w:color="auto"/>
        <w:left w:val="none" w:sz="0" w:space="0" w:color="auto"/>
        <w:bottom w:val="none" w:sz="0" w:space="0" w:color="auto"/>
        <w:right w:val="none" w:sz="0" w:space="0" w:color="auto"/>
      </w:divBdr>
    </w:div>
    <w:div w:id="240414425">
      <w:bodyDiv w:val="1"/>
      <w:marLeft w:val="0"/>
      <w:marRight w:val="0"/>
      <w:marTop w:val="0"/>
      <w:marBottom w:val="0"/>
      <w:divBdr>
        <w:top w:val="none" w:sz="0" w:space="0" w:color="auto"/>
        <w:left w:val="none" w:sz="0" w:space="0" w:color="auto"/>
        <w:bottom w:val="none" w:sz="0" w:space="0" w:color="auto"/>
        <w:right w:val="none" w:sz="0" w:space="0" w:color="auto"/>
      </w:divBdr>
      <w:divsChild>
        <w:div w:id="2035229725">
          <w:marLeft w:val="0"/>
          <w:marRight w:val="0"/>
          <w:marTop w:val="0"/>
          <w:marBottom w:val="0"/>
          <w:divBdr>
            <w:top w:val="none" w:sz="0" w:space="0" w:color="auto"/>
            <w:left w:val="none" w:sz="0" w:space="0" w:color="auto"/>
            <w:bottom w:val="none" w:sz="0" w:space="0" w:color="auto"/>
            <w:right w:val="none" w:sz="0" w:space="0" w:color="auto"/>
          </w:divBdr>
          <w:divsChild>
            <w:div w:id="1054737435">
              <w:marLeft w:val="0"/>
              <w:marRight w:val="0"/>
              <w:marTop w:val="0"/>
              <w:marBottom w:val="0"/>
              <w:divBdr>
                <w:top w:val="none" w:sz="0" w:space="0" w:color="auto"/>
                <w:left w:val="none" w:sz="0" w:space="0" w:color="auto"/>
                <w:bottom w:val="none" w:sz="0" w:space="0" w:color="auto"/>
                <w:right w:val="none" w:sz="0" w:space="0" w:color="auto"/>
              </w:divBdr>
              <w:divsChild>
                <w:div w:id="2056736802">
                  <w:marLeft w:val="2256"/>
                  <w:marRight w:val="2040"/>
                  <w:marTop w:val="0"/>
                  <w:marBottom w:val="0"/>
                  <w:divBdr>
                    <w:top w:val="none" w:sz="0" w:space="0" w:color="auto"/>
                    <w:left w:val="none" w:sz="0" w:space="0" w:color="auto"/>
                    <w:bottom w:val="none" w:sz="0" w:space="0" w:color="auto"/>
                    <w:right w:val="none" w:sz="0" w:space="0" w:color="auto"/>
                  </w:divBdr>
                  <w:divsChild>
                    <w:div w:id="892041608">
                      <w:marLeft w:val="0"/>
                      <w:marRight w:val="0"/>
                      <w:marTop w:val="0"/>
                      <w:marBottom w:val="0"/>
                      <w:divBdr>
                        <w:top w:val="none" w:sz="0" w:space="0" w:color="auto"/>
                        <w:left w:val="none" w:sz="0" w:space="0" w:color="auto"/>
                        <w:bottom w:val="none" w:sz="0" w:space="0" w:color="auto"/>
                        <w:right w:val="none" w:sz="0" w:space="0" w:color="auto"/>
                      </w:divBdr>
                      <w:divsChild>
                        <w:div w:id="1487166322">
                          <w:marLeft w:val="0"/>
                          <w:marRight w:val="0"/>
                          <w:marTop w:val="0"/>
                          <w:marBottom w:val="0"/>
                          <w:divBdr>
                            <w:top w:val="none" w:sz="0" w:space="0" w:color="auto"/>
                            <w:left w:val="none" w:sz="0" w:space="0" w:color="auto"/>
                            <w:bottom w:val="none" w:sz="0" w:space="0" w:color="auto"/>
                            <w:right w:val="none" w:sz="0" w:space="0" w:color="auto"/>
                          </w:divBdr>
                          <w:divsChild>
                            <w:div w:id="654604932">
                              <w:marLeft w:val="0"/>
                              <w:marRight w:val="0"/>
                              <w:marTop w:val="0"/>
                              <w:marBottom w:val="48"/>
                              <w:divBdr>
                                <w:top w:val="single" w:sz="4" w:space="0" w:color="000000"/>
                                <w:left w:val="single" w:sz="4" w:space="0" w:color="000000"/>
                                <w:bottom w:val="single" w:sz="4" w:space="0" w:color="000000"/>
                                <w:right w:val="single" w:sz="4" w:space="0" w:color="000000"/>
                              </w:divBdr>
                            </w:div>
                          </w:divsChild>
                        </w:div>
                      </w:divsChild>
                    </w:div>
                  </w:divsChild>
                </w:div>
              </w:divsChild>
            </w:div>
          </w:divsChild>
        </w:div>
      </w:divsChild>
    </w:div>
    <w:div w:id="273367605">
      <w:bodyDiv w:val="1"/>
      <w:marLeft w:val="0"/>
      <w:marRight w:val="0"/>
      <w:marTop w:val="0"/>
      <w:marBottom w:val="0"/>
      <w:divBdr>
        <w:top w:val="none" w:sz="0" w:space="0" w:color="auto"/>
        <w:left w:val="none" w:sz="0" w:space="0" w:color="auto"/>
        <w:bottom w:val="none" w:sz="0" w:space="0" w:color="auto"/>
        <w:right w:val="none" w:sz="0" w:space="0" w:color="auto"/>
      </w:divBdr>
    </w:div>
    <w:div w:id="442727095">
      <w:bodyDiv w:val="1"/>
      <w:marLeft w:val="0"/>
      <w:marRight w:val="0"/>
      <w:marTop w:val="0"/>
      <w:marBottom w:val="0"/>
      <w:divBdr>
        <w:top w:val="none" w:sz="0" w:space="0" w:color="auto"/>
        <w:left w:val="none" w:sz="0" w:space="0" w:color="auto"/>
        <w:bottom w:val="none" w:sz="0" w:space="0" w:color="auto"/>
        <w:right w:val="none" w:sz="0" w:space="0" w:color="auto"/>
      </w:divBdr>
    </w:div>
    <w:div w:id="479007247">
      <w:bodyDiv w:val="1"/>
      <w:marLeft w:val="0"/>
      <w:marRight w:val="0"/>
      <w:marTop w:val="0"/>
      <w:marBottom w:val="0"/>
      <w:divBdr>
        <w:top w:val="none" w:sz="0" w:space="0" w:color="auto"/>
        <w:left w:val="none" w:sz="0" w:space="0" w:color="auto"/>
        <w:bottom w:val="none" w:sz="0" w:space="0" w:color="auto"/>
        <w:right w:val="none" w:sz="0" w:space="0" w:color="auto"/>
      </w:divBdr>
    </w:div>
    <w:div w:id="569120146">
      <w:bodyDiv w:val="1"/>
      <w:marLeft w:val="0"/>
      <w:marRight w:val="0"/>
      <w:marTop w:val="0"/>
      <w:marBottom w:val="0"/>
      <w:divBdr>
        <w:top w:val="none" w:sz="0" w:space="0" w:color="auto"/>
        <w:left w:val="none" w:sz="0" w:space="0" w:color="auto"/>
        <w:bottom w:val="none" w:sz="0" w:space="0" w:color="auto"/>
        <w:right w:val="none" w:sz="0" w:space="0" w:color="auto"/>
      </w:divBdr>
    </w:div>
    <w:div w:id="571505550">
      <w:bodyDiv w:val="1"/>
      <w:marLeft w:val="0"/>
      <w:marRight w:val="0"/>
      <w:marTop w:val="0"/>
      <w:marBottom w:val="0"/>
      <w:divBdr>
        <w:top w:val="none" w:sz="0" w:space="0" w:color="auto"/>
        <w:left w:val="none" w:sz="0" w:space="0" w:color="auto"/>
        <w:bottom w:val="none" w:sz="0" w:space="0" w:color="auto"/>
        <w:right w:val="none" w:sz="0" w:space="0" w:color="auto"/>
      </w:divBdr>
    </w:div>
    <w:div w:id="594748644">
      <w:bodyDiv w:val="1"/>
      <w:marLeft w:val="0"/>
      <w:marRight w:val="0"/>
      <w:marTop w:val="0"/>
      <w:marBottom w:val="0"/>
      <w:divBdr>
        <w:top w:val="none" w:sz="0" w:space="0" w:color="auto"/>
        <w:left w:val="none" w:sz="0" w:space="0" w:color="auto"/>
        <w:bottom w:val="none" w:sz="0" w:space="0" w:color="auto"/>
        <w:right w:val="none" w:sz="0" w:space="0" w:color="auto"/>
      </w:divBdr>
    </w:div>
    <w:div w:id="858396688">
      <w:bodyDiv w:val="1"/>
      <w:marLeft w:val="0"/>
      <w:marRight w:val="0"/>
      <w:marTop w:val="0"/>
      <w:marBottom w:val="0"/>
      <w:divBdr>
        <w:top w:val="none" w:sz="0" w:space="0" w:color="auto"/>
        <w:left w:val="none" w:sz="0" w:space="0" w:color="auto"/>
        <w:bottom w:val="none" w:sz="0" w:space="0" w:color="auto"/>
        <w:right w:val="none" w:sz="0" w:space="0" w:color="auto"/>
      </w:divBdr>
    </w:div>
    <w:div w:id="864559830">
      <w:bodyDiv w:val="1"/>
      <w:marLeft w:val="0"/>
      <w:marRight w:val="0"/>
      <w:marTop w:val="0"/>
      <w:marBottom w:val="0"/>
      <w:divBdr>
        <w:top w:val="none" w:sz="0" w:space="0" w:color="auto"/>
        <w:left w:val="none" w:sz="0" w:space="0" w:color="auto"/>
        <w:bottom w:val="none" w:sz="0" w:space="0" w:color="auto"/>
        <w:right w:val="none" w:sz="0" w:space="0" w:color="auto"/>
      </w:divBdr>
    </w:div>
    <w:div w:id="897865609">
      <w:bodyDiv w:val="1"/>
      <w:marLeft w:val="0"/>
      <w:marRight w:val="0"/>
      <w:marTop w:val="0"/>
      <w:marBottom w:val="0"/>
      <w:divBdr>
        <w:top w:val="none" w:sz="0" w:space="0" w:color="auto"/>
        <w:left w:val="none" w:sz="0" w:space="0" w:color="auto"/>
        <w:bottom w:val="none" w:sz="0" w:space="0" w:color="auto"/>
        <w:right w:val="none" w:sz="0" w:space="0" w:color="auto"/>
      </w:divBdr>
    </w:div>
    <w:div w:id="978267511">
      <w:bodyDiv w:val="1"/>
      <w:marLeft w:val="0"/>
      <w:marRight w:val="0"/>
      <w:marTop w:val="0"/>
      <w:marBottom w:val="0"/>
      <w:divBdr>
        <w:top w:val="none" w:sz="0" w:space="0" w:color="auto"/>
        <w:left w:val="none" w:sz="0" w:space="0" w:color="auto"/>
        <w:bottom w:val="none" w:sz="0" w:space="0" w:color="auto"/>
        <w:right w:val="none" w:sz="0" w:space="0" w:color="auto"/>
      </w:divBdr>
      <w:divsChild>
        <w:div w:id="1095172359">
          <w:marLeft w:val="547"/>
          <w:marRight w:val="0"/>
          <w:marTop w:val="0"/>
          <w:marBottom w:val="0"/>
          <w:divBdr>
            <w:top w:val="none" w:sz="0" w:space="0" w:color="auto"/>
            <w:left w:val="none" w:sz="0" w:space="0" w:color="auto"/>
            <w:bottom w:val="none" w:sz="0" w:space="0" w:color="auto"/>
            <w:right w:val="none" w:sz="0" w:space="0" w:color="auto"/>
          </w:divBdr>
        </w:div>
        <w:div w:id="270479916">
          <w:marLeft w:val="547"/>
          <w:marRight w:val="0"/>
          <w:marTop w:val="0"/>
          <w:marBottom w:val="0"/>
          <w:divBdr>
            <w:top w:val="none" w:sz="0" w:space="0" w:color="auto"/>
            <w:left w:val="none" w:sz="0" w:space="0" w:color="auto"/>
            <w:bottom w:val="none" w:sz="0" w:space="0" w:color="auto"/>
            <w:right w:val="none" w:sz="0" w:space="0" w:color="auto"/>
          </w:divBdr>
        </w:div>
        <w:div w:id="1005783329">
          <w:marLeft w:val="547"/>
          <w:marRight w:val="0"/>
          <w:marTop w:val="0"/>
          <w:marBottom w:val="0"/>
          <w:divBdr>
            <w:top w:val="none" w:sz="0" w:space="0" w:color="auto"/>
            <w:left w:val="none" w:sz="0" w:space="0" w:color="auto"/>
            <w:bottom w:val="none" w:sz="0" w:space="0" w:color="auto"/>
            <w:right w:val="none" w:sz="0" w:space="0" w:color="auto"/>
          </w:divBdr>
        </w:div>
        <w:div w:id="1753969280">
          <w:marLeft w:val="547"/>
          <w:marRight w:val="0"/>
          <w:marTop w:val="0"/>
          <w:marBottom w:val="0"/>
          <w:divBdr>
            <w:top w:val="none" w:sz="0" w:space="0" w:color="auto"/>
            <w:left w:val="none" w:sz="0" w:space="0" w:color="auto"/>
            <w:bottom w:val="none" w:sz="0" w:space="0" w:color="auto"/>
            <w:right w:val="none" w:sz="0" w:space="0" w:color="auto"/>
          </w:divBdr>
        </w:div>
      </w:divsChild>
    </w:div>
    <w:div w:id="995955836">
      <w:bodyDiv w:val="1"/>
      <w:marLeft w:val="0"/>
      <w:marRight w:val="0"/>
      <w:marTop w:val="0"/>
      <w:marBottom w:val="0"/>
      <w:divBdr>
        <w:top w:val="none" w:sz="0" w:space="0" w:color="auto"/>
        <w:left w:val="none" w:sz="0" w:space="0" w:color="auto"/>
        <w:bottom w:val="none" w:sz="0" w:space="0" w:color="auto"/>
        <w:right w:val="none" w:sz="0" w:space="0" w:color="auto"/>
      </w:divBdr>
    </w:div>
    <w:div w:id="1178738425">
      <w:bodyDiv w:val="1"/>
      <w:marLeft w:val="0"/>
      <w:marRight w:val="0"/>
      <w:marTop w:val="0"/>
      <w:marBottom w:val="0"/>
      <w:divBdr>
        <w:top w:val="none" w:sz="0" w:space="0" w:color="auto"/>
        <w:left w:val="none" w:sz="0" w:space="0" w:color="auto"/>
        <w:bottom w:val="none" w:sz="0" w:space="0" w:color="auto"/>
        <w:right w:val="none" w:sz="0" w:space="0" w:color="auto"/>
      </w:divBdr>
    </w:div>
    <w:div w:id="1208951041">
      <w:bodyDiv w:val="1"/>
      <w:marLeft w:val="0"/>
      <w:marRight w:val="0"/>
      <w:marTop w:val="0"/>
      <w:marBottom w:val="0"/>
      <w:divBdr>
        <w:top w:val="none" w:sz="0" w:space="0" w:color="auto"/>
        <w:left w:val="none" w:sz="0" w:space="0" w:color="auto"/>
        <w:bottom w:val="none" w:sz="0" w:space="0" w:color="auto"/>
        <w:right w:val="none" w:sz="0" w:space="0" w:color="auto"/>
      </w:divBdr>
    </w:div>
    <w:div w:id="1264148388">
      <w:bodyDiv w:val="1"/>
      <w:marLeft w:val="0"/>
      <w:marRight w:val="0"/>
      <w:marTop w:val="0"/>
      <w:marBottom w:val="0"/>
      <w:divBdr>
        <w:top w:val="none" w:sz="0" w:space="0" w:color="auto"/>
        <w:left w:val="none" w:sz="0" w:space="0" w:color="auto"/>
        <w:bottom w:val="none" w:sz="0" w:space="0" w:color="auto"/>
        <w:right w:val="none" w:sz="0" w:space="0" w:color="auto"/>
      </w:divBdr>
      <w:divsChild>
        <w:div w:id="1591814689">
          <w:marLeft w:val="0"/>
          <w:marRight w:val="0"/>
          <w:marTop w:val="0"/>
          <w:marBottom w:val="0"/>
          <w:divBdr>
            <w:top w:val="none" w:sz="0" w:space="0" w:color="auto"/>
            <w:left w:val="none" w:sz="0" w:space="0" w:color="auto"/>
            <w:bottom w:val="none" w:sz="0" w:space="0" w:color="auto"/>
            <w:right w:val="none" w:sz="0" w:space="0" w:color="auto"/>
          </w:divBdr>
          <w:divsChild>
            <w:div w:id="4870149">
              <w:marLeft w:val="0"/>
              <w:marRight w:val="0"/>
              <w:marTop w:val="0"/>
              <w:marBottom w:val="0"/>
              <w:divBdr>
                <w:top w:val="none" w:sz="0" w:space="0" w:color="auto"/>
                <w:left w:val="none" w:sz="0" w:space="0" w:color="auto"/>
                <w:bottom w:val="none" w:sz="0" w:space="0" w:color="auto"/>
                <w:right w:val="none" w:sz="0" w:space="0" w:color="auto"/>
              </w:divBdr>
              <w:divsChild>
                <w:div w:id="1479758987">
                  <w:marLeft w:val="0"/>
                  <w:marRight w:val="0"/>
                  <w:marTop w:val="0"/>
                  <w:marBottom w:val="0"/>
                  <w:divBdr>
                    <w:top w:val="none" w:sz="0" w:space="0" w:color="auto"/>
                    <w:left w:val="none" w:sz="0" w:space="0" w:color="auto"/>
                    <w:bottom w:val="none" w:sz="0" w:space="0" w:color="auto"/>
                    <w:right w:val="none" w:sz="0" w:space="0" w:color="auto"/>
                  </w:divBdr>
                  <w:divsChild>
                    <w:div w:id="311561713">
                      <w:marLeft w:val="0"/>
                      <w:marRight w:val="0"/>
                      <w:marTop w:val="0"/>
                      <w:marBottom w:val="0"/>
                      <w:divBdr>
                        <w:top w:val="none" w:sz="0" w:space="0" w:color="auto"/>
                        <w:left w:val="none" w:sz="0" w:space="0" w:color="auto"/>
                        <w:bottom w:val="none" w:sz="0" w:space="0" w:color="auto"/>
                        <w:right w:val="none" w:sz="0" w:space="0" w:color="auto"/>
                      </w:divBdr>
                      <w:divsChild>
                        <w:div w:id="2130539652">
                          <w:marLeft w:val="0"/>
                          <w:marRight w:val="0"/>
                          <w:marTop w:val="0"/>
                          <w:marBottom w:val="0"/>
                          <w:divBdr>
                            <w:top w:val="none" w:sz="0" w:space="0" w:color="auto"/>
                            <w:left w:val="none" w:sz="0" w:space="0" w:color="auto"/>
                            <w:bottom w:val="none" w:sz="0" w:space="0" w:color="auto"/>
                            <w:right w:val="none" w:sz="0" w:space="0" w:color="auto"/>
                          </w:divBdr>
                          <w:divsChild>
                            <w:div w:id="543560712">
                              <w:marLeft w:val="0"/>
                              <w:marRight w:val="0"/>
                              <w:marTop w:val="0"/>
                              <w:marBottom w:val="0"/>
                              <w:divBdr>
                                <w:top w:val="none" w:sz="0" w:space="0" w:color="auto"/>
                                <w:left w:val="none" w:sz="0" w:space="0" w:color="auto"/>
                                <w:bottom w:val="none" w:sz="0" w:space="0" w:color="auto"/>
                                <w:right w:val="none" w:sz="0" w:space="0" w:color="auto"/>
                              </w:divBdr>
                              <w:divsChild>
                                <w:div w:id="434789326">
                                  <w:marLeft w:val="0"/>
                                  <w:marRight w:val="0"/>
                                  <w:marTop w:val="0"/>
                                  <w:marBottom w:val="0"/>
                                  <w:divBdr>
                                    <w:top w:val="none" w:sz="0" w:space="0" w:color="auto"/>
                                    <w:left w:val="none" w:sz="0" w:space="0" w:color="auto"/>
                                    <w:bottom w:val="none" w:sz="0" w:space="0" w:color="auto"/>
                                    <w:right w:val="none" w:sz="0" w:space="0" w:color="auto"/>
                                  </w:divBdr>
                                  <w:divsChild>
                                    <w:div w:id="1349866979">
                                      <w:marLeft w:val="0"/>
                                      <w:marRight w:val="0"/>
                                      <w:marTop w:val="0"/>
                                      <w:marBottom w:val="0"/>
                                      <w:divBdr>
                                        <w:top w:val="none" w:sz="0" w:space="0" w:color="auto"/>
                                        <w:left w:val="none" w:sz="0" w:space="0" w:color="auto"/>
                                        <w:bottom w:val="none" w:sz="0" w:space="0" w:color="auto"/>
                                        <w:right w:val="none" w:sz="0" w:space="0" w:color="auto"/>
                                      </w:divBdr>
                                      <w:divsChild>
                                        <w:div w:id="84963581">
                                          <w:marLeft w:val="0"/>
                                          <w:marRight w:val="0"/>
                                          <w:marTop w:val="0"/>
                                          <w:marBottom w:val="0"/>
                                          <w:divBdr>
                                            <w:top w:val="none" w:sz="0" w:space="0" w:color="auto"/>
                                            <w:left w:val="none" w:sz="0" w:space="0" w:color="auto"/>
                                            <w:bottom w:val="none" w:sz="0" w:space="0" w:color="auto"/>
                                            <w:right w:val="none" w:sz="0" w:space="0" w:color="auto"/>
                                          </w:divBdr>
                                          <w:divsChild>
                                            <w:div w:id="586814916">
                                              <w:marLeft w:val="0"/>
                                              <w:marRight w:val="0"/>
                                              <w:marTop w:val="0"/>
                                              <w:marBottom w:val="0"/>
                                              <w:divBdr>
                                                <w:top w:val="none" w:sz="0" w:space="0" w:color="auto"/>
                                                <w:left w:val="none" w:sz="0" w:space="0" w:color="auto"/>
                                                <w:bottom w:val="none" w:sz="0" w:space="0" w:color="auto"/>
                                                <w:right w:val="none" w:sz="0" w:space="0" w:color="auto"/>
                                              </w:divBdr>
                                              <w:divsChild>
                                                <w:div w:id="219247301">
                                                  <w:marLeft w:val="0"/>
                                                  <w:marRight w:val="0"/>
                                                  <w:marTop w:val="0"/>
                                                  <w:marBottom w:val="0"/>
                                                  <w:divBdr>
                                                    <w:top w:val="none" w:sz="0" w:space="0" w:color="auto"/>
                                                    <w:left w:val="none" w:sz="0" w:space="0" w:color="auto"/>
                                                    <w:bottom w:val="none" w:sz="0" w:space="0" w:color="auto"/>
                                                    <w:right w:val="none" w:sz="0" w:space="0" w:color="auto"/>
                                                  </w:divBdr>
                                                  <w:divsChild>
                                                    <w:div w:id="989358721">
                                                      <w:marLeft w:val="0"/>
                                                      <w:marRight w:val="0"/>
                                                      <w:marTop w:val="0"/>
                                                      <w:marBottom w:val="0"/>
                                                      <w:divBdr>
                                                        <w:top w:val="none" w:sz="0" w:space="0" w:color="auto"/>
                                                        <w:left w:val="none" w:sz="0" w:space="0" w:color="auto"/>
                                                        <w:bottom w:val="none" w:sz="0" w:space="0" w:color="auto"/>
                                                        <w:right w:val="none" w:sz="0" w:space="0" w:color="auto"/>
                                                      </w:divBdr>
                                                      <w:divsChild>
                                                        <w:div w:id="1194463785">
                                                          <w:marLeft w:val="0"/>
                                                          <w:marRight w:val="0"/>
                                                          <w:marTop w:val="0"/>
                                                          <w:marBottom w:val="0"/>
                                                          <w:divBdr>
                                                            <w:top w:val="none" w:sz="0" w:space="0" w:color="auto"/>
                                                            <w:left w:val="none" w:sz="0" w:space="0" w:color="auto"/>
                                                            <w:bottom w:val="none" w:sz="0" w:space="0" w:color="auto"/>
                                                            <w:right w:val="none" w:sz="0" w:space="0" w:color="auto"/>
                                                          </w:divBdr>
                                                          <w:divsChild>
                                                            <w:div w:id="966744351">
                                                              <w:marLeft w:val="0"/>
                                                              <w:marRight w:val="0"/>
                                                              <w:marTop w:val="0"/>
                                                              <w:marBottom w:val="0"/>
                                                              <w:divBdr>
                                                                <w:top w:val="none" w:sz="0" w:space="0" w:color="auto"/>
                                                                <w:left w:val="none" w:sz="0" w:space="0" w:color="auto"/>
                                                                <w:bottom w:val="none" w:sz="0" w:space="0" w:color="auto"/>
                                                                <w:right w:val="none" w:sz="0" w:space="0" w:color="auto"/>
                                                              </w:divBdr>
                                                            </w:div>
                                                            <w:div w:id="1000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457539">
      <w:bodyDiv w:val="1"/>
      <w:marLeft w:val="0"/>
      <w:marRight w:val="0"/>
      <w:marTop w:val="0"/>
      <w:marBottom w:val="0"/>
      <w:divBdr>
        <w:top w:val="none" w:sz="0" w:space="0" w:color="auto"/>
        <w:left w:val="none" w:sz="0" w:space="0" w:color="auto"/>
        <w:bottom w:val="none" w:sz="0" w:space="0" w:color="auto"/>
        <w:right w:val="none" w:sz="0" w:space="0" w:color="auto"/>
      </w:divBdr>
      <w:divsChild>
        <w:div w:id="693503592">
          <w:marLeft w:val="0"/>
          <w:marRight w:val="0"/>
          <w:marTop w:val="100"/>
          <w:marBottom w:val="100"/>
          <w:divBdr>
            <w:top w:val="none" w:sz="0" w:space="0" w:color="auto"/>
            <w:left w:val="none" w:sz="0" w:space="0" w:color="auto"/>
            <w:bottom w:val="none" w:sz="0" w:space="0" w:color="auto"/>
            <w:right w:val="none" w:sz="0" w:space="0" w:color="auto"/>
          </w:divBdr>
          <w:divsChild>
            <w:div w:id="7461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108">
      <w:bodyDiv w:val="1"/>
      <w:marLeft w:val="0"/>
      <w:marRight w:val="0"/>
      <w:marTop w:val="0"/>
      <w:marBottom w:val="0"/>
      <w:divBdr>
        <w:top w:val="none" w:sz="0" w:space="0" w:color="auto"/>
        <w:left w:val="none" w:sz="0" w:space="0" w:color="auto"/>
        <w:bottom w:val="none" w:sz="0" w:space="0" w:color="auto"/>
        <w:right w:val="none" w:sz="0" w:space="0" w:color="auto"/>
      </w:divBdr>
    </w:div>
    <w:div w:id="1462335536">
      <w:bodyDiv w:val="1"/>
      <w:marLeft w:val="0"/>
      <w:marRight w:val="0"/>
      <w:marTop w:val="0"/>
      <w:marBottom w:val="0"/>
      <w:divBdr>
        <w:top w:val="none" w:sz="0" w:space="0" w:color="auto"/>
        <w:left w:val="none" w:sz="0" w:space="0" w:color="auto"/>
        <w:bottom w:val="none" w:sz="0" w:space="0" w:color="auto"/>
        <w:right w:val="none" w:sz="0" w:space="0" w:color="auto"/>
      </w:divBdr>
    </w:div>
    <w:div w:id="1471093504">
      <w:bodyDiv w:val="1"/>
      <w:marLeft w:val="0"/>
      <w:marRight w:val="0"/>
      <w:marTop w:val="0"/>
      <w:marBottom w:val="0"/>
      <w:divBdr>
        <w:top w:val="none" w:sz="0" w:space="0" w:color="auto"/>
        <w:left w:val="none" w:sz="0" w:space="0" w:color="auto"/>
        <w:bottom w:val="none" w:sz="0" w:space="0" w:color="auto"/>
        <w:right w:val="none" w:sz="0" w:space="0" w:color="auto"/>
      </w:divBdr>
      <w:divsChild>
        <w:div w:id="634603176">
          <w:marLeft w:val="547"/>
          <w:marRight w:val="0"/>
          <w:marTop w:val="0"/>
          <w:marBottom w:val="0"/>
          <w:divBdr>
            <w:top w:val="none" w:sz="0" w:space="0" w:color="auto"/>
            <w:left w:val="none" w:sz="0" w:space="0" w:color="auto"/>
            <w:bottom w:val="none" w:sz="0" w:space="0" w:color="auto"/>
            <w:right w:val="none" w:sz="0" w:space="0" w:color="auto"/>
          </w:divBdr>
        </w:div>
        <w:div w:id="699741744">
          <w:marLeft w:val="547"/>
          <w:marRight w:val="0"/>
          <w:marTop w:val="0"/>
          <w:marBottom w:val="0"/>
          <w:divBdr>
            <w:top w:val="none" w:sz="0" w:space="0" w:color="auto"/>
            <w:left w:val="none" w:sz="0" w:space="0" w:color="auto"/>
            <w:bottom w:val="none" w:sz="0" w:space="0" w:color="auto"/>
            <w:right w:val="none" w:sz="0" w:space="0" w:color="auto"/>
          </w:divBdr>
        </w:div>
      </w:divsChild>
    </w:div>
    <w:div w:id="1547448681">
      <w:bodyDiv w:val="1"/>
      <w:marLeft w:val="0"/>
      <w:marRight w:val="0"/>
      <w:marTop w:val="0"/>
      <w:marBottom w:val="0"/>
      <w:divBdr>
        <w:top w:val="none" w:sz="0" w:space="0" w:color="auto"/>
        <w:left w:val="none" w:sz="0" w:space="0" w:color="auto"/>
        <w:bottom w:val="none" w:sz="0" w:space="0" w:color="auto"/>
        <w:right w:val="none" w:sz="0" w:space="0" w:color="auto"/>
      </w:divBdr>
    </w:div>
    <w:div w:id="1577664579">
      <w:bodyDiv w:val="1"/>
      <w:marLeft w:val="0"/>
      <w:marRight w:val="0"/>
      <w:marTop w:val="0"/>
      <w:marBottom w:val="0"/>
      <w:divBdr>
        <w:top w:val="none" w:sz="0" w:space="0" w:color="auto"/>
        <w:left w:val="none" w:sz="0" w:space="0" w:color="auto"/>
        <w:bottom w:val="none" w:sz="0" w:space="0" w:color="auto"/>
        <w:right w:val="none" w:sz="0" w:space="0" w:color="auto"/>
      </w:divBdr>
    </w:div>
    <w:div w:id="1592541342">
      <w:bodyDiv w:val="1"/>
      <w:marLeft w:val="0"/>
      <w:marRight w:val="0"/>
      <w:marTop w:val="0"/>
      <w:marBottom w:val="0"/>
      <w:divBdr>
        <w:top w:val="none" w:sz="0" w:space="0" w:color="auto"/>
        <w:left w:val="none" w:sz="0" w:space="0" w:color="auto"/>
        <w:bottom w:val="none" w:sz="0" w:space="0" w:color="auto"/>
        <w:right w:val="none" w:sz="0" w:space="0" w:color="auto"/>
      </w:divBdr>
    </w:div>
    <w:div w:id="1668899459">
      <w:bodyDiv w:val="1"/>
      <w:marLeft w:val="0"/>
      <w:marRight w:val="0"/>
      <w:marTop w:val="0"/>
      <w:marBottom w:val="0"/>
      <w:divBdr>
        <w:top w:val="none" w:sz="0" w:space="0" w:color="auto"/>
        <w:left w:val="none" w:sz="0" w:space="0" w:color="auto"/>
        <w:bottom w:val="none" w:sz="0" w:space="0" w:color="auto"/>
        <w:right w:val="none" w:sz="0" w:space="0" w:color="auto"/>
      </w:divBdr>
    </w:div>
    <w:div w:id="1725564839">
      <w:bodyDiv w:val="1"/>
      <w:marLeft w:val="0"/>
      <w:marRight w:val="0"/>
      <w:marTop w:val="0"/>
      <w:marBottom w:val="0"/>
      <w:divBdr>
        <w:top w:val="none" w:sz="0" w:space="0" w:color="auto"/>
        <w:left w:val="none" w:sz="0" w:space="0" w:color="auto"/>
        <w:bottom w:val="none" w:sz="0" w:space="0" w:color="auto"/>
        <w:right w:val="none" w:sz="0" w:space="0" w:color="auto"/>
      </w:divBdr>
      <w:divsChild>
        <w:div w:id="1675911890">
          <w:marLeft w:val="562"/>
          <w:marRight w:val="0"/>
          <w:marTop w:val="0"/>
          <w:marBottom w:val="480"/>
          <w:divBdr>
            <w:top w:val="none" w:sz="0" w:space="0" w:color="auto"/>
            <w:left w:val="none" w:sz="0" w:space="0" w:color="auto"/>
            <w:bottom w:val="none" w:sz="0" w:space="0" w:color="auto"/>
            <w:right w:val="none" w:sz="0" w:space="0" w:color="auto"/>
          </w:divBdr>
        </w:div>
        <w:div w:id="788816425">
          <w:marLeft w:val="562"/>
          <w:marRight w:val="0"/>
          <w:marTop w:val="0"/>
          <w:marBottom w:val="480"/>
          <w:divBdr>
            <w:top w:val="none" w:sz="0" w:space="0" w:color="auto"/>
            <w:left w:val="none" w:sz="0" w:space="0" w:color="auto"/>
            <w:bottom w:val="none" w:sz="0" w:space="0" w:color="auto"/>
            <w:right w:val="none" w:sz="0" w:space="0" w:color="auto"/>
          </w:divBdr>
        </w:div>
      </w:divsChild>
    </w:div>
    <w:div w:id="1834299982">
      <w:bodyDiv w:val="1"/>
      <w:marLeft w:val="0"/>
      <w:marRight w:val="0"/>
      <w:marTop w:val="0"/>
      <w:marBottom w:val="0"/>
      <w:divBdr>
        <w:top w:val="none" w:sz="0" w:space="0" w:color="auto"/>
        <w:left w:val="none" w:sz="0" w:space="0" w:color="auto"/>
        <w:bottom w:val="none" w:sz="0" w:space="0" w:color="auto"/>
        <w:right w:val="none" w:sz="0" w:space="0" w:color="auto"/>
      </w:divBdr>
    </w:div>
    <w:div w:id="1947928939">
      <w:bodyDiv w:val="1"/>
      <w:marLeft w:val="0"/>
      <w:marRight w:val="0"/>
      <w:marTop w:val="0"/>
      <w:marBottom w:val="0"/>
      <w:divBdr>
        <w:top w:val="none" w:sz="0" w:space="0" w:color="auto"/>
        <w:left w:val="none" w:sz="0" w:space="0" w:color="auto"/>
        <w:bottom w:val="none" w:sz="0" w:space="0" w:color="auto"/>
        <w:right w:val="none" w:sz="0" w:space="0" w:color="auto"/>
      </w:divBdr>
    </w:div>
    <w:div w:id="20834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ecd.org/gov/ethics/oecdguidelinesformanagingconflictofinterestinthepublicservice.htm" TargetMode="External"/><Relationship Id="rId18" Type="http://schemas.openxmlformats.org/officeDocument/2006/relationships/hyperlink" Target="https://findit.compliance.siemens.com/content/10000101/Compliance/LC_CO/LC_CO_RG/findIT_LC_CO_RG_7994.doc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icc-estonia.ee/wp-content/uploads/2018/06/ICC-Guidelines-on-CoI-and-Dilemmas-final-4-5-18.pdf" TargetMode="External"/><Relationship Id="rId17" Type="http://schemas.openxmlformats.org/officeDocument/2006/relationships/hyperlink" Target="https://myvideo.siemens.com/media/1_cadb24vv"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intranet.for.siemens.com/cms/080/en/processes/collaboration/Pages/hr-experts.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newscenter.siemens.com/siemens-news/index.php?webcode=50076487&amp;rwlogin=1"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intranet.for.siemens.com/cms/059/en/about/org/Pages/compliance_organization.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indit.compliance.siemens.com/content/10000101/Compliance/LC_CO/LC_CO_RG_PL/findIT_LC_CO_RG_PL_7244.pdf" TargetMode="External"/><Relationship Id="rId22" Type="http://schemas.openxmlformats.org/officeDocument/2006/relationships/footer" Target="foot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findit.compliance.siemens.com/content/10000101/Compliance/LC_CO/LC_CO_RG/findIT_LC_CO_RG_7994.docx" TargetMode="External"/><Relationship Id="rId2" Type="http://schemas.openxmlformats.org/officeDocument/2006/relationships/hyperlink" Target="https://workspace.c6.siemens.com/content/300000007/Compliance%20WebBook/Part%201%20Activity%20Fields/A)%20Anti-corruption/4.%20Business%20Partners.docx" TargetMode="External"/><Relationship Id="rId1" Type="http://schemas.openxmlformats.org/officeDocument/2006/relationships/hyperlink" Target="https://findit.compliance.siemens.com/content/10000101/Compliance/LC_CO/LC_CO_RG/findIT_LC_CO_RG_7994.doc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d9vu\AppData\Local\Microsoft\Windows\Temporary%20Internet%20Files\Content.Outlook\KT277LDL\SCL_140916_Legal_Handbook_Template_Lay07.dotx" TargetMode="External"/></Relationships>
</file>

<file path=word/theme/theme1.xml><?xml version="1.0" encoding="utf-8"?>
<a:theme xmlns:a="http://schemas.openxmlformats.org/drawingml/2006/main" name="SIM_newsletter">
  <a:themeElements>
    <a:clrScheme name="Siemens AG">
      <a:dk1>
        <a:sysClr val="windowText" lastClr="000000"/>
      </a:dk1>
      <a:lt1>
        <a:sysClr val="window" lastClr="FFFFFF"/>
      </a:lt1>
      <a:dk2>
        <a:srgbClr val="879BAA"/>
      </a:dk2>
      <a:lt2>
        <a:srgbClr val="BECDD7"/>
      </a:lt2>
      <a:accent1>
        <a:srgbClr val="AAAA96"/>
      </a:accent1>
      <a:accent2>
        <a:srgbClr val="D7D7CD"/>
      </a:accent2>
      <a:accent3>
        <a:srgbClr val="006487"/>
      </a:accent3>
      <a:accent4>
        <a:srgbClr val="647D2D"/>
      </a:accent4>
      <a:accent5>
        <a:srgbClr val="641946"/>
      </a:accent5>
      <a:accent6>
        <a:srgbClr val="EB780A"/>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Source Library Content Type" ma:contentTypeID="0x010100DA792F68E16F46C1935D46987B61C0F50099EFCC051DBFF746BCEF6C3628588333" ma:contentTypeVersion="3" ma:contentTypeDescription="Source Library Content Type" ma:contentTypeScope="" ma:versionID="52b79649b671b7cf6b980e9492bceffc">
  <xsd:schema xmlns:xsd="http://www.w3.org/2001/XMLSchema" xmlns:xs="http://www.w3.org/2001/XMLSchema" xmlns:p="http://schemas.microsoft.com/office/2006/metadata/properties" xmlns:ns2="91B9760D-53D8-425F-9F7F-8911CF84EED2" xmlns:ns3="91b9760d-53d8-425f-9f7f-8911cf84eed2" xmlns:ns4="6ee1f5f8-4a5f-4619-969f-c34e20667274" targetNamespace="http://schemas.microsoft.com/office/2006/metadata/properties" ma:root="true" ma:fieldsID="ab9dd9530a4bae8b2da3ad282918049b" ns2:_="" ns3:_="" ns4:_="">
    <xsd:import namespace="91B9760D-53D8-425F-9F7F-8911CF84EED2"/>
    <xsd:import namespace="91b9760d-53d8-425f-9f7f-8911cf84eed2"/>
    <xsd:import namespace="6ee1f5f8-4a5f-4619-969f-c34e20667274"/>
    <xsd:element name="properties">
      <xsd:complexType>
        <xsd:sequence>
          <xsd:element name="documentManagement">
            <xsd:complexType>
              <xsd:all>
                <xsd:element ref="ns2:MaintainPublication"/>
                <xsd:element ref="ns3:nb766c42a6d34ad7b224884871f9394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MaintainPublication" ma:index="9" ma:displayName="Maintain publication" ma:default="Publish" ma:format="Dropdown" ma:internalName="MaintainPublication">
      <xsd:simpleType>
        <xsd:restriction base="dms:Choice">
          <xsd:enumeration value="Publish"/>
          <xsd:enumeration value="Ignore"/>
          <xsd:enumeration value="Un-publish"/>
        </xsd:restriction>
      </xsd:simple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nb766c42a6d34ad7b224884871f9394f" ma:index="11" nillable="true" ma:taxonomy="true" ma:internalName="nb766c42a6d34ad7b224884871f9394f" ma:taxonomyFieldName="TOC" ma:displayName="TOC" ma:default="" ma:fieldId="{7b766c42-a6d3-4ad7-b224-884871f9394f}" ma:sspId="407be2cf-81e9-4a29-bb69-6cc8cd970df2" ma:termSetId="fc876880-718d-4551-830e-d86cc8c7db1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e1f5f8-4a5f-4619-969f-c34e206672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37966c-1784-403a-a85c-bfb82e633b6a}" ma:internalName="TaxCatchAll" ma:showField="CatchAllData" ma:web="6ee1f5f8-4a5f-4619-969f-c34e206672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6ee1f5f8-4a5f-4619-969f-c34e20667274">
      <Value>82</Value>
    </TaxCatchAll>
    <MaintainPublication xmlns="91B9760D-53D8-425F-9F7F-8911CF84EED2">Publish</MaintainPublication>
    <nb766c42a6d34ad7b224884871f9394f xmlns="91b9760d-53d8-425f-9f7f-8911cf84eed2">
      <Terms xmlns="http://schemas.microsoft.com/office/infopath/2007/PartnerControls">
        <TermInfo xmlns="http://schemas.microsoft.com/office/infopath/2007/PartnerControls">
          <TermName xmlns="http://schemas.microsoft.com/office/infopath/2007/PartnerControls">A. Anti-Corruption</TermName>
          <TermId xmlns="http://schemas.microsoft.com/office/infopath/2007/PartnerControls">6ca01eac-d1ea-484a-8e00-748d721d9ad0</TermId>
        </TermInfo>
      </Terms>
    </nb766c42a6d34ad7b224884871f9394f>
  </documentManagement>
</p:properties>
</file>

<file path=customXml/itemProps1.xml><?xml version="1.0" encoding="utf-8"?>
<ds:datastoreItem xmlns:ds="http://schemas.openxmlformats.org/officeDocument/2006/customXml" ds:itemID="{BB411983-BEEB-4311-B38F-40041DA107C0}">
  <ds:schemaRefs>
    <ds:schemaRef ds:uri="http://schemas.openxmlformats.org/officeDocument/2006/bibliography"/>
  </ds:schemaRefs>
</ds:datastoreItem>
</file>

<file path=customXml/itemProps2.xml><?xml version="1.0" encoding="utf-8"?>
<ds:datastoreItem xmlns:ds="http://schemas.openxmlformats.org/officeDocument/2006/customXml" ds:itemID="{0340680D-646E-4F44-BA00-04EB703E5B3E}">
  <ds:schemaRefs>
    <ds:schemaRef ds:uri="http://schemas.microsoft.com/sharepoint/v3/contenttype/forms"/>
  </ds:schemaRefs>
</ds:datastoreItem>
</file>

<file path=customXml/itemProps3.xml><?xml version="1.0" encoding="utf-8"?>
<ds:datastoreItem xmlns:ds="http://schemas.openxmlformats.org/officeDocument/2006/customXml" ds:itemID="{56AC3B64-C1BD-4D58-BE3E-FD33797981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9760D-53D8-425F-9F7F-8911CF84EED2"/>
    <ds:schemaRef ds:uri="91b9760d-53d8-425f-9f7f-8911cf84eed2"/>
    <ds:schemaRef ds:uri="6ee1f5f8-4a5f-4619-969f-c34e20667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5C410B-8DA4-4E57-8D14-A0D69B388DE0}">
  <ds:schemaRefs>
    <ds:schemaRef ds:uri="http://schemas.microsoft.com/office/2006/documentManagement/types"/>
    <ds:schemaRef ds:uri="91b9760d-53d8-425f-9f7f-8911cf84eed2"/>
    <ds:schemaRef ds:uri="http://purl.org/dc/dcmitype/"/>
    <ds:schemaRef ds:uri="http://schemas.microsoft.com/office/infopath/2007/PartnerControls"/>
    <ds:schemaRef ds:uri="91B9760D-53D8-425F-9F7F-8911CF84EED2"/>
    <ds:schemaRef ds:uri="http://purl.org/dc/elements/1.1/"/>
    <ds:schemaRef ds:uri="http://schemas.microsoft.com/office/2006/metadata/properties"/>
    <ds:schemaRef ds:uri="http://purl.org/dc/terms/"/>
    <ds:schemaRef ds:uri="http://schemas.openxmlformats.org/package/2006/metadata/core-properties"/>
    <ds:schemaRef ds:uri="6ee1f5f8-4a5f-4619-969f-c34e20667274"/>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SCL_140916_Legal_Handbook_Template_Lay07.dotx</Template>
  <TotalTime>0</TotalTime>
  <Pages>8</Pages>
  <Words>2594</Words>
  <Characters>16345</Characters>
  <Application>Microsoft Office Word</Application>
  <DocSecurity>0</DocSecurity>
  <Lines>136</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C_Restricted</cp:keywords>
  <dc:description/>
  <cp:lastModifiedBy>Hamm-Dueppe, Yvonne (LC CO RFC LF)</cp:lastModifiedBy>
  <cp:revision>47</cp:revision>
  <cp:lastPrinted>2018-11-28T09:16:00Z</cp:lastPrinted>
  <dcterms:created xsi:type="dcterms:W3CDTF">2018-11-14T15:37:00Z</dcterms:created>
  <dcterms:modified xsi:type="dcterms:W3CDTF">2021-03-31T07:56:00Z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-1737067326</vt:i4>
  </property>
  <property fmtid="{D5CDD505-2E9C-101B-9397-08002B2CF9AE}" pid="3" name="_NewReviewCycle">
    <vt:lpwstr/>
  </property>
  <property fmtid="{D5CDD505-2E9C-101B-9397-08002B2CF9AE}" pid="4" name="_EmailSubject">
    <vt:lpwstr>Business Partner Web Book  |  Templates</vt:lpwstr>
  </property>
  <property fmtid="{D5CDD505-2E9C-101B-9397-08002B2CF9AE}" pid="5" name="_AuthorEmail">
    <vt:lpwstr>Joerg.Nullmeier@siemens.com</vt:lpwstr>
  </property>
  <property fmtid="{D5CDD505-2E9C-101B-9397-08002B2CF9AE}" pid="6" name="_AuthorEmailDisplayName">
    <vt:lpwstr>Nullmeier, Joerg (LC CB GF)</vt:lpwstr>
  </property>
  <property fmtid="{D5CDD505-2E9C-101B-9397-08002B2CF9AE}" pid="7" name="_PreviousAdHocReviewCycleID">
    <vt:i4>305844147</vt:i4>
  </property>
  <property fmtid="{D5CDD505-2E9C-101B-9397-08002B2CF9AE}" pid="8" name="ContentTypeId">
    <vt:lpwstr>0x010100DA792F68E16F46C1935D46987B61C0F50099EFCC051DBFF746BCEF6C3628588333</vt:lpwstr>
  </property>
  <property fmtid="{D5CDD505-2E9C-101B-9397-08002B2CF9AE}" pid="9" name="TOC">
    <vt:lpwstr>82;#A. Anti-Corruption|6ca01eac-d1ea-484a-8e00-748d721d9ad0</vt:lpwstr>
  </property>
  <property fmtid="{D5CDD505-2E9C-101B-9397-08002B2CF9AE}" pid="10" name="_ReviewingToolsShownOnce">
    <vt:lpwstr/>
  </property>
  <property fmtid="{D5CDD505-2E9C-101B-9397-08002B2CF9AE}" pid="11" name="Document Confidentiality">
    <vt:lpwstr>Restricted</vt:lpwstr>
  </property>
  <property fmtid="{D5CDD505-2E9C-101B-9397-08002B2CF9AE}" pid="12" name="MSIP_Label_a59b6cd5-d141-4a33-8bf1-0ca04484304f_Enabled">
    <vt:lpwstr>true</vt:lpwstr>
  </property>
  <property fmtid="{D5CDD505-2E9C-101B-9397-08002B2CF9AE}" pid="13" name="MSIP_Label_a59b6cd5-d141-4a33-8bf1-0ca04484304f_SetDate">
    <vt:lpwstr>2021-03-31T07:56:14Z</vt:lpwstr>
  </property>
  <property fmtid="{D5CDD505-2E9C-101B-9397-08002B2CF9AE}" pid="14" name="MSIP_Label_a59b6cd5-d141-4a33-8bf1-0ca04484304f_Method">
    <vt:lpwstr>Standard</vt:lpwstr>
  </property>
  <property fmtid="{D5CDD505-2E9C-101B-9397-08002B2CF9AE}" pid="15" name="MSIP_Label_a59b6cd5-d141-4a33-8bf1-0ca04484304f_Name">
    <vt:lpwstr>restricted-default</vt:lpwstr>
  </property>
  <property fmtid="{D5CDD505-2E9C-101B-9397-08002B2CF9AE}" pid="16" name="MSIP_Label_a59b6cd5-d141-4a33-8bf1-0ca04484304f_SiteId">
    <vt:lpwstr>38ae3bcd-9579-4fd4-adda-b42e1495d55a</vt:lpwstr>
  </property>
  <property fmtid="{D5CDD505-2E9C-101B-9397-08002B2CF9AE}" pid="17" name="MSIP_Label_a59b6cd5-d141-4a33-8bf1-0ca04484304f_ActionId">
    <vt:lpwstr>2460dda5-c101-4492-842c-6fc56239a1a5</vt:lpwstr>
  </property>
  <property fmtid="{D5CDD505-2E9C-101B-9397-08002B2CF9AE}" pid="18" name="MSIP_Label_a59b6cd5-d141-4a33-8bf1-0ca04484304f_ContentBits">
    <vt:lpwstr>0</vt:lpwstr>
  </property>
  <property fmtid="{D5CDD505-2E9C-101B-9397-08002B2CF9AE}" pid="19" name="Document_Confidentiality">
    <vt:lpwstr>Restricted</vt:lpwstr>
  </property>
</Properties>
</file>