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2F486" w14:textId="77777777" w:rsidR="00593165" w:rsidRDefault="003175AA">
      <w:pPr>
        <w:rPr>
          <w:rFonts w:ascii="Times New Roman" w:hAnsi="Times New Roman" w:cs="Times New Roman"/>
          <w:color w:val="879BAA" w:themeColor="text2"/>
          <w:sz w:val="56"/>
          <w:szCs w:val="56"/>
          <w:lang w:val="en-GB"/>
        </w:rPr>
      </w:pPr>
      <w:bookmarkStart w:id="0" w:name="_Toc456708447"/>
      <w:r>
        <w:rPr>
          <w:rFonts w:ascii="Times New Roman" w:hAnsi="Times New Roman" w:cs="Times New Roman"/>
          <w:color w:val="879BAA" w:themeColor="text2"/>
          <w:sz w:val="56"/>
          <w:szCs w:val="56"/>
          <w:lang w:val="en-GB"/>
        </w:rPr>
        <w:t xml:space="preserve">1. Compliance in Project Business </w:t>
      </w:r>
    </w:p>
    <w:p w14:paraId="4E0ECC08" w14:textId="77777777" w:rsidR="00B66859" w:rsidRPr="00450125" w:rsidRDefault="00B66859" w:rsidP="00B66859">
      <w:pPr>
        <w:shd w:val="clear" w:color="auto" w:fill="FFFFFF"/>
        <w:spacing w:after="0" w:line="348" w:lineRule="atLeast"/>
        <w:textAlignment w:val="baseline"/>
        <w:rPr>
          <w:rFonts w:eastAsia="Times New Roman" w:cs="Arial"/>
          <w:color w:val="333333"/>
          <w:szCs w:val="20"/>
          <w:lang w:eastAsia="de-DE"/>
        </w:rPr>
      </w:pPr>
      <w:r w:rsidRPr="00450125">
        <w:rPr>
          <w:rFonts w:eastAsia="Times New Roman" w:cs="Arial"/>
          <w:color w:val="333333"/>
          <w:szCs w:val="20"/>
          <w:lang w:eastAsia="de-DE"/>
        </w:rPr>
        <w:t xml:space="preserve">The </w:t>
      </w:r>
      <w:hyperlink r:id="rId11" w:history="1">
        <w:r w:rsidRPr="00450125">
          <w:rPr>
            <w:rStyle w:val="Hyperlink"/>
            <w:rFonts w:eastAsia="Times New Roman" w:cs="Arial"/>
            <w:szCs w:val="20"/>
            <w:lang w:eastAsia="de-DE"/>
          </w:rPr>
          <w:t>Project Business Excellence</w:t>
        </w:r>
        <w:r w:rsidRPr="000816A8">
          <w:rPr>
            <w:rStyle w:val="Hyperlink"/>
            <w:rFonts w:eastAsia="Times New Roman" w:cs="Arial"/>
            <w:szCs w:val="20"/>
            <w:lang w:eastAsia="de-DE"/>
          </w:rPr>
          <w:t xml:space="preserve"> with the </w:t>
        </w:r>
        <w:proofErr w:type="spellStart"/>
        <w:r>
          <w:rPr>
            <w:rStyle w:val="Hyperlink"/>
            <w:rFonts w:eastAsia="Times New Roman" w:cs="Arial"/>
            <w:szCs w:val="20"/>
            <w:lang w:eastAsia="de-DE"/>
          </w:rPr>
          <w:t>PM</w:t>
        </w:r>
        <w:r w:rsidRPr="000816A8">
          <w:rPr>
            <w:rStyle w:val="Hyperlink"/>
            <w:rFonts w:eastAsia="Times New Roman" w:cs="Arial"/>
            <w:szCs w:val="20"/>
            <w:lang w:eastAsia="de-DE"/>
          </w:rPr>
          <w:t>@</w:t>
        </w:r>
        <w:r>
          <w:rPr>
            <w:rStyle w:val="Hyperlink"/>
            <w:rFonts w:eastAsia="Times New Roman" w:cs="Arial"/>
            <w:szCs w:val="20"/>
            <w:lang w:eastAsia="de-DE"/>
          </w:rPr>
          <w:t>S</w:t>
        </w:r>
        <w:r w:rsidRPr="000816A8">
          <w:rPr>
            <w:rStyle w:val="Hyperlink"/>
            <w:rFonts w:eastAsia="Times New Roman" w:cs="Arial"/>
            <w:szCs w:val="20"/>
            <w:lang w:eastAsia="de-DE"/>
          </w:rPr>
          <w:t>iemens</w:t>
        </w:r>
        <w:proofErr w:type="spellEnd"/>
        <w:r w:rsidRPr="000816A8">
          <w:rPr>
            <w:rStyle w:val="Hyperlink"/>
            <w:rFonts w:eastAsia="Times New Roman" w:cs="Arial"/>
            <w:szCs w:val="20"/>
            <w:lang w:eastAsia="de-DE"/>
          </w:rPr>
          <w:t xml:space="preserve"> methodology</w:t>
        </w:r>
      </w:hyperlink>
      <w:r>
        <w:rPr>
          <w:rFonts w:eastAsia="Times New Roman" w:cs="Arial"/>
          <w:color w:val="333333"/>
          <w:szCs w:val="20"/>
          <w:lang w:eastAsia="de-DE"/>
        </w:rPr>
        <w:t xml:space="preserve"> is</w:t>
      </w:r>
      <w:r w:rsidRPr="00450125">
        <w:rPr>
          <w:rFonts w:eastAsia="Times New Roman" w:cs="Arial"/>
          <w:color w:val="333333"/>
          <w:szCs w:val="20"/>
          <w:lang w:eastAsia="de-DE"/>
        </w:rPr>
        <w:t xml:space="preserve"> the company-wide standard for project management developed in coordination with the Organizational Units. It defines the tasks, </w:t>
      </w:r>
      <w:proofErr w:type="gramStart"/>
      <w:r w:rsidRPr="00450125">
        <w:rPr>
          <w:rFonts w:eastAsia="Times New Roman" w:cs="Arial"/>
          <w:color w:val="333333"/>
          <w:szCs w:val="20"/>
          <w:lang w:eastAsia="de-DE"/>
        </w:rPr>
        <w:t>responsibilities</w:t>
      </w:r>
      <w:proofErr w:type="gramEnd"/>
      <w:r w:rsidRPr="00450125">
        <w:rPr>
          <w:rFonts w:eastAsia="Times New Roman" w:cs="Arial"/>
          <w:color w:val="333333"/>
          <w:szCs w:val="20"/>
          <w:lang w:eastAsia="de-DE"/>
        </w:rPr>
        <w:t xml:space="preserve"> and fundamental processes in project management and for project business.</w:t>
      </w:r>
    </w:p>
    <w:p w14:paraId="28B62048" w14:textId="77777777" w:rsidR="00B66859" w:rsidRPr="00450125" w:rsidRDefault="00B66859" w:rsidP="00B66859">
      <w:pPr>
        <w:shd w:val="clear" w:color="auto" w:fill="FFFFFF"/>
        <w:spacing w:after="0" w:line="348" w:lineRule="atLeast"/>
        <w:textAlignment w:val="baseline"/>
        <w:rPr>
          <w:rFonts w:eastAsia="Times New Roman" w:cs="Arial"/>
          <w:color w:val="333333"/>
          <w:szCs w:val="20"/>
          <w:lang w:eastAsia="de-DE"/>
        </w:rPr>
      </w:pPr>
      <w:r w:rsidRPr="00450125">
        <w:rPr>
          <w:rFonts w:eastAsia="Times New Roman" w:cs="Arial"/>
          <w:color w:val="333333"/>
          <w:szCs w:val="20"/>
          <w:lang w:eastAsia="de-DE"/>
        </w:rPr>
        <w:t>It addresses all important areas of Siemens’ project management and describes the expectations for excellent project business across the entire life cycle, including the mandatory minimum requirements that must be met during acquisition and execution.</w:t>
      </w:r>
    </w:p>
    <w:p w14:paraId="6E0127AB" w14:textId="77777777" w:rsidR="00B66859" w:rsidRPr="000816A8" w:rsidRDefault="00B66859" w:rsidP="00B66859">
      <w:pPr>
        <w:rPr>
          <w:rFonts w:cs="Arial"/>
          <w:szCs w:val="20"/>
        </w:rPr>
      </w:pPr>
    </w:p>
    <w:p w14:paraId="3D5BD032" w14:textId="77777777" w:rsidR="00B66859" w:rsidRDefault="00B66859" w:rsidP="00B66859">
      <w:pPr>
        <w:rPr>
          <w:rFonts w:cs="Arial"/>
          <w:color w:val="333333"/>
          <w:szCs w:val="20"/>
          <w:shd w:val="clear" w:color="auto" w:fill="FFFFFF"/>
        </w:rPr>
      </w:pPr>
      <w:r w:rsidRPr="00450125">
        <w:rPr>
          <w:rFonts w:cs="Arial"/>
          <w:color w:val="333333"/>
          <w:szCs w:val="20"/>
          <w:shd w:val="clear" w:color="auto" w:fill="FFFFFF"/>
        </w:rPr>
        <w:t xml:space="preserve">The </w:t>
      </w:r>
      <w:hyperlink r:id="rId12" w:history="1">
        <w:r w:rsidRPr="00450125">
          <w:rPr>
            <w:rStyle w:val="Hyperlink"/>
            <w:rFonts w:cs="Arial"/>
            <w:szCs w:val="20"/>
            <w:shd w:val="clear" w:color="auto" w:fill="FFFFFF"/>
          </w:rPr>
          <w:t>Limits of Authority (LoA)</w:t>
        </w:r>
      </w:hyperlink>
      <w:r w:rsidRPr="00450125">
        <w:rPr>
          <w:rFonts w:cs="Arial"/>
          <w:color w:val="333333"/>
          <w:szCs w:val="20"/>
          <w:shd w:val="clear" w:color="auto" w:fill="FFFFFF"/>
        </w:rPr>
        <w:t xml:space="preserve"> process is part of the </w:t>
      </w:r>
      <w:proofErr w:type="spellStart"/>
      <w:r w:rsidRPr="00450125">
        <w:rPr>
          <w:rFonts w:cs="Arial"/>
          <w:color w:val="333333"/>
          <w:szCs w:val="20"/>
          <w:shd w:val="clear" w:color="auto" w:fill="FFFFFF"/>
        </w:rPr>
        <w:t>PM@Siemens</w:t>
      </w:r>
      <w:proofErr w:type="spellEnd"/>
      <w:r w:rsidRPr="00450125">
        <w:rPr>
          <w:rFonts w:cs="Arial"/>
          <w:color w:val="333333"/>
          <w:szCs w:val="20"/>
          <w:shd w:val="clear" w:color="auto" w:fill="FFFFFF"/>
        </w:rPr>
        <w:t xml:space="preserve"> methodology.</w:t>
      </w:r>
      <w:r>
        <w:rPr>
          <w:rFonts w:cs="Arial"/>
          <w:color w:val="333333"/>
          <w:szCs w:val="20"/>
          <w:shd w:val="clear" w:color="auto" w:fill="FFFFFF"/>
        </w:rPr>
        <w:t xml:space="preserve"> </w:t>
      </w:r>
      <w:r w:rsidRPr="00450125">
        <w:rPr>
          <w:rFonts w:cs="Arial"/>
          <w:color w:val="333333"/>
          <w:szCs w:val="20"/>
          <w:shd w:val="clear" w:color="auto" w:fill="FFFFFF"/>
        </w:rPr>
        <w:t>It defines when and at what level management decisions are required. It improves the quality of decision-making in the bidding phase (bid/no-bid) for each individual project.</w:t>
      </w:r>
    </w:p>
    <w:p w14:paraId="74A969AC" w14:textId="45BEAC60" w:rsidR="00B66859" w:rsidRDefault="00B66859" w:rsidP="00B66859">
      <w:pPr>
        <w:rPr>
          <w:rFonts w:cs="Arial"/>
          <w:color w:val="333333"/>
          <w:szCs w:val="20"/>
          <w:shd w:val="clear" w:color="auto" w:fill="FFFFFF"/>
        </w:rPr>
      </w:pPr>
      <w:r w:rsidRPr="00450125">
        <w:rPr>
          <w:rFonts w:cs="Arial"/>
          <w:color w:val="333333"/>
          <w:szCs w:val="20"/>
          <w:shd w:val="clear" w:color="auto" w:fill="FFFFFF"/>
        </w:rPr>
        <w:t>Compliance in Project (</w:t>
      </w:r>
      <w:proofErr w:type="spellStart"/>
      <w:r w:rsidRPr="00450125">
        <w:rPr>
          <w:rFonts w:cs="Arial"/>
          <w:color w:val="333333"/>
          <w:szCs w:val="20"/>
          <w:shd w:val="clear" w:color="auto" w:fill="FFFFFF"/>
        </w:rPr>
        <w:t>CiP</w:t>
      </w:r>
      <w:proofErr w:type="spellEnd"/>
      <w:r w:rsidRPr="00450125">
        <w:rPr>
          <w:rFonts w:cs="Arial"/>
          <w:color w:val="333333"/>
          <w:szCs w:val="20"/>
          <w:shd w:val="clear" w:color="auto" w:fill="FFFFFF"/>
        </w:rPr>
        <w:t xml:space="preserve">) </w:t>
      </w:r>
      <w:r>
        <w:rPr>
          <w:rFonts w:cs="Arial"/>
          <w:color w:val="333333"/>
          <w:szCs w:val="20"/>
          <w:shd w:val="clear" w:color="auto" w:fill="FFFFFF"/>
        </w:rPr>
        <w:t xml:space="preserve">mainly </w:t>
      </w:r>
      <w:r w:rsidRPr="00450125">
        <w:rPr>
          <w:rFonts w:cs="Arial"/>
          <w:color w:val="333333"/>
          <w:szCs w:val="20"/>
          <w:shd w:val="clear" w:color="auto" w:fill="FFFFFF"/>
        </w:rPr>
        <w:t xml:space="preserve">addresses </w:t>
      </w:r>
      <w:r>
        <w:rPr>
          <w:rFonts w:cs="Arial"/>
          <w:color w:val="333333"/>
          <w:szCs w:val="20"/>
          <w:shd w:val="clear" w:color="auto" w:fill="FFFFFF"/>
        </w:rPr>
        <w:t>Limits of Authority (</w:t>
      </w:r>
      <w:r w:rsidRPr="00450125">
        <w:rPr>
          <w:rFonts w:cs="Arial"/>
          <w:color w:val="333333"/>
          <w:szCs w:val="20"/>
          <w:shd w:val="clear" w:color="auto" w:fill="FFFFFF"/>
        </w:rPr>
        <w:t>LoA</w:t>
      </w:r>
      <w:r>
        <w:rPr>
          <w:rFonts w:cs="Arial"/>
          <w:color w:val="333333"/>
          <w:szCs w:val="20"/>
          <w:shd w:val="clear" w:color="auto" w:fill="FFFFFF"/>
        </w:rPr>
        <w:t>)</w:t>
      </w:r>
      <w:r w:rsidRPr="00450125">
        <w:rPr>
          <w:rFonts w:cs="Arial"/>
          <w:color w:val="333333"/>
          <w:szCs w:val="20"/>
          <w:shd w:val="clear" w:color="auto" w:fill="FFFFFF"/>
        </w:rPr>
        <w:t xml:space="preserve"> project types</w:t>
      </w:r>
      <w:r>
        <w:rPr>
          <w:rFonts w:cs="Arial"/>
          <w:color w:val="333333"/>
          <w:szCs w:val="20"/>
          <w:shd w:val="clear" w:color="auto" w:fill="FFFFFF"/>
        </w:rPr>
        <w:t xml:space="preserve"> [</w:t>
      </w:r>
      <w:r w:rsidRPr="00762883">
        <w:rPr>
          <w:rFonts w:cs="Arial"/>
          <w:color w:val="333333"/>
          <w:szCs w:val="20"/>
          <w:shd w:val="clear" w:color="auto" w:fill="FFFFFF"/>
        </w:rPr>
        <w:t>Solution Business (LoA)</w:t>
      </w:r>
      <w:r>
        <w:rPr>
          <w:rFonts w:cs="Arial"/>
          <w:color w:val="333333"/>
          <w:szCs w:val="20"/>
          <w:shd w:val="clear" w:color="auto" w:fill="FFFFFF"/>
        </w:rPr>
        <w:t xml:space="preserve">; </w:t>
      </w:r>
      <w:r w:rsidRPr="00450125">
        <w:rPr>
          <w:rFonts w:cs="Arial"/>
          <w:color w:val="333333"/>
          <w:szCs w:val="20"/>
          <w:shd w:val="clear" w:color="auto" w:fill="FFFFFF"/>
        </w:rPr>
        <w:t>Service Business (LoA)</w:t>
      </w:r>
      <w:r>
        <w:rPr>
          <w:rFonts w:cs="Arial"/>
          <w:color w:val="333333"/>
          <w:szCs w:val="20"/>
          <w:shd w:val="clear" w:color="auto" w:fill="FFFFFF"/>
        </w:rPr>
        <w:t xml:space="preserve">] with Compliance specific risks especially regarding </w:t>
      </w:r>
      <w:hyperlink r:id="rId13" w:history="1">
        <w:r w:rsidRPr="009B334D">
          <w:rPr>
            <w:rStyle w:val="Hyperlink"/>
            <w:rFonts w:cs="Arial"/>
            <w:szCs w:val="20"/>
            <w:shd w:val="clear" w:color="auto" w:fill="FFFFFF"/>
          </w:rPr>
          <w:t>Anti-Corruption</w:t>
        </w:r>
      </w:hyperlink>
      <w:r>
        <w:rPr>
          <w:rFonts w:cs="Arial"/>
          <w:color w:val="333333"/>
          <w:szCs w:val="20"/>
          <w:shd w:val="clear" w:color="auto" w:fill="FFFFFF"/>
        </w:rPr>
        <w:t xml:space="preserve">, </w:t>
      </w:r>
      <w:hyperlink r:id="rId14" w:history="1">
        <w:r w:rsidR="008C54BE" w:rsidRPr="008C54BE">
          <w:rPr>
            <w:rStyle w:val="Hyperlink"/>
            <w:rFonts w:cs="Arial"/>
            <w:szCs w:val="20"/>
            <w:shd w:val="clear" w:color="auto" w:fill="FFFFFF"/>
          </w:rPr>
          <w:t>Anti-Money Laundering</w:t>
        </w:r>
      </w:hyperlink>
      <w:r>
        <w:rPr>
          <w:rFonts w:cs="Arial"/>
          <w:color w:val="333333"/>
          <w:szCs w:val="20"/>
          <w:shd w:val="clear" w:color="auto" w:fill="FFFFFF"/>
        </w:rPr>
        <w:t xml:space="preserve"> and </w:t>
      </w:r>
      <w:hyperlink r:id="rId15" w:history="1">
        <w:r w:rsidRPr="009B334D">
          <w:rPr>
            <w:rStyle w:val="Hyperlink"/>
            <w:rFonts w:cs="Arial"/>
            <w:szCs w:val="20"/>
            <w:shd w:val="clear" w:color="auto" w:fill="FFFFFF"/>
          </w:rPr>
          <w:t>Human Rights</w:t>
        </w:r>
      </w:hyperlink>
    </w:p>
    <w:p w14:paraId="0054B0F4" w14:textId="25CF0991" w:rsidR="008C1322" w:rsidRDefault="008C1322" w:rsidP="00B66859">
      <w:pPr>
        <w:rPr>
          <w:rFonts w:cs="Arial"/>
        </w:rPr>
      </w:pPr>
      <w:r>
        <w:rPr>
          <w:rFonts w:cs="Arial"/>
        </w:rPr>
        <w:t>Th</w:t>
      </w:r>
      <w:r w:rsidR="008D6055">
        <w:rPr>
          <w:rFonts w:cs="Arial"/>
        </w:rPr>
        <w:t>e Compliance in Projects (</w:t>
      </w:r>
      <w:proofErr w:type="spellStart"/>
      <w:r w:rsidR="008D6055">
        <w:rPr>
          <w:rFonts w:cs="Arial"/>
        </w:rPr>
        <w:t>CiP</w:t>
      </w:r>
      <w:proofErr w:type="spellEnd"/>
      <w:r w:rsidR="008D6055">
        <w:rPr>
          <w:rFonts w:cs="Arial"/>
        </w:rPr>
        <w:t>)</w:t>
      </w:r>
      <w:r>
        <w:rPr>
          <w:rFonts w:cs="Arial"/>
        </w:rPr>
        <w:t xml:space="preserve"> </w:t>
      </w:r>
      <w:r w:rsidR="00563BF9">
        <w:rPr>
          <w:rFonts w:cs="Arial"/>
        </w:rPr>
        <w:t xml:space="preserve">handbook chapter </w:t>
      </w:r>
      <w:r>
        <w:rPr>
          <w:rFonts w:cs="Arial"/>
        </w:rPr>
        <w:t>aims to ensure appropriate identification of risks during the pre-sales, sales and execution phase and adequate mitigation of these risks.</w:t>
      </w:r>
    </w:p>
    <w:tbl>
      <w:tblPr>
        <w:tblStyle w:val="Tabellenraster"/>
        <w:tblW w:w="0" w:type="auto"/>
        <w:tblInd w:w="360" w:type="dxa"/>
        <w:tblLook w:val="04A0" w:firstRow="1" w:lastRow="0" w:firstColumn="1" w:lastColumn="0" w:noHBand="0" w:noVBand="1"/>
      </w:tblPr>
      <w:tblGrid>
        <w:gridCol w:w="9725"/>
      </w:tblGrid>
      <w:tr w:rsidR="00593165" w14:paraId="48A2F48E" w14:textId="77777777">
        <w:tc>
          <w:tcPr>
            <w:tcW w:w="10225" w:type="dxa"/>
          </w:tcPr>
          <w:p w14:paraId="48A2F488" w14:textId="77777777" w:rsidR="00593165" w:rsidRDefault="003175AA">
            <w:pPr>
              <w:pStyle w:val="HighlightboxGreyBulletpoints"/>
              <w:numPr>
                <w:ilvl w:val="0"/>
                <w:numId w:val="0"/>
              </w:numPr>
              <w:ind w:left="360" w:hanging="360"/>
              <w:rPr>
                <w:lang w:val="la-Latn"/>
              </w:rPr>
            </w:pPr>
            <w:bookmarkStart w:id="1" w:name="_Hlk4995543"/>
            <w:bookmarkStart w:id="2" w:name="_Ref464052864"/>
            <w:bookmarkEnd w:id="0"/>
            <w:r>
              <w:t>General principles:</w:t>
            </w:r>
          </w:p>
          <w:p w14:paraId="52CB5328" w14:textId="543397AA" w:rsidR="008C1322" w:rsidRDefault="003175AA">
            <w:pPr>
              <w:pStyle w:val="HighlightboxGreyBulletpoints"/>
              <w:rPr>
                <w:rFonts w:cstheme="minorHAnsi"/>
                <w:b w:val="0"/>
              </w:rPr>
            </w:pPr>
            <w:r>
              <w:rPr>
                <w:rFonts w:cstheme="minorHAnsi"/>
              </w:rPr>
              <w:t>Projects</w:t>
            </w:r>
            <w:r>
              <w:rPr>
                <w:rFonts w:cstheme="minorHAnsi"/>
                <w:b w:val="0"/>
              </w:rPr>
              <w:t xml:space="preserve"> must comply with the Siemens-internal regulations as well as the applicable local laws during</w:t>
            </w:r>
            <w:r w:rsidR="008C1322">
              <w:rPr>
                <w:rFonts w:cstheme="minorHAnsi"/>
                <w:b w:val="0"/>
              </w:rPr>
              <w:t xml:space="preserve"> the:</w:t>
            </w:r>
            <w:r>
              <w:rPr>
                <w:rFonts w:cstheme="minorHAnsi"/>
                <w:b w:val="0"/>
              </w:rPr>
              <w:t xml:space="preserve"> </w:t>
            </w:r>
          </w:p>
          <w:p w14:paraId="4B6CA8F6" w14:textId="1C300BEB" w:rsidR="008C1322" w:rsidRPr="0010492D" w:rsidRDefault="008C1322" w:rsidP="008C1322">
            <w:pPr>
              <w:pStyle w:val="HighlightboxGreyBulletpoints"/>
              <w:ind w:left="774"/>
              <w:rPr>
                <w:rFonts w:cstheme="minorHAnsi"/>
              </w:rPr>
            </w:pPr>
            <w:r w:rsidRPr="0010492D">
              <w:rPr>
                <w:rFonts w:eastAsia="Calibri" w:cs="Arial"/>
              </w:rPr>
              <w:t>P</w:t>
            </w:r>
            <w:r w:rsidR="003175AA" w:rsidRPr="0010492D">
              <w:rPr>
                <w:rFonts w:eastAsia="Calibri" w:cs="Arial"/>
              </w:rPr>
              <w:t>re-sales</w:t>
            </w:r>
            <w:r w:rsidRPr="0010492D">
              <w:rPr>
                <w:rFonts w:eastAsia="Calibri" w:cs="Arial"/>
              </w:rPr>
              <w:t xml:space="preserve"> phase</w:t>
            </w:r>
            <w:r w:rsidR="003175AA" w:rsidRPr="0010492D">
              <w:rPr>
                <w:rFonts w:eastAsia="Calibri" w:cs="Arial"/>
              </w:rPr>
              <w:t xml:space="preserve"> </w:t>
            </w:r>
          </w:p>
          <w:p w14:paraId="7CD8D95F" w14:textId="2ABE6AE0" w:rsidR="008C1322" w:rsidRPr="0010492D" w:rsidRDefault="0010492D" w:rsidP="0010492D">
            <w:pPr>
              <w:pStyle w:val="Listenabsatz"/>
              <w:numPr>
                <w:ilvl w:val="1"/>
                <w:numId w:val="3"/>
              </w:numPr>
              <w:rPr>
                <w:rFonts w:cstheme="minorHAnsi"/>
                <w:szCs w:val="20"/>
              </w:rPr>
            </w:pPr>
            <w:r w:rsidRPr="0010492D">
              <w:rPr>
                <w:rFonts w:cstheme="minorHAnsi"/>
                <w:szCs w:val="20"/>
              </w:rPr>
              <w:t>For an early identification and mitigation of Compliance risks in the pre-sales phase, it is recommended to establish a regular dialogue between sales personnel and the C</w:t>
            </w:r>
            <w:r>
              <w:rPr>
                <w:rFonts w:cstheme="minorHAnsi"/>
                <w:szCs w:val="20"/>
              </w:rPr>
              <w:t xml:space="preserve">ompliance Officer </w:t>
            </w:r>
            <w:r w:rsidR="00C250A6">
              <w:rPr>
                <w:rFonts w:cstheme="minorHAnsi"/>
                <w:szCs w:val="20"/>
              </w:rPr>
              <w:t xml:space="preserve">(CO) </w:t>
            </w:r>
            <w:r w:rsidRPr="0010492D">
              <w:rPr>
                <w:rFonts w:cstheme="minorHAnsi"/>
                <w:szCs w:val="20"/>
              </w:rPr>
              <w:t>where potential Compliance risks are assessed and mitigated as early in the process as possible (pre-sales risk assessment)</w:t>
            </w:r>
          </w:p>
          <w:p w14:paraId="28FBDF85" w14:textId="51227C40" w:rsidR="008C1322" w:rsidRPr="0010492D" w:rsidRDefault="008C1322" w:rsidP="008C1322">
            <w:pPr>
              <w:pStyle w:val="HighlightboxGreyBulletpoints"/>
              <w:ind w:left="774"/>
              <w:rPr>
                <w:rFonts w:cstheme="minorHAnsi"/>
              </w:rPr>
            </w:pPr>
            <w:r w:rsidRPr="0010492D">
              <w:rPr>
                <w:rFonts w:eastAsia="Calibri" w:cs="Arial"/>
              </w:rPr>
              <w:t>S</w:t>
            </w:r>
            <w:r w:rsidR="003175AA" w:rsidRPr="0010492D">
              <w:rPr>
                <w:rFonts w:eastAsia="Calibri" w:cs="Arial"/>
              </w:rPr>
              <w:t>ales</w:t>
            </w:r>
            <w:r w:rsidRPr="0010492D">
              <w:rPr>
                <w:rFonts w:eastAsia="Calibri" w:cs="Arial"/>
              </w:rPr>
              <w:t xml:space="preserve"> phase</w:t>
            </w:r>
          </w:p>
          <w:p w14:paraId="33057466" w14:textId="346A9F28" w:rsidR="008C1322" w:rsidRPr="0010492D" w:rsidRDefault="0010492D" w:rsidP="0010492D">
            <w:pPr>
              <w:pStyle w:val="Listenabsatz"/>
              <w:numPr>
                <w:ilvl w:val="1"/>
                <w:numId w:val="3"/>
              </w:numPr>
              <w:rPr>
                <w:rFonts w:cstheme="minorHAnsi"/>
                <w:szCs w:val="20"/>
              </w:rPr>
            </w:pPr>
            <w:r w:rsidRPr="0010492D">
              <w:rPr>
                <w:rFonts w:cstheme="minorHAnsi"/>
                <w:szCs w:val="20"/>
              </w:rPr>
              <w:t xml:space="preserve">A LoA Compliance Risk </w:t>
            </w:r>
            <w:r w:rsidR="00EC5155">
              <w:rPr>
                <w:rFonts w:cstheme="minorHAnsi"/>
                <w:szCs w:val="20"/>
              </w:rPr>
              <w:t>Evaluation</w:t>
            </w:r>
            <w:r w:rsidRPr="0010492D">
              <w:rPr>
                <w:rFonts w:cstheme="minorHAnsi"/>
                <w:szCs w:val="20"/>
              </w:rPr>
              <w:t xml:space="preserve"> (LoA CRE) is the core element of Compliance in the sales phase. </w:t>
            </w:r>
            <w:r w:rsidR="00EC5155">
              <w:rPr>
                <w:rFonts w:cstheme="minorHAnsi"/>
                <w:szCs w:val="20"/>
              </w:rPr>
              <w:t>A</w:t>
            </w:r>
            <w:r w:rsidRPr="0010492D">
              <w:rPr>
                <w:rFonts w:cstheme="minorHAnsi"/>
                <w:szCs w:val="20"/>
              </w:rPr>
              <w:t xml:space="preserve"> LoA CRE is part of the </w:t>
            </w:r>
            <w:hyperlink r:id="rId16" w:history="1">
              <w:proofErr w:type="spellStart"/>
              <w:r w:rsidRPr="00806C9C">
                <w:rPr>
                  <w:rStyle w:val="Hyperlink"/>
                  <w:rFonts w:cstheme="minorHAnsi"/>
                  <w:szCs w:val="20"/>
                </w:rPr>
                <w:t>PM@Siemens</w:t>
              </w:r>
              <w:proofErr w:type="spellEnd"/>
              <w:r w:rsidRPr="00806C9C">
                <w:rPr>
                  <w:rStyle w:val="Hyperlink"/>
                  <w:rFonts w:cstheme="minorHAnsi"/>
                  <w:szCs w:val="20"/>
                </w:rPr>
                <w:t xml:space="preserve"> </w:t>
              </w:r>
              <w:proofErr w:type="spellStart"/>
              <w:r w:rsidRPr="00806C9C">
                <w:rPr>
                  <w:rStyle w:val="Hyperlink"/>
                  <w:rFonts w:cstheme="minorHAnsi"/>
                  <w:szCs w:val="20"/>
                </w:rPr>
                <w:t>LoA</w:t>
              </w:r>
              <w:proofErr w:type="spellEnd"/>
              <w:r w:rsidRPr="00806C9C">
                <w:rPr>
                  <w:rStyle w:val="Hyperlink"/>
                  <w:rFonts w:cstheme="minorHAnsi"/>
                  <w:szCs w:val="20"/>
                </w:rPr>
                <w:t xml:space="preserve"> Tool</w:t>
              </w:r>
            </w:hyperlink>
            <w:r w:rsidRPr="0010492D">
              <w:rPr>
                <w:rFonts w:cstheme="minorHAnsi"/>
                <w:szCs w:val="20"/>
              </w:rPr>
              <w:t xml:space="preserve"> which supports the identification of Compliance risks.</w:t>
            </w:r>
          </w:p>
          <w:p w14:paraId="48A2F489" w14:textId="52A4F88B" w:rsidR="00593165" w:rsidRPr="0010492D" w:rsidRDefault="008C1322" w:rsidP="008C1322">
            <w:pPr>
              <w:pStyle w:val="HighlightboxGreyBulletpoints"/>
              <w:ind w:left="774"/>
              <w:rPr>
                <w:rFonts w:cstheme="minorHAnsi"/>
              </w:rPr>
            </w:pPr>
            <w:r w:rsidRPr="0010492D">
              <w:rPr>
                <w:rFonts w:eastAsia="Calibri" w:cs="Arial"/>
              </w:rPr>
              <w:t>E</w:t>
            </w:r>
            <w:r w:rsidR="003175AA" w:rsidRPr="0010492D">
              <w:rPr>
                <w:rFonts w:eastAsia="Calibri" w:cs="Arial"/>
              </w:rPr>
              <w:t>xecution phase</w:t>
            </w:r>
          </w:p>
          <w:p w14:paraId="1DDFC00B" w14:textId="71152732" w:rsidR="008C1322" w:rsidRPr="0010492D" w:rsidRDefault="0010492D" w:rsidP="0010492D">
            <w:pPr>
              <w:pStyle w:val="Listenabsatz"/>
              <w:numPr>
                <w:ilvl w:val="1"/>
                <w:numId w:val="3"/>
              </w:numPr>
              <w:rPr>
                <w:rFonts w:cstheme="minorHAnsi"/>
                <w:szCs w:val="20"/>
              </w:rPr>
            </w:pPr>
            <w:r w:rsidRPr="0010492D">
              <w:rPr>
                <w:rFonts w:cstheme="minorHAnsi"/>
                <w:szCs w:val="20"/>
              </w:rPr>
              <w:t xml:space="preserve">The identification of Compliance risks and mitigation during the project execution phase lies within the overall responsibility of the </w:t>
            </w:r>
            <w:r w:rsidR="00C250A6">
              <w:rPr>
                <w:rFonts w:cstheme="minorHAnsi"/>
                <w:szCs w:val="20"/>
              </w:rPr>
              <w:t>Project Manager of the execution phase (</w:t>
            </w:r>
            <w:r w:rsidRPr="0010492D">
              <w:rPr>
                <w:rFonts w:cstheme="minorHAnsi"/>
                <w:szCs w:val="20"/>
              </w:rPr>
              <w:t>PM execution</w:t>
            </w:r>
            <w:r w:rsidR="00C250A6">
              <w:rPr>
                <w:rFonts w:cstheme="minorHAnsi"/>
                <w:szCs w:val="20"/>
              </w:rPr>
              <w:t>)</w:t>
            </w:r>
            <w:r w:rsidRPr="0010492D">
              <w:rPr>
                <w:rFonts w:cstheme="minorHAnsi"/>
                <w:szCs w:val="20"/>
              </w:rPr>
              <w:t xml:space="preserve"> with support from the responsible C</w:t>
            </w:r>
            <w:r w:rsidR="00C250A6">
              <w:rPr>
                <w:rFonts w:cstheme="minorHAnsi"/>
                <w:szCs w:val="20"/>
              </w:rPr>
              <w:t>ompliance Officer</w:t>
            </w:r>
            <w:r w:rsidRPr="0010492D">
              <w:rPr>
                <w:rFonts w:cstheme="minorHAnsi"/>
                <w:szCs w:val="20"/>
              </w:rPr>
              <w:t>.</w:t>
            </w:r>
          </w:p>
          <w:p w14:paraId="48A2F48A" w14:textId="768D69C1" w:rsidR="00593165" w:rsidRDefault="003175AA">
            <w:pPr>
              <w:pStyle w:val="HighlightboxGreyBulletpoints"/>
              <w:rPr>
                <w:rFonts w:cstheme="minorHAnsi"/>
                <w:b w:val="0"/>
              </w:rPr>
            </w:pPr>
            <w:r>
              <w:rPr>
                <w:rFonts w:cstheme="minorHAnsi"/>
                <w:b w:val="0"/>
              </w:rPr>
              <w:lastRenderedPageBreak/>
              <w:t xml:space="preserve">The </w:t>
            </w:r>
            <w:r>
              <w:rPr>
                <w:rFonts w:cstheme="minorHAnsi"/>
              </w:rPr>
              <w:t>Siemens Project Manager</w:t>
            </w:r>
            <w:r>
              <w:rPr>
                <w:rStyle w:val="Funotenzeichen"/>
                <w:rFonts w:cstheme="minorHAnsi"/>
              </w:rPr>
              <w:footnoteReference w:id="1"/>
            </w:r>
            <w:r>
              <w:rPr>
                <w:rFonts w:cstheme="minorHAnsi"/>
                <w:b w:val="0"/>
              </w:rPr>
              <w:t xml:space="preserve"> is overall responsible ensuring appropriate identification and mitigation of Compliance risks throughout the entire project lifecycle</w:t>
            </w:r>
            <w:r w:rsidR="00D768DD">
              <w:rPr>
                <w:rFonts w:cstheme="minorHAnsi"/>
                <w:b w:val="0"/>
              </w:rPr>
              <w:t>.</w:t>
            </w:r>
            <w:r>
              <w:rPr>
                <w:rFonts w:cstheme="minorHAnsi"/>
                <w:b w:val="0"/>
              </w:rPr>
              <w:t xml:space="preserve"> </w:t>
            </w:r>
          </w:p>
          <w:p w14:paraId="48A2F48B" w14:textId="70A9C68A" w:rsidR="00593165" w:rsidRDefault="003175AA">
            <w:pPr>
              <w:pStyle w:val="HighlightboxGreyBulletpoints"/>
              <w:rPr>
                <w:rFonts w:cstheme="minorHAnsi"/>
                <w:b w:val="0"/>
              </w:rPr>
            </w:pPr>
            <w:r>
              <w:rPr>
                <w:rFonts w:cstheme="minorHAnsi"/>
                <w:b w:val="0"/>
              </w:rPr>
              <w:t xml:space="preserve">The responsible </w:t>
            </w:r>
            <w:r>
              <w:rPr>
                <w:rFonts w:cstheme="minorHAnsi"/>
              </w:rPr>
              <w:t>Compliance Officer</w:t>
            </w:r>
            <w:r>
              <w:rPr>
                <w:rFonts w:cstheme="minorHAnsi"/>
                <w:b w:val="0"/>
              </w:rPr>
              <w:t xml:space="preserve"> will support the Project Manager whenever needed</w:t>
            </w:r>
            <w:r>
              <w:rPr>
                <w:rFonts w:eastAsia="Calibri" w:cs="Arial"/>
                <w:vertAlign w:val="superscript"/>
              </w:rPr>
              <w:footnoteReference w:id="2"/>
            </w:r>
            <w:r>
              <w:rPr>
                <w:rFonts w:eastAsia="Calibri" w:cs="Arial"/>
              </w:rPr>
              <w:t>.</w:t>
            </w:r>
            <w:r>
              <w:rPr>
                <w:rFonts w:cstheme="minorHAnsi"/>
                <w:b w:val="0"/>
              </w:rPr>
              <w:t xml:space="preserve"> He has to be involved according to </w:t>
            </w:r>
            <w:hyperlink r:id="rId17" w:history="1">
              <w:r w:rsidRPr="008D6055">
                <w:rPr>
                  <w:rStyle w:val="Hyperlink"/>
                  <w:rFonts w:cstheme="minorHAnsi"/>
                  <w:b w:val="0"/>
                </w:rPr>
                <w:t>PM Guide</w:t>
              </w:r>
            </w:hyperlink>
            <w:r>
              <w:rPr>
                <w:rStyle w:val="Funotenzeichen"/>
              </w:rPr>
              <w:footnoteReference w:id="3"/>
            </w:r>
          </w:p>
          <w:p w14:paraId="48A2F48C" w14:textId="77777777" w:rsidR="00593165" w:rsidRDefault="003175AA">
            <w:pPr>
              <w:pStyle w:val="HighlightboxGreyBulletpoints"/>
              <w:rPr>
                <w:rFonts w:cstheme="minorHAnsi"/>
                <w:b w:val="0"/>
              </w:rPr>
            </w:pPr>
            <w:r>
              <w:rPr>
                <w:rFonts w:eastAsia="Calibri" w:cs="Arial"/>
                <w:b w:val="0"/>
              </w:rPr>
              <w:t>Any Compliance concern arising throughout the project lifecycle must be communicated immediately to the responsible sales or project manager</w:t>
            </w:r>
            <w:r>
              <w:rPr>
                <w:rFonts w:eastAsia="Calibri" w:cs="Arial"/>
                <w:b w:val="0"/>
                <w:vertAlign w:val="superscript"/>
              </w:rPr>
              <w:footnoteReference w:id="4"/>
            </w:r>
            <w:r>
              <w:rPr>
                <w:rFonts w:eastAsia="Calibri" w:cs="Arial"/>
                <w:b w:val="0"/>
              </w:rPr>
              <w:t xml:space="preserve"> and the Compliance Officer (CO)</w:t>
            </w:r>
            <w:r>
              <w:rPr>
                <w:rFonts w:eastAsia="Calibri" w:cs="Arial"/>
                <w:b w:val="0"/>
                <w:vertAlign w:val="superscript"/>
              </w:rPr>
              <w:footnoteReference w:id="5"/>
            </w:r>
            <w:r>
              <w:rPr>
                <w:rFonts w:eastAsia="Calibri" w:cs="Arial"/>
                <w:b w:val="0"/>
              </w:rPr>
              <w:t xml:space="preserve">. </w:t>
            </w:r>
          </w:p>
          <w:p w14:paraId="48A2F48D" w14:textId="77777777" w:rsidR="00593165" w:rsidRDefault="003175AA">
            <w:pPr>
              <w:pStyle w:val="HighlightboxGreyBulletpoints"/>
              <w:rPr>
                <w:rFonts w:cstheme="minorHAnsi"/>
                <w:b w:val="0"/>
              </w:rPr>
            </w:pPr>
            <w:r>
              <w:rPr>
                <w:rFonts w:eastAsia="Calibri" w:cs="Arial"/>
                <w:b w:val="0"/>
              </w:rPr>
              <w:t>Export control related risks are covered by the existing export control processes.</w:t>
            </w:r>
          </w:p>
        </w:tc>
      </w:tr>
    </w:tbl>
    <w:bookmarkEnd w:id="1"/>
    <w:p w14:paraId="48A2F490" w14:textId="2E87CFCD" w:rsidR="00593165" w:rsidRDefault="003175AA">
      <w:pPr>
        <w:rPr>
          <w:rFonts w:cs="Arial"/>
        </w:rPr>
      </w:pPr>
      <w:r>
        <w:rPr>
          <w:rFonts w:eastAsia="Calibri" w:cs="Arial"/>
          <w:szCs w:val="20"/>
        </w:rPr>
        <w:lastRenderedPageBreak/>
        <w:t xml:space="preserve"> </w:t>
      </w:r>
    </w:p>
    <w:p w14:paraId="79624DB3" w14:textId="266A15F3" w:rsidR="00A27C76" w:rsidRDefault="008C54BE">
      <w:pPr>
        <w:pStyle w:val="KeinAbsatzformat"/>
        <w:rPr>
          <w:lang w:val="en-US"/>
        </w:rPr>
      </w:pPr>
      <w:r>
        <w:rPr>
          <w:noProof/>
        </w:rPr>
        <w:drawing>
          <wp:inline distT="0" distB="0" distL="0" distR="0" wp14:anchorId="4ED8C98B" wp14:editId="1F37DF8A">
            <wp:extent cx="6403975" cy="45878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3975" cy="4587875"/>
                    </a:xfrm>
                    <a:prstGeom prst="rect">
                      <a:avLst/>
                    </a:prstGeom>
                  </pic:spPr>
                </pic:pic>
              </a:graphicData>
            </a:graphic>
          </wp:inline>
        </w:drawing>
      </w:r>
    </w:p>
    <w:bookmarkEnd w:id="2"/>
    <w:p w14:paraId="48A2F493" w14:textId="77777777" w:rsidR="00593165" w:rsidRDefault="003175AA">
      <w:pPr>
        <w:pStyle w:val="berschrift2"/>
        <w:numPr>
          <w:ilvl w:val="1"/>
          <w:numId w:val="27"/>
        </w:numPr>
      </w:pPr>
      <w:r>
        <w:lastRenderedPageBreak/>
        <w:t>Compliance in pre-sales</w:t>
      </w:r>
    </w:p>
    <w:p w14:paraId="48A2F494" w14:textId="77777777" w:rsidR="00593165" w:rsidRDefault="003175AA">
      <w:pPr>
        <w:rPr>
          <w:rFonts w:cs="Arial"/>
        </w:rPr>
      </w:pPr>
      <w:r>
        <w:rPr>
          <w:rFonts w:cs="Arial"/>
        </w:rPr>
        <w:t>Already while developing a business opportunity (pre-sales), it is possible that un-identified or un-mitigated Compliance risks may lead to violations of applicable law.</w:t>
      </w:r>
    </w:p>
    <w:p w14:paraId="48A2F495" w14:textId="77777777" w:rsidR="00593165" w:rsidRDefault="003175AA">
      <w:pPr>
        <w:rPr>
          <w:rFonts w:cs="Arial"/>
        </w:rPr>
      </w:pPr>
      <w:r>
        <w:rPr>
          <w:rFonts w:cs="Arial"/>
        </w:rPr>
        <w:t xml:space="preserve">Potential violations may also occur prior to entering the Limits of Authority (LoA) process. </w:t>
      </w:r>
    </w:p>
    <w:tbl>
      <w:tblPr>
        <w:tblStyle w:val="Tabellenraster"/>
        <w:tblW w:w="0" w:type="auto"/>
        <w:tblInd w:w="360" w:type="dxa"/>
        <w:tblLook w:val="04A0" w:firstRow="1" w:lastRow="0" w:firstColumn="1" w:lastColumn="0" w:noHBand="0" w:noVBand="1"/>
      </w:tblPr>
      <w:tblGrid>
        <w:gridCol w:w="9725"/>
      </w:tblGrid>
      <w:tr w:rsidR="00593165" w14:paraId="48A2F49B" w14:textId="77777777">
        <w:tc>
          <w:tcPr>
            <w:tcW w:w="10225" w:type="dxa"/>
          </w:tcPr>
          <w:p w14:paraId="48A2F496" w14:textId="77777777" w:rsidR="00593165" w:rsidRDefault="003175AA">
            <w:pPr>
              <w:pStyle w:val="HighlightboxGreyBulletpoints"/>
              <w:numPr>
                <w:ilvl w:val="0"/>
                <w:numId w:val="0"/>
              </w:numPr>
              <w:ind w:left="360" w:hanging="360"/>
              <w:rPr>
                <w:lang w:val="la-Latn"/>
              </w:rPr>
            </w:pPr>
            <w:bookmarkStart w:id="4" w:name="_Hlk4996006"/>
            <w:r>
              <w:t>General principles:</w:t>
            </w:r>
          </w:p>
          <w:p w14:paraId="48A2F497" w14:textId="77777777" w:rsidR="00593165" w:rsidRDefault="003175AA">
            <w:pPr>
              <w:pStyle w:val="HighlightboxGreyBulletpoints"/>
              <w:rPr>
                <w:rFonts w:cstheme="minorHAnsi"/>
                <w:b w:val="0"/>
              </w:rPr>
            </w:pPr>
            <w:r>
              <w:rPr>
                <w:rFonts w:cstheme="minorHAnsi"/>
                <w:b w:val="0"/>
              </w:rPr>
              <w:t xml:space="preserve">For an early identification and mitigation of Compliance risks in the pre-sales phase, it is recommended to establish a </w:t>
            </w:r>
            <w:r>
              <w:rPr>
                <w:rFonts w:cstheme="minorHAnsi"/>
              </w:rPr>
              <w:t>regular dialogue</w:t>
            </w:r>
            <w:r>
              <w:rPr>
                <w:rFonts w:cstheme="minorHAnsi"/>
                <w:b w:val="0"/>
              </w:rPr>
              <w:t xml:space="preserve"> between sales personnel and the CO where potential Compliance risks are assessed and mitigated as early in the process as possible </w:t>
            </w:r>
            <w:r>
              <w:rPr>
                <w:rFonts w:cstheme="minorHAnsi"/>
              </w:rPr>
              <w:t>(pre-sales risk assessment)</w:t>
            </w:r>
          </w:p>
          <w:p w14:paraId="48A2F498" w14:textId="02B228E5" w:rsidR="00593165" w:rsidRDefault="003175AA">
            <w:pPr>
              <w:pStyle w:val="HighlightboxGreyBulletpoints"/>
              <w:rPr>
                <w:rFonts w:cstheme="minorHAnsi"/>
                <w:b w:val="0"/>
              </w:rPr>
            </w:pPr>
            <w:r>
              <w:rPr>
                <w:rFonts w:cstheme="minorHAnsi"/>
                <w:b w:val="0"/>
              </w:rPr>
              <w:t>This concept can be adapted in a risk</w:t>
            </w:r>
            <w:r w:rsidR="007C1E7F">
              <w:rPr>
                <w:rFonts w:cstheme="minorHAnsi"/>
                <w:b w:val="0"/>
              </w:rPr>
              <w:t>-</w:t>
            </w:r>
            <w:r>
              <w:rPr>
                <w:rFonts w:cstheme="minorHAnsi"/>
                <w:b w:val="0"/>
              </w:rPr>
              <w:t xml:space="preserve">oriented manner by </w:t>
            </w:r>
            <w:r w:rsidR="00F4072B">
              <w:rPr>
                <w:rFonts w:cstheme="minorHAnsi"/>
                <w:b w:val="0"/>
              </w:rPr>
              <w:t>the Businesses/Countries</w:t>
            </w:r>
            <w:r>
              <w:rPr>
                <w:rFonts w:cstheme="minorHAnsi"/>
                <w:b w:val="0"/>
              </w:rPr>
              <w:t>.</w:t>
            </w:r>
          </w:p>
          <w:p w14:paraId="48A2F499" w14:textId="77777777" w:rsidR="00593165" w:rsidRDefault="003175AA">
            <w:pPr>
              <w:pStyle w:val="HighlightboxGreyBulletpoints"/>
              <w:rPr>
                <w:rFonts w:cstheme="minorHAnsi"/>
                <w:b w:val="0"/>
              </w:rPr>
            </w:pPr>
            <w:r>
              <w:rPr>
                <w:rFonts w:cs="Arial"/>
                <w:b w:val="0"/>
              </w:rPr>
              <w:t xml:space="preserve">It is very important that a risk which may occur in pre-sales is identified, and appropriately mitigated. </w:t>
            </w:r>
          </w:p>
          <w:p w14:paraId="48A2F49A" w14:textId="77777777" w:rsidR="00593165" w:rsidRDefault="003175AA">
            <w:pPr>
              <w:pStyle w:val="HighlightboxGreyBulletpoints"/>
              <w:rPr>
                <w:rFonts w:cstheme="minorHAnsi"/>
                <w:b w:val="0"/>
              </w:rPr>
            </w:pPr>
            <w:r>
              <w:rPr>
                <w:rFonts w:cs="Arial"/>
                <w:b w:val="0"/>
              </w:rPr>
              <w:t xml:space="preserve">Further guidance on risk identification in the pre-sales phase is available </w:t>
            </w:r>
            <w:hyperlink r:id="rId19" w:history="1">
              <w:r>
                <w:rPr>
                  <w:rStyle w:val="Hyperlink"/>
                  <w:rFonts w:cs="Arial"/>
                  <w:b w:val="0"/>
                </w:rPr>
                <w:t>here</w:t>
              </w:r>
            </w:hyperlink>
            <w:r>
              <w:rPr>
                <w:rFonts w:cs="Arial"/>
                <w:b w:val="0"/>
                <w:color w:val="000000" w:themeColor="text1"/>
              </w:rPr>
              <w:t>.</w:t>
            </w:r>
            <w:r>
              <w:rPr>
                <w:rFonts w:cs="Arial"/>
                <w:color w:val="000000" w:themeColor="text1"/>
              </w:rPr>
              <w:t xml:space="preserve"> </w:t>
            </w:r>
          </w:p>
        </w:tc>
      </w:tr>
      <w:bookmarkEnd w:id="4"/>
    </w:tbl>
    <w:p w14:paraId="3F99188B" w14:textId="77777777" w:rsidR="00101095" w:rsidRDefault="00101095">
      <w:pPr>
        <w:rPr>
          <w:rFonts w:eastAsia="Calibri" w:cs="Arial"/>
          <w:szCs w:val="20"/>
        </w:rPr>
      </w:pPr>
    </w:p>
    <w:p w14:paraId="48A2F49D" w14:textId="358B6471" w:rsidR="00593165" w:rsidRDefault="003175AA">
      <w:pPr>
        <w:rPr>
          <w:rFonts w:cs="Arial"/>
        </w:rPr>
      </w:pPr>
      <w:r>
        <w:rPr>
          <w:rFonts w:cs="Arial"/>
        </w:rPr>
        <w:t xml:space="preserve">A </w:t>
      </w:r>
      <w:r>
        <w:rPr>
          <w:rFonts w:cs="Arial"/>
          <w:b/>
        </w:rPr>
        <w:t>pre-sales risk assessment</w:t>
      </w:r>
      <w:r>
        <w:rPr>
          <w:rFonts w:cs="Arial"/>
        </w:rPr>
        <w:t xml:space="preserve"> for business opportunities with an expected bid-volume exceeding €</w:t>
      </w:r>
      <w:r w:rsidR="004F5104">
        <w:rPr>
          <w:rFonts w:cs="Arial"/>
        </w:rPr>
        <w:t>2</w:t>
      </w:r>
      <w:r>
        <w:rPr>
          <w:rFonts w:cs="Arial"/>
        </w:rPr>
        <w:t>,</w:t>
      </w:r>
      <w:r w:rsidR="004F5104">
        <w:rPr>
          <w:rFonts w:cs="Arial"/>
        </w:rPr>
        <w:t>5</w:t>
      </w:r>
      <w:r>
        <w:rPr>
          <w:rFonts w:cs="Arial"/>
        </w:rPr>
        <w:t>00,000 should focus on the following (examples but not limited to), if these risk areas exist</w:t>
      </w:r>
    </w:p>
    <w:p w14:paraId="48A2F49E"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Legally binding commitments without a step-out clause</w:t>
      </w:r>
    </w:p>
    <w:p w14:paraId="48A2F49F"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Involvement of 3rd parties to influence a project</w:t>
      </w:r>
    </w:p>
    <w:p w14:paraId="48A2F4A0"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Projects that raise the potential for a competition or antitrust risk situation (e.g. consortium with a competitor or a parallel bid by Siemens)</w:t>
      </w:r>
    </w:p>
    <w:p w14:paraId="48A2F4A1"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Risks associated to consortiums</w:t>
      </w:r>
    </w:p>
    <w:p w14:paraId="48A2F4A3" w14:textId="1657FF5B" w:rsidR="00593165" w:rsidRDefault="003175AA" w:rsidP="00CB73C1">
      <w:pPr>
        <w:pStyle w:val="Listenabsatz"/>
        <w:numPr>
          <w:ilvl w:val="0"/>
          <w:numId w:val="16"/>
        </w:numPr>
        <w:spacing w:after="0" w:line="240" w:lineRule="auto"/>
        <w:ind w:left="714" w:hanging="357"/>
        <w:contextualSpacing w:val="0"/>
        <w:rPr>
          <w:rFonts w:cs="Arial"/>
        </w:rPr>
      </w:pPr>
      <w:r>
        <w:rPr>
          <w:rFonts w:cs="Arial"/>
        </w:rPr>
        <w:t xml:space="preserve">Projects with </w:t>
      </w:r>
      <w:hyperlink r:id="rId20" w:history="1">
        <w:r w:rsidR="00CB73C1" w:rsidRPr="008C54BE">
          <w:rPr>
            <w:rStyle w:val="Hyperlink"/>
            <w:rFonts w:cs="Arial"/>
          </w:rPr>
          <w:t xml:space="preserve">AML Red Flags </w:t>
        </w:r>
        <w:r w:rsidR="008C54BE" w:rsidRPr="008C54BE">
          <w:rPr>
            <w:rStyle w:val="Hyperlink"/>
            <w:rFonts w:cs="Arial"/>
          </w:rPr>
          <w:t xml:space="preserve">(chapter </w:t>
        </w:r>
        <w:r w:rsidR="00CB73C1" w:rsidRPr="008C54BE">
          <w:rPr>
            <w:rStyle w:val="Hyperlink"/>
            <w:rFonts w:cs="Arial"/>
          </w:rPr>
          <w:t>C 1</w:t>
        </w:r>
        <w:r w:rsidR="008C54BE" w:rsidRPr="008C54BE">
          <w:rPr>
            <w:rStyle w:val="Hyperlink"/>
            <w:rFonts w:cs="Arial"/>
          </w:rPr>
          <w:t>)</w:t>
        </w:r>
      </w:hyperlink>
    </w:p>
    <w:p w14:paraId="48EC0AFE" w14:textId="134AD909" w:rsidR="00E134AC" w:rsidRDefault="00E134AC" w:rsidP="00CB73C1">
      <w:pPr>
        <w:pStyle w:val="Listenabsatz"/>
        <w:numPr>
          <w:ilvl w:val="0"/>
          <w:numId w:val="16"/>
        </w:numPr>
        <w:spacing w:after="0" w:line="240" w:lineRule="auto"/>
        <w:ind w:left="714" w:hanging="357"/>
        <w:contextualSpacing w:val="0"/>
        <w:rPr>
          <w:rFonts w:cs="Arial"/>
        </w:rPr>
      </w:pPr>
      <w:r w:rsidRPr="00E134AC">
        <w:rPr>
          <w:rFonts w:cs="Arial"/>
        </w:rPr>
        <w:t xml:space="preserve">Risks related to </w:t>
      </w:r>
      <w:hyperlink r:id="rId21" w:history="1">
        <w:r w:rsidRPr="00E134AC">
          <w:rPr>
            <w:rStyle w:val="Hyperlink"/>
            <w:rFonts w:cs="Arial"/>
          </w:rPr>
          <w:t>human rights violations</w:t>
        </w:r>
      </w:hyperlink>
    </w:p>
    <w:p w14:paraId="48A2F4A4"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 xml:space="preserve">Financing projects </w:t>
      </w:r>
    </w:p>
    <w:p w14:paraId="48A2F4A5"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Projects with partners located in countries with increased export control risks</w:t>
      </w:r>
    </w:p>
    <w:p w14:paraId="48A2F4A6"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Cost sharing with partners</w:t>
      </w:r>
    </w:p>
    <w:p w14:paraId="48A2F4A7" w14:textId="77777777" w:rsidR="00593165" w:rsidRDefault="003175AA">
      <w:pPr>
        <w:pStyle w:val="Listenabsatz"/>
        <w:numPr>
          <w:ilvl w:val="0"/>
          <w:numId w:val="16"/>
        </w:numPr>
        <w:spacing w:after="0" w:line="240" w:lineRule="auto"/>
        <w:ind w:left="714" w:hanging="357"/>
        <w:contextualSpacing w:val="0"/>
        <w:rPr>
          <w:rFonts w:cs="Arial"/>
        </w:rPr>
      </w:pPr>
      <w:r>
        <w:rPr>
          <w:rFonts w:cs="Arial"/>
        </w:rPr>
        <w:t>Highly complex business cases</w:t>
      </w:r>
    </w:p>
    <w:p w14:paraId="48A2F4A8" w14:textId="77777777" w:rsidR="00593165" w:rsidRDefault="00593165">
      <w:pPr>
        <w:rPr>
          <w:rFonts w:cs="Arial"/>
        </w:rPr>
      </w:pPr>
    </w:p>
    <w:p w14:paraId="48A2F4A9" w14:textId="0423DE9A" w:rsidR="00593165" w:rsidRDefault="00F65CC8">
      <w:pPr>
        <w:rPr>
          <w:rFonts w:cs="Arial"/>
        </w:rPr>
      </w:pPr>
      <w:r>
        <w:rPr>
          <w:noProof/>
        </w:rPr>
        <w:lastRenderedPageBreak/>
        <w:drawing>
          <wp:inline distT="0" distB="0" distL="0" distR="0" wp14:anchorId="6F1F7702" wp14:editId="0F8D1A2D">
            <wp:extent cx="6403975" cy="46107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3975" cy="4610735"/>
                    </a:xfrm>
                    <a:prstGeom prst="rect">
                      <a:avLst/>
                    </a:prstGeom>
                  </pic:spPr>
                </pic:pic>
              </a:graphicData>
            </a:graphic>
          </wp:inline>
        </w:drawing>
      </w:r>
    </w:p>
    <w:p w14:paraId="48A2F4AB" w14:textId="77777777" w:rsidR="00593165" w:rsidRDefault="003175AA">
      <w:pPr>
        <w:pStyle w:val="berschrift2"/>
      </w:pPr>
      <w:r>
        <w:t xml:space="preserve">1.2. Compliance in project sales </w:t>
      </w:r>
    </w:p>
    <w:p w14:paraId="48A2F4AD" w14:textId="069784A3" w:rsidR="00593165" w:rsidRPr="008C1322" w:rsidRDefault="003175AA">
      <w:pPr>
        <w:rPr>
          <w:rFonts w:cs="Arial"/>
          <w:color w:val="000000" w:themeColor="text1"/>
          <w:szCs w:val="20"/>
        </w:rPr>
      </w:pPr>
      <w:r>
        <w:rPr>
          <w:rFonts w:cs="Arial"/>
          <w:color w:val="000000" w:themeColor="text1"/>
          <w:szCs w:val="20"/>
        </w:rPr>
        <w:t xml:space="preserve">Many Compliance risks occur during the sales phase. Also, Compliance matters that occur during project execution often </w:t>
      </w:r>
      <w:r w:rsidR="000C3D70">
        <w:rPr>
          <w:rFonts w:cs="Arial"/>
          <w:color w:val="000000" w:themeColor="text1"/>
          <w:szCs w:val="20"/>
        </w:rPr>
        <w:t>originate from</w:t>
      </w:r>
      <w:r>
        <w:rPr>
          <w:rFonts w:cs="Arial"/>
          <w:color w:val="000000" w:themeColor="text1"/>
          <w:szCs w:val="20"/>
        </w:rPr>
        <w:t xml:space="preserve"> the sales phase.</w:t>
      </w:r>
    </w:p>
    <w:tbl>
      <w:tblPr>
        <w:tblStyle w:val="Tabellenraster"/>
        <w:tblW w:w="0" w:type="auto"/>
        <w:tblInd w:w="360" w:type="dxa"/>
        <w:tblLook w:val="04A0" w:firstRow="1" w:lastRow="0" w:firstColumn="1" w:lastColumn="0" w:noHBand="0" w:noVBand="1"/>
      </w:tblPr>
      <w:tblGrid>
        <w:gridCol w:w="9725"/>
      </w:tblGrid>
      <w:tr w:rsidR="00593165" w14:paraId="48A2F4B1" w14:textId="77777777">
        <w:tc>
          <w:tcPr>
            <w:tcW w:w="10225" w:type="dxa"/>
          </w:tcPr>
          <w:p w14:paraId="48A2F4AE" w14:textId="77777777" w:rsidR="00593165" w:rsidRDefault="003175AA">
            <w:pPr>
              <w:pStyle w:val="HighlightboxGreyBulletpoints"/>
              <w:numPr>
                <w:ilvl w:val="0"/>
                <w:numId w:val="0"/>
              </w:numPr>
              <w:ind w:left="360" w:hanging="360"/>
              <w:rPr>
                <w:lang w:val="la-Latn"/>
              </w:rPr>
            </w:pPr>
            <w:bookmarkStart w:id="5" w:name="_Hlk4996254"/>
            <w:r>
              <w:t>General principles:</w:t>
            </w:r>
          </w:p>
          <w:p w14:paraId="48A2F4AF" w14:textId="4DC263EF" w:rsidR="00593165" w:rsidRDefault="003175AA">
            <w:pPr>
              <w:pStyle w:val="HighlightboxGreyBulletpoints"/>
              <w:rPr>
                <w:rFonts w:cstheme="minorHAnsi"/>
                <w:b w:val="0"/>
              </w:rPr>
            </w:pPr>
            <w:r>
              <w:rPr>
                <w:rFonts w:cstheme="minorHAnsi"/>
                <w:b w:val="0"/>
              </w:rPr>
              <w:t xml:space="preserve">A LoA Compliance Risk </w:t>
            </w:r>
            <w:r w:rsidR="00C22735">
              <w:rPr>
                <w:rFonts w:cstheme="minorHAnsi"/>
                <w:b w:val="0"/>
              </w:rPr>
              <w:t xml:space="preserve">Evaluation </w:t>
            </w:r>
            <w:r>
              <w:rPr>
                <w:rFonts w:cstheme="minorHAnsi"/>
                <w:b w:val="0"/>
              </w:rPr>
              <w:t xml:space="preserve">(LoA CRE) is the core element of Compliance in the sales phase. The LoA CRE is part of the </w:t>
            </w:r>
            <w:proofErr w:type="spellStart"/>
            <w:r>
              <w:rPr>
                <w:rFonts w:cstheme="minorHAnsi"/>
                <w:b w:val="0"/>
              </w:rPr>
              <w:t>PM@Siemens</w:t>
            </w:r>
            <w:proofErr w:type="spellEnd"/>
            <w:r>
              <w:rPr>
                <w:rFonts w:cstheme="minorHAnsi"/>
                <w:b w:val="0"/>
              </w:rPr>
              <w:t xml:space="preserve"> </w:t>
            </w:r>
            <w:hyperlink r:id="rId23" w:history="1">
              <w:proofErr w:type="spellStart"/>
              <w:r w:rsidRPr="00557DDD">
                <w:rPr>
                  <w:rStyle w:val="Hyperlink"/>
                  <w:rFonts w:cstheme="minorHAnsi"/>
                  <w:b w:val="0"/>
                </w:rPr>
                <w:t>LoA</w:t>
              </w:r>
              <w:proofErr w:type="spellEnd"/>
              <w:r w:rsidRPr="00557DDD">
                <w:rPr>
                  <w:rStyle w:val="Hyperlink"/>
                  <w:rFonts w:cstheme="minorHAnsi"/>
                  <w:b w:val="0"/>
                </w:rPr>
                <w:t xml:space="preserve"> Tool</w:t>
              </w:r>
            </w:hyperlink>
            <w:r>
              <w:rPr>
                <w:rFonts w:cstheme="minorHAnsi"/>
                <w:b w:val="0"/>
              </w:rPr>
              <w:t xml:space="preserve"> which supports the identification of Compliance risks.</w:t>
            </w:r>
          </w:p>
          <w:p w14:paraId="48A2F4B0" w14:textId="7E81076E" w:rsidR="00593165" w:rsidRDefault="003175AA" w:rsidP="00531EE3">
            <w:pPr>
              <w:pStyle w:val="HighlightboxGreyBulletpoints"/>
              <w:rPr>
                <w:rFonts w:cstheme="minorHAnsi"/>
              </w:rPr>
            </w:pPr>
            <w:r w:rsidRPr="00513A1D">
              <w:rPr>
                <w:b w:val="0"/>
                <w:bCs/>
              </w:rPr>
              <w:t>Further guidance on risk identification is available</w:t>
            </w:r>
            <w:r w:rsidR="007C1E7F" w:rsidRPr="00513A1D">
              <w:rPr>
                <w:b w:val="0"/>
                <w:bCs/>
              </w:rPr>
              <w:t xml:space="preserve"> in the</w:t>
            </w:r>
            <w:r w:rsidR="005E6D34">
              <w:t xml:space="preserve"> </w:t>
            </w:r>
            <w:hyperlink r:id="rId24" w:history="1">
              <w:r w:rsidR="00B40FAE" w:rsidRPr="00B80451">
                <w:rPr>
                  <w:rStyle w:val="Hyperlink"/>
                  <w:b w:val="0"/>
                  <w:bCs/>
                </w:rPr>
                <w:t xml:space="preserve">Project </w:t>
              </w:r>
              <w:r w:rsidR="00531EE3" w:rsidRPr="00B80451">
                <w:rPr>
                  <w:rStyle w:val="Hyperlink"/>
                  <w:rFonts w:cs="Arial"/>
                  <w:b w:val="0"/>
                </w:rPr>
                <w:t>Compliance risk landscape</w:t>
              </w:r>
            </w:hyperlink>
            <w:r w:rsidR="005E6D34">
              <w:t>.</w:t>
            </w:r>
            <w:r>
              <w:rPr>
                <w:color w:val="000000" w:themeColor="text1"/>
              </w:rPr>
              <w:t xml:space="preserve"> </w:t>
            </w:r>
          </w:p>
        </w:tc>
      </w:tr>
    </w:tbl>
    <w:bookmarkEnd w:id="5"/>
    <w:p w14:paraId="69C0445F" w14:textId="0B2F0324" w:rsidR="00311100" w:rsidRPr="004D22E7" w:rsidRDefault="003175AA" w:rsidP="00101095">
      <w:r>
        <w:rPr>
          <w:rFonts w:eastAsia="Calibri" w:cs="Arial"/>
          <w:szCs w:val="20"/>
        </w:rPr>
        <w:lastRenderedPageBreak/>
        <w:t xml:space="preserve"> </w:t>
      </w:r>
      <w:r w:rsidR="002434C8">
        <w:rPr>
          <w:noProof/>
        </w:rPr>
        <w:drawing>
          <wp:inline distT="0" distB="0" distL="0" distR="0" wp14:anchorId="24FD349F" wp14:editId="764636D0">
            <wp:extent cx="6403975" cy="45885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3975" cy="4588510"/>
                    </a:xfrm>
                    <a:prstGeom prst="rect">
                      <a:avLst/>
                    </a:prstGeom>
                  </pic:spPr>
                </pic:pic>
              </a:graphicData>
            </a:graphic>
          </wp:inline>
        </w:drawing>
      </w:r>
    </w:p>
    <w:p w14:paraId="48A2F4B3" w14:textId="3AF9A8DF" w:rsidR="00593165" w:rsidRDefault="002434C8">
      <w:r>
        <w:rPr>
          <w:noProof/>
        </w:rPr>
        <w:lastRenderedPageBreak/>
        <w:drawing>
          <wp:inline distT="0" distB="0" distL="0" distR="0" wp14:anchorId="16D03494" wp14:editId="039A777F">
            <wp:extent cx="6403975" cy="4591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3975" cy="4591050"/>
                    </a:xfrm>
                    <a:prstGeom prst="rect">
                      <a:avLst/>
                    </a:prstGeom>
                  </pic:spPr>
                </pic:pic>
              </a:graphicData>
            </a:graphic>
          </wp:inline>
        </w:drawing>
      </w:r>
    </w:p>
    <w:p w14:paraId="48A2F4B5" w14:textId="5DF67D8E" w:rsidR="00593165" w:rsidRDefault="003175AA">
      <w:pPr>
        <w:pStyle w:val="berschrift3"/>
        <w:spacing w:after="240"/>
        <w:jc w:val="both"/>
      </w:pPr>
      <w:bookmarkStart w:id="6" w:name="_1.2.1._Identification_of"/>
      <w:bookmarkStart w:id="7" w:name="_Toc461702240"/>
      <w:bookmarkStart w:id="8" w:name="_Ref462322182"/>
      <w:bookmarkEnd w:id="6"/>
      <w:r>
        <w:t xml:space="preserve">1.2.1. </w:t>
      </w:r>
      <w:bookmarkEnd w:id="7"/>
      <w:bookmarkEnd w:id="8"/>
      <w:r w:rsidR="0010492D">
        <w:t>P</w:t>
      </w:r>
      <w:r>
        <w:t>rojects in scope for LoA CRE</w:t>
      </w:r>
    </w:p>
    <w:p w14:paraId="48A2F4B6" w14:textId="1F5DFDDA" w:rsidR="00593165" w:rsidRDefault="003175AA">
      <w:pPr>
        <w:rPr>
          <w:rFonts w:cs="Arial"/>
          <w:szCs w:val="20"/>
        </w:rPr>
      </w:pPr>
      <w:r>
        <w:rPr>
          <w:rFonts w:cs="Arial"/>
          <w:szCs w:val="20"/>
        </w:rPr>
        <w:t xml:space="preserve">A risk-based LoA CRE is required for all projects (and sub-projects) that are subject to the LoA (Limits of Authority) process with a total order volume (planned revenue) of more than € </w:t>
      </w:r>
      <w:r w:rsidR="0010492D">
        <w:rPr>
          <w:rFonts w:cs="Arial"/>
          <w:szCs w:val="20"/>
        </w:rPr>
        <w:t>2</w:t>
      </w:r>
      <w:r>
        <w:rPr>
          <w:rFonts w:cs="Arial"/>
          <w:szCs w:val="20"/>
        </w:rPr>
        <w:t>,</w:t>
      </w:r>
      <w:r w:rsidR="0010492D">
        <w:rPr>
          <w:rFonts w:cs="Arial"/>
          <w:szCs w:val="20"/>
        </w:rPr>
        <w:t>5</w:t>
      </w:r>
      <w:r>
        <w:rPr>
          <w:rFonts w:cs="Arial"/>
          <w:szCs w:val="20"/>
        </w:rPr>
        <w:t xml:space="preserve">00,000 and that fulfill </w:t>
      </w:r>
      <w:r>
        <w:rPr>
          <w:rFonts w:cs="Arial"/>
          <w:b/>
          <w:szCs w:val="20"/>
          <w:u w:val="single"/>
        </w:rPr>
        <w:t>at least one of the following criteria</w:t>
      </w:r>
      <w:r>
        <w:rPr>
          <w:rFonts w:cs="Arial"/>
          <w:szCs w:val="20"/>
        </w:rPr>
        <w:t>:</w:t>
      </w:r>
    </w:p>
    <w:p w14:paraId="48A2F4B7" w14:textId="77777777" w:rsidR="00593165" w:rsidRDefault="003175AA">
      <w:pPr>
        <w:pStyle w:val="Listenabsatz"/>
        <w:numPr>
          <w:ilvl w:val="0"/>
          <w:numId w:val="8"/>
        </w:numPr>
        <w:spacing w:after="0" w:line="240" w:lineRule="auto"/>
        <w:rPr>
          <w:rFonts w:cs="Arial"/>
          <w:szCs w:val="20"/>
        </w:rPr>
      </w:pPr>
      <w:r>
        <w:rPr>
          <w:rFonts w:cs="Arial"/>
          <w:szCs w:val="20"/>
        </w:rPr>
        <w:t>Project category A/B or</w:t>
      </w:r>
    </w:p>
    <w:p w14:paraId="48A2F4B8" w14:textId="77A076A0" w:rsidR="00593165" w:rsidRDefault="003175AA">
      <w:pPr>
        <w:pStyle w:val="Listenabsatz"/>
        <w:numPr>
          <w:ilvl w:val="0"/>
          <w:numId w:val="8"/>
        </w:numPr>
        <w:spacing w:after="0" w:line="240" w:lineRule="auto"/>
        <w:rPr>
          <w:rFonts w:cs="Arial"/>
          <w:szCs w:val="20"/>
        </w:rPr>
      </w:pPr>
      <w:r>
        <w:rPr>
          <w:rFonts w:cs="Arial"/>
          <w:szCs w:val="20"/>
        </w:rPr>
        <w:t xml:space="preserve">Business Partner involvement (according to </w:t>
      </w:r>
      <w:hyperlink r:id="rId27" w:history="1">
        <w:r w:rsidR="000A6DF5" w:rsidRPr="000A6DF5">
          <w:rPr>
            <w:rStyle w:val="Hyperlink"/>
            <w:rFonts w:cs="Arial"/>
            <w:szCs w:val="20"/>
          </w:rPr>
          <w:t xml:space="preserve">Compliance Handbook, </w:t>
        </w:r>
        <w:r w:rsidR="003B78E2">
          <w:rPr>
            <w:rStyle w:val="Hyperlink"/>
            <w:rFonts w:cs="Arial"/>
            <w:szCs w:val="20"/>
          </w:rPr>
          <w:t xml:space="preserve">A 3 </w:t>
        </w:r>
        <w:r w:rsidR="000A6DF5" w:rsidRPr="000A6DF5">
          <w:rPr>
            <w:rStyle w:val="Hyperlink"/>
            <w:rFonts w:cs="Arial"/>
            <w:szCs w:val="20"/>
          </w:rPr>
          <w:t>Cooperation with Business Partners</w:t>
        </w:r>
      </w:hyperlink>
      <w:r>
        <w:rPr>
          <w:rFonts w:cs="Arial"/>
          <w:color w:val="000000" w:themeColor="text1"/>
          <w:szCs w:val="20"/>
        </w:rPr>
        <w:t>) or</w:t>
      </w:r>
    </w:p>
    <w:p w14:paraId="48A2F4B9" w14:textId="16BB9862" w:rsidR="00593165" w:rsidRDefault="003175AA">
      <w:pPr>
        <w:pStyle w:val="Listenabsatz"/>
        <w:numPr>
          <w:ilvl w:val="0"/>
          <w:numId w:val="9"/>
        </w:numPr>
        <w:spacing w:after="200" w:line="276" w:lineRule="auto"/>
        <w:rPr>
          <w:rFonts w:cs="Arial"/>
          <w:color w:val="000000" w:themeColor="text1"/>
          <w:szCs w:val="20"/>
        </w:rPr>
      </w:pPr>
      <w:r>
        <w:rPr>
          <w:rFonts w:cs="Arial"/>
          <w:color w:val="000000" w:themeColor="text1"/>
          <w:szCs w:val="20"/>
        </w:rPr>
        <w:t xml:space="preserve">Customer / execution country is a </w:t>
      </w:r>
      <w:hyperlink r:id="rId28" w:history="1">
        <w:r>
          <w:rPr>
            <w:rStyle w:val="Hyperlink"/>
            <w:rFonts w:cs="Arial"/>
            <w:szCs w:val="20"/>
          </w:rPr>
          <w:t>TI/CPI high risk country</w:t>
        </w:r>
      </w:hyperlink>
      <w:r>
        <w:rPr>
          <w:rStyle w:val="Funotenzeichen"/>
          <w:rFonts w:cs="Arial"/>
          <w:color w:val="000000" w:themeColor="text1"/>
          <w:szCs w:val="20"/>
        </w:rPr>
        <w:footnoteReference w:id="6"/>
      </w:r>
      <w:r>
        <w:rPr>
          <w:rFonts w:cs="Arial"/>
          <w:color w:val="000000" w:themeColor="text1"/>
          <w:szCs w:val="20"/>
        </w:rPr>
        <w:t xml:space="preserve"> which is different from the country of the Siemens entity</w:t>
      </w:r>
      <w:r>
        <w:rPr>
          <w:rStyle w:val="Funotenzeichen"/>
          <w:rFonts w:cs="Arial"/>
          <w:color w:val="000000" w:themeColor="text1"/>
          <w:szCs w:val="20"/>
        </w:rPr>
        <w:footnoteReference w:id="7"/>
      </w:r>
      <w:r>
        <w:rPr>
          <w:rFonts w:cs="Arial"/>
          <w:color w:val="000000" w:themeColor="text1"/>
          <w:szCs w:val="20"/>
        </w:rPr>
        <w:t xml:space="preserve"> (ARE country) </w:t>
      </w:r>
      <w:r>
        <w:rPr>
          <w:rFonts w:cs="Arial"/>
          <w:color w:val="000000" w:themeColor="text1"/>
          <w:szCs w:val="20"/>
          <w:u w:val="single"/>
        </w:rPr>
        <w:t>or</w:t>
      </w:r>
    </w:p>
    <w:p w14:paraId="48A2F4BB" w14:textId="77777777" w:rsidR="00593165" w:rsidRDefault="003175AA">
      <w:pPr>
        <w:pStyle w:val="Listenabsatz"/>
        <w:numPr>
          <w:ilvl w:val="0"/>
          <w:numId w:val="9"/>
        </w:numPr>
        <w:spacing w:after="200" w:line="276" w:lineRule="auto"/>
        <w:rPr>
          <w:rFonts w:cs="Arial"/>
          <w:szCs w:val="20"/>
        </w:rPr>
      </w:pPr>
      <w:r>
        <w:rPr>
          <w:rFonts w:cs="Arial"/>
          <w:color w:val="000000" w:themeColor="text1"/>
          <w:szCs w:val="20"/>
        </w:rPr>
        <w:t>Projects backed by a "national export credit guarantee" or financed wholly or partly by multilateral development banks or multilateral financial institutions</w:t>
      </w:r>
      <w:r>
        <w:rPr>
          <w:rStyle w:val="Funotenzeichen"/>
          <w:rFonts w:cs="Arial"/>
          <w:color w:val="000000" w:themeColor="text1"/>
          <w:szCs w:val="20"/>
        </w:rPr>
        <w:footnoteReference w:id="8"/>
      </w:r>
      <w:r>
        <w:rPr>
          <w:rFonts w:cs="Arial"/>
          <w:color w:val="000000" w:themeColor="text1"/>
          <w:szCs w:val="20"/>
        </w:rPr>
        <w:t xml:space="preserve"> </w:t>
      </w:r>
      <w:r>
        <w:rPr>
          <w:rFonts w:cs="Arial"/>
          <w:color w:val="000000" w:themeColor="text1"/>
          <w:szCs w:val="20"/>
          <w:u w:val="single"/>
        </w:rPr>
        <w:t>or</w:t>
      </w:r>
    </w:p>
    <w:p w14:paraId="48A2F4BC" w14:textId="77777777" w:rsidR="00593165" w:rsidRDefault="003175AA">
      <w:pPr>
        <w:pStyle w:val="Listenabsatz"/>
        <w:numPr>
          <w:ilvl w:val="0"/>
          <w:numId w:val="9"/>
        </w:numPr>
        <w:spacing w:after="200" w:line="276" w:lineRule="auto"/>
        <w:rPr>
          <w:rFonts w:cs="Arial"/>
          <w:color w:val="000000" w:themeColor="text1"/>
          <w:szCs w:val="20"/>
        </w:rPr>
      </w:pPr>
      <w:r>
        <w:rPr>
          <w:rFonts w:cs="Arial"/>
          <w:szCs w:val="20"/>
        </w:rPr>
        <w:lastRenderedPageBreak/>
        <w:t>Nominated major vendor involved</w:t>
      </w:r>
      <w:r>
        <w:rPr>
          <w:rStyle w:val="Funotenzeichen"/>
          <w:rFonts w:cs="Arial"/>
          <w:szCs w:val="20"/>
        </w:rPr>
        <w:footnoteReference w:id="9"/>
      </w:r>
      <w:r>
        <w:rPr>
          <w:rFonts w:cs="Arial"/>
          <w:szCs w:val="20"/>
        </w:rPr>
        <w:t xml:space="preserve"> </w:t>
      </w:r>
      <w:r>
        <w:rPr>
          <w:rFonts w:cs="Arial"/>
          <w:szCs w:val="20"/>
          <w:u w:val="single"/>
        </w:rPr>
        <w:t>or</w:t>
      </w:r>
    </w:p>
    <w:p w14:paraId="48A2F4BD" w14:textId="4D2BE393" w:rsidR="00593165" w:rsidRDefault="003175AA">
      <w:pPr>
        <w:pStyle w:val="Listenabsatz"/>
        <w:numPr>
          <w:ilvl w:val="0"/>
          <w:numId w:val="9"/>
        </w:numPr>
        <w:spacing w:after="200" w:line="276" w:lineRule="auto"/>
        <w:rPr>
          <w:rFonts w:cs="Arial"/>
          <w:color w:val="000000" w:themeColor="text1"/>
          <w:szCs w:val="20"/>
        </w:rPr>
      </w:pPr>
      <w:r>
        <w:rPr>
          <w:rFonts w:cs="Arial"/>
          <w:szCs w:val="20"/>
        </w:rPr>
        <w:t xml:space="preserve">Project execution country is a </w:t>
      </w:r>
      <w:r>
        <w:rPr>
          <w:rFonts w:cs="Arial"/>
          <w:szCs w:val="20"/>
        </w:rPr>
        <w:br/>
      </w:r>
      <w:proofErr w:type="spellStart"/>
      <w:r>
        <w:rPr>
          <w:rFonts w:cs="Arial"/>
          <w:szCs w:val="20"/>
        </w:rPr>
        <w:t>a</w:t>
      </w:r>
      <w:proofErr w:type="spellEnd"/>
      <w:r>
        <w:rPr>
          <w:rFonts w:cs="Arial"/>
          <w:szCs w:val="20"/>
        </w:rPr>
        <w:t xml:space="preserve">. </w:t>
      </w:r>
      <w:hyperlink r:id="rId29" w:history="1">
        <w:r w:rsidRPr="00E53DEA">
          <w:rPr>
            <w:rStyle w:val="Hyperlink"/>
            <w:szCs w:val="20"/>
          </w:rPr>
          <w:t>Human Rights extreme risk country</w:t>
        </w:r>
      </w:hyperlink>
      <w:r>
        <w:rPr>
          <w:szCs w:val="20"/>
        </w:rPr>
        <w:t xml:space="preserve"> and the project category is A/B/C; </w:t>
      </w:r>
      <w:r w:rsidRPr="00AD6C39">
        <w:rPr>
          <w:szCs w:val="20"/>
          <w:u w:val="single"/>
        </w:rPr>
        <w:t>or</w:t>
      </w:r>
      <w:r>
        <w:rPr>
          <w:rFonts w:cs="Arial"/>
          <w:szCs w:val="20"/>
        </w:rPr>
        <w:br/>
        <w:t xml:space="preserve">b. </w:t>
      </w:r>
      <w:hyperlink r:id="rId30" w:history="1">
        <w:r w:rsidRPr="00E53DEA">
          <w:rPr>
            <w:rStyle w:val="Hyperlink"/>
            <w:rFonts w:cs="Arial"/>
            <w:szCs w:val="20"/>
          </w:rPr>
          <w:t>Human Rights high risk country</w:t>
        </w:r>
      </w:hyperlink>
      <w:r>
        <w:rPr>
          <w:rFonts w:cs="Arial"/>
          <w:szCs w:val="20"/>
        </w:rPr>
        <w:t xml:space="preserve"> and at least one of the following criteria is fulfilled:</w:t>
      </w:r>
      <w:r>
        <w:rPr>
          <w:rFonts w:cs="Arial"/>
          <w:szCs w:val="20"/>
        </w:rPr>
        <w:br/>
        <w:t xml:space="preserve"> - Project category A/B </w:t>
      </w:r>
      <w:r>
        <w:rPr>
          <w:rFonts w:cs="Arial"/>
          <w:szCs w:val="20"/>
          <w:u w:val="single"/>
        </w:rPr>
        <w:t>or</w:t>
      </w:r>
      <w:r>
        <w:rPr>
          <w:rFonts w:cs="Arial"/>
          <w:szCs w:val="20"/>
        </w:rPr>
        <w:t xml:space="preserve"> </w:t>
      </w:r>
      <w:r>
        <w:rPr>
          <w:rFonts w:cs="Arial"/>
          <w:szCs w:val="20"/>
        </w:rPr>
        <w:br/>
        <w:t xml:space="preserve"> - the project category is C and as consortium partner or major vendor is involved </w:t>
      </w:r>
      <w:r>
        <w:rPr>
          <w:rFonts w:cs="Arial"/>
          <w:szCs w:val="20"/>
          <w:u w:val="single"/>
        </w:rPr>
        <w:t>or</w:t>
      </w:r>
    </w:p>
    <w:p w14:paraId="48A2F4BE" w14:textId="59EDDAA5" w:rsidR="00593165" w:rsidRDefault="00A9797B">
      <w:pPr>
        <w:pStyle w:val="Listenabsatz"/>
        <w:numPr>
          <w:ilvl w:val="0"/>
          <w:numId w:val="15"/>
        </w:numPr>
        <w:spacing w:after="200" w:line="276" w:lineRule="auto"/>
        <w:rPr>
          <w:rFonts w:cs="Arial"/>
          <w:szCs w:val="20"/>
        </w:rPr>
      </w:pPr>
      <w:hyperlink r:id="rId31" w:history="1">
        <w:r w:rsidR="003175AA" w:rsidRPr="00E53DEA">
          <w:rPr>
            <w:rStyle w:val="Hyperlink"/>
            <w:rFonts w:cs="Arial"/>
            <w:szCs w:val="20"/>
          </w:rPr>
          <w:t xml:space="preserve">Human Rights extreme or </w:t>
        </w:r>
        <w:proofErr w:type="gramStart"/>
        <w:r w:rsidR="003175AA" w:rsidRPr="00E53DEA">
          <w:rPr>
            <w:rStyle w:val="Hyperlink"/>
            <w:rFonts w:cs="Arial"/>
            <w:szCs w:val="20"/>
          </w:rPr>
          <w:t>high risk</w:t>
        </w:r>
        <w:proofErr w:type="gramEnd"/>
        <w:r w:rsidR="003175AA" w:rsidRPr="00E53DEA">
          <w:rPr>
            <w:rStyle w:val="Hyperlink"/>
            <w:rFonts w:cs="Arial"/>
            <w:szCs w:val="20"/>
          </w:rPr>
          <w:t xml:space="preserve"> country</w:t>
        </w:r>
      </w:hyperlink>
      <w:r w:rsidR="003175AA">
        <w:rPr>
          <w:rFonts w:cs="Arial"/>
          <w:szCs w:val="20"/>
        </w:rPr>
        <w:t xml:space="preserve"> and the project involves an Export credit guarantee, Multilateral Development Bank or Multilateral Financial Institutions involved.</w:t>
      </w:r>
    </w:p>
    <w:p w14:paraId="48A2F4BF" w14:textId="77777777" w:rsidR="00593165" w:rsidRDefault="00593165">
      <w:pPr>
        <w:pStyle w:val="KeinAbsatzformat"/>
        <w:rPr>
          <w:rFonts w:ascii="Arial" w:hAnsi="Arial" w:cs="Arial"/>
          <w:sz w:val="20"/>
          <w:szCs w:val="20"/>
          <w:lang w:val="en-US"/>
        </w:rPr>
      </w:pPr>
    </w:p>
    <w:p w14:paraId="48A2F4C0" w14:textId="79A8B091" w:rsidR="00593165" w:rsidRDefault="003175AA">
      <w:pPr>
        <w:rPr>
          <w:rFonts w:cs="Arial"/>
          <w:szCs w:val="20"/>
        </w:rPr>
      </w:pPr>
      <w:proofErr w:type="gramStart"/>
      <w:r>
        <w:rPr>
          <w:rFonts w:cs="Arial"/>
          <w:szCs w:val="20"/>
        </w:rPr>
        <w:t>Furthermore</w:t>
      </w:r>
      <w:proofErr w:type="gramEnd"/>
      <w:r>
        <w:rPr>
          <w:rFonts w:cs="Arial"/>
          <w:szCs w:val="20"/>
        </w:rPr>
        <w:t xml:space="preserve"> this applies also for every project with a volume ≤ € </w:t>
      </w:r>
      <w:r w:rsidR="00E84223">
        <w:rPr>
          <w:rFonts w:cs="Arial"/>
          <w:szCs w:val="20"/>
        </w:rPr>
        <w:t>2</w:t>
      </w:r>
      <w:r>
        <w:rPr>
          <w:rFonts w:cs="Arial"/>
          <w:szCs w:val="20"/>
        </w:rPr>
        <w:t>,</w:t>
      </w:r>
      <w:r w:rsidR="00E84223">
        <w:rPr>
          <w:rFonts w:cs="Arial"/>
          <w:szCs w:val="20"/>
        </w:rPr>
        <w:t>5</w:t>
      </w:r>
      <w:r>
        <w:rPr>
          <w:rFonts w:cs="Arial"/>
          <w:szCs w:val="20"/>
        </w:rPr>
        <w:t>00,000 with the involvement of export credit guarantee, multilateral development banks, or multilateral financial institutions.</w:t>
      </w:r>
    </w:p>
    <w:p w14:paraId="1E28C89B" w14:textId="63073796" w:rsidR="002B5534" w:rsidRDefault="00D709BC">
      <w:pPr>
        <w:pStyle w:val="KeinAbsatzformat"/>
        <w:rPr>
          <w:lang w:val="en-US"/>
        </w:rPr>
      </w:pPr>
      <w:r>
        <w:rPr>
          <w:noProof/>
        </w:rPr>
        <w:drawing>
          <wp:inline distT="0" distB="0" distL="0" distR="0" wp14:anchorId="26EC6763" wp14:editId="2FD03305">
            <wp:extent cx="6403975" cy="46005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3975" cy="4600575"/>
                    </a:xfrm>
                    <a:prstGeom prst="rect">
                      <a:avLst/>
                    </a:prstGeom>
                  </pic:spPr>
                </pic:pic>
              </a:graphicData>
            </a:graphic>
          </wp:inline>
        </w:drawing>
      </w:r>
    </w:p>
    <w:p w14:paraId="48A2F4C3" w14:textId="10FB54EE" w:rsidR="00593165" w:rsidRDefault="003175AA">
      <w:pPr>
        <w:pStyle w:val="berschrift3"/>
        <w:spacing w:after="240"/>
        <w:jc w:val="both"/>
      </w:pPr>
      <w:r>
        <w:t xml:space="preserve">1.2.2. </w:t>
      </w:r>
      <w:bookmarkStart w:id="9" w:name="_Hlk38957295"/>
      <w:r>
        <w:t xml:space="preserve">Identification </w:t>
      </w:r>
      <w:r w:rsidR="0010492D">
        <w:t>&amp;</w:t>
      </w:r>
      <w:r>
        <w:t xml:space="preserve"> mitigation of Compliance </w:t>
      </w:r>
      <w:bookmarkEnd w:id="9"/>
      <w:r>
        <w:t>risks</w:t>
      </w:r>
    </w:p>
    <w:p w14:paraId="48A2F4C4" w14:textId="481BB92B" w:rsidR="00593165" w:rsidRDefault="003175AA">
      <w:pPr>
        <w:rPr>
          <w:rFonts w:cs="Arial"/>
          <w:szCs w:val="20"/>
        </w:rPr>
      </w:pPr>
      <w:r>
        <w:rPr>
          <w:rFonts w:cs="Arial"/>
          <w:szCs w:val="20"/>
        </w:rPr>
        <w:lastRenderedPageBreak/>
        <w:t xml:space="preserve">The LoA CRE’s purpose is to identify and document Compliance relevant risks and to define corresponding mitigation measures during the Siemens sales process up to PM040/PM070. Compliance risks are determined during the LoA CRE, </w:t>
      </w:r>
      <w:proofErr w:type="gramStart"/>
      <w:r>
        <w:rPr>
          <w:rFonts w:cs="Arial"/>
          <w:szCs w:val="20"/>
        </w:rPr>
        <w:t>approved</w:t>
      </w:r>
      <w:proofErr w:type="gramEnd"/>
      <w:r>
        <w:rPr>
          <w:rFonts w:cs="Arial"/>
          <w:szCs w:val="20"/>
        </w:rPr>
        <w:t xml:space="preserve"> and signed by the CO at PM040/PM070 and are included in the LoA risk report and Compliance risk summary for the LoA decision.</w:t>
      </w:r>
    </w:p>
    <w:p w14:paraId="48A2F4C5" w14:textId="7BE0FE10" w:rsidR="00593165" w:rsidRDefault="003175AA">
      <w:pPr>
        <w:rPr>
          <w:rFonts w:cs="Arial"/>
          <w:szCs w:val="20"/>
        </w:rPr>
      </w:pPr>
      <w:r>
        <w:rPr>
          <w:rFonts w:cs="Arial"/>
          <w:szCs w:val="20"/>
        </w:rPr>
        <w:t xml:space="preserve">The authorized project manager (sales phase) with support from the CO is responsible for the identification and </w:t>
      </w:r>
      <w:r w:rsidRPr="003E6EDF">
        <w:rPr>
          <w:rFonts w:cs="Arial"/>
          <w:szCs w:val="20"/>
        </w:rPr>
        <w:t>mitigation of applicable Compliance risks. A LoA CRE is mandatory for all projects meeting the criteria in</w:t>
      </w:r>
      <w:r w:rsidR="00CB73C1">
        <w:rPr>
          <w:rFonts w:cs="Arial"/>
          <w:szCs w:val="20"/>
        </w:rPr>
        <w:t xml:space="preserve"> chapter</w:t>
      </w:r>
      <w:r w:rsidRPr="003E6EDF">
        <w:rPr>
          <w:rFonts w:cs="Arial"/>
          <w:szCs w:val="20"/>
        </w:rPr>
        <w:t xml:space="preserve"> </w:t>
      </w:r>
      <w:hyperlink r:id="rId33" w:history="1">
        <w:r w:rsidR="003B78E2" w:rsidRPr="003B78E2">
          <w:rPr>
            <w:rStyle w:val="Hyperlink"/>
            <w:rFonts w:cs="Arial"/>
            <w:szCs w:val="20"/>
          </w:rPr>
          <w:t>H</w:t>
        </w:r>
        <w:r w:rsidR="003B78E2" w:rsidRPr="000E21DA">
          <w:rPr>
            <w:rStyle w:val="Hyperlink"/>
            <w:rFonts w:cs="Arial"/>
            <w:szCs w:val="20"/>
          </w:rPr>
          <w:t xml:space="preserve"> 1.2.1</w:t>
        </w:r>
      </w:hyperlink>
      <w:r w:rsidR="003B78E2" w:rsidRPr="00563BF9">
        <w:t>.</w:t>
      </w:r>
      <w:r w:rsidRPr="003E6EDF">
        <w:rPr>
          <w:rFonts w:cs="Arial"/>
          <w:szCs w:val="20"/>
        </w:rPr>
        <w:t xml:space="preserve"> of this document and with final review performed by the </w:t>
      </w:r>
      <w:r w:rsidR="00B40FAE">
        <w:rPr>
          <w:rFonts w:cs="Arial"/>
          <w:szCs w:val="20"/>
        </w:rPr>
        <w:t>A</w:t>
      </w:r>
      <w:r w:rsidR="00B40FAE" w:rsidRPr="003E6EDF">
        <w:rPr>
          <w:rFonts w:cs="Arial"/>
          <w:szCs w:val="20"/>
        </w:rPr>
        <w:t xml:space="preserve">uthorized </w:t>
      </w:r>
      <w:r w:rsidRPr="003E6EDF">
        <w:rPr>
          <w:rFonts w:cs="Arial"/>
          <w:szCs w:val="20"/>
        </w:rPr>
        <w:t>Compliance Officer (ACO) before the final LoA</w:t>
      </w:r>
      <w:r>
        <w:rPr>
          <w:rFonts w:cs="Arial"/>
          <w:szCs w:val="20"/>
        </w:rPr>
        <w:t xml:space="preserve"> decision.</w:t>
      </w:r>
    </w:p>
    <w:p w14:paraId="48A2F4C6" w14:textId="267978D7" w:rsidR="00593165" w:rsidRDefault="003175AA">
      <w:pPr>
        <w:rPr>
          <w:rFonts w:cs="Arial"/>
        </w:rPr>
      </w:pPr>
      <w:r>
        <w:rPr>
          <w:rFonts w:cs="Arial"/>
        </w:rPr>
        <w:t>The “Compliance Summary</w:t>
      </w:r>
      <w:r>
        <w:rPr>
          <w:rStyle w:val="Funotenzeichen"/>
          <w:rFonts w:cs="Arial"/>
        </w:rPr>
        <w:footnoteReference w:id="10"/>
      </w:r>
      <w:r>
        <w:rPr>
          <w:rFonts w:cs="Arial"/>
        </w:rPr>
        <w:t xml:space="preserve">” provides a comprehensive overview on Compliance relevant information and will be archived in the </w:t>
      </w:r>
      <w:proofErr w:type="spellStart"/>
      <w:r>
        <w:rPr>
          <w:rFonts w:cs="Arial"/>
        </w:rPr>
        <w:t>PM@Siemens</w:t>
      </w:r>
      <w:proofErr w:type="spellEnd"/>
      <w:r>
        <w:rPr>
          <w:rFonts w:cs="Arial"/>
        </w:rPr>
        <w:t>.</w:t>
      </w:r>
    </w:p>
    <w:p w14:paraId="4289C286" w14:textId="1784D94E" w:rsidR="004B1359" w:rsidRDefault="004B1359" w:rsidP="004B1359">
      <w:pPr>
        <w:pStyle w:val="berschrift3"/>
        <w:spacing w:after="240"/>
        <w:jc w:val="both"/>
      </w:pPr>
      <w:r>
        <w:t>1.2.</w:t>
      </w:r>
      <w:r w:rsidR="000C4A6E">
        <w:t>3</w:t>
      </w:r>
      <w:r>
        <w:t>. LoA CRE preparation by APM</w:t>
      </w:r>
    </w:p>
    <w:p w14:paraId="48A2F4C8" w14:textId="57C0B550" w:rsidR="00593165" w:rsidRPr="00C13D64" w:rsidRDefault="003175AA" w:rsidP="00563BF9">
      <w:pPr>
        <w:pStyle w:val="Untertitel"/>
        <w:rPr>
          <w:rFonts w:cs="Arial"/>
          <w:szCs w:val="20"/>
        </w:rPr>
      </w:pPr>
      <w:r w:rsidRPr="00563BF9">
        <w:rPr>
          <w:rFonts w:eastAsiaTheme="minorHAnsi" w:cs="Arial"/>
          <w:b w:val="0"/>
          <w:iCs w:val="0"/>
          <w:color w:val="auto"/>
          <w:sz w:val="20"/>
          <w:szCs w:val="20"/>
        </w:rPr>
        <w:t>Depending on the data provided in the “key data” section of the LoA, additional information may be required from the authorized project manager (APM). This documentation/evidence (e.g. results of internet searches, company information with regard to third parties, vendors, consortium partners, confirmations received by legal, contract management, and/or project commercial) must be included with the project documentation and made available to the CO.  A Compliance risk class is automatically defined.</w:t>
      </w:r>
    </w:p>
    <w:p w14:paraId="48A2F4C9" w14:textId="0CB960EE" w:rsidR="00593165" w:rsidRPr="00563BF9" w:rsidRDefault="003175AA">
      <w:pPr>
        <w:pStyle w:val="KeinAbsatzformat"/>
        <w:rPr>
          <w:rFonts w:ascii="Arial" w:hAnsi="Arial" w:cs="Arial"/>
          <w:color w:val="auto"/>
          <w:sz w:val="20"/>
          <w:szCs w:val="20"/>
          <w:lang w:val="en-US"/>
        </w:rPr>
      </w:pPr>
      <w:r w:rsidRPr="00563BF9">
        <w:rPr>
          <w:rFonts w:ascii="Arial" w:hAnsi="Arial" w:cs="Arial"/>
          <w:color w:val="auto"/>
          <w:sz w:val="20"/>
          <w:szCs w:val="20"/>
          <w:lang w:val="en-US"/>
        </w:rPr>
        <w:t xml:space="preserve">The CO must have access to any Compliance related information in any project within his area of responsibility and participates in the decision process as defined in </w:t>
      </w:r>
      <w:hyperlink r:id="rId34" w:anchor="page=4" w:history="1">
        <w:r w:rsidR="00902E96" w:rsidRPr="00902E96">
          <w:rPr>
            <w:rStyle w:val="Hyperlink"/>
            <w:rFonts w:ascii="Arial" w:hAnsi="Arial" w:cs="Arial"/>
            <w:sz w:val="20"/>
            <w:szCs w:val="20"/>
            <w:lang w:val="en-US"/>
          </w:rPr>
          <w:t>circular No. 182</w:t>
        </w:r>
        <w:r w:rsidR="005B2D58" w:rsidRPr="00902E96">
          <w:rPr>
            <w:rStyle w:val="Hyperlink"/>
            <w:rFonts w:ascii="Arial" w:hAnsi="Arial" w:cs="Arial"/>
            <w:sz w:val="20"/>
            <w:szCs w:val="16"/>
            <w:lang w:val="en-US"/>
          </w:rPr>
          <w:t xml:space="preserve"> </w:t>
        </w:r>
        <w:r w:rsidRPr="00902E96">
          <w:rPr>
            <w:rStyle w:val="Hyperlink"/>
            <w:rFonts w:ascii="Arial" w:hAnsi="Arial" w:cs="Arial"/>
            <w:sz w:val="20"/>
            <w:szCs w:val="20"/>
            <w:lang w:val="en-US"/>
          </w:rPr>
          <w:t>“Limits of Authority (LoA) Process and Project Approvals”</w:t>
        </w:r>
      </w:hyperlink>
      <w:r w:rsidRPr="00563BF9">
        <w:rPr>
          <w:rFonts w:ascii="Arial" w:hAnsi="Arial" w:cs="Arial"/>
          <w:color w:val="auto"/>
          <w:sz w:val="20"/>
          <w:szCs w:val="20"/>
          <w:lang w:val="en-US"/>
        </w:rPr>
        <w:t>.</w:t>
      </w:r>
    </w:p>
    <w:p w14:paraId="48A2F4CA" w14:textId="77777777" w:rsidR="00593165" w:rsidRDefault="00593165">
      <w:pPr>
        <w:pStyle w:val="KeinAbsatzformat"/>
        <w:rPr>
          <w:rFonts w:cs="Arial"/>
          <w:sz w:val="20"/>
          <w:lang w:val="en-US"/>
        </w:rPr>
      </w:pPr>
    </w:p>
    <w:p w14:paraId="48A2F4CB" w14:textId="3E55AF78" w:rsidR="00593165" w:rsidRDefault="000C4A6E" w:rsidP="00563BF9">
      <w:pPr>
        <w:pStyle w:val="berschrift3"/>
      </w:pPr>
      <w:r>
        <w:t xml:space="preserve">1.2.4. </w:t>
      </w:r>
      <w:r w:rsidR="003175AA">
        <w:t>LoA CRE – review and sign-off by ACO</w:t>
      </w:r>
    </w:p>
    <w:p w14:paraId="48A2F4CC" w14:textId="77777777" w:rsidR="00593165" w:rsidRDefault="003175AA">
      <w:pPr>
        <w:rPr>
          <w:rFonts w:cs="Arial"/>
        </w:rPr>
      </w:pPr>
      <w:r>
        <w:rPr>
          <w:rFonts w:cs="Arial"/>
        </w:rPr>
        <w:t>The APM initiates the LoA sign-off workflow, which triggers an automated email to notify the ACO. The ACO then reviews and clarifies the provided information and involves the CO of the respective escalation level</w:t>
      </w:r>
      <w:r>
        <w:rPr>
          <w:rStyle w:val="Funotenzeichen"/>
          <w:rFonts w:cs="Arial"/>
        </w:rPr>
        <w:footnoteReference w:id="11"/>
      </w:r>
      <w:r>
        <w:rPr>
          <w:rFonts w:cs="Arial"/>
        </w:rPr>
        <w:t xml:space="preserve"> (e.g. in cross border projects) to ensure comprehensive coverage of all Compliance risks.</w:t>
      </w:r>
    </w:p>
    <w:p w14:paraId="48A2F4CD" w14:textId="4C31F462" w:rsidR="00593165" w:rsidRDefault="003175AA">
      <w:pPr>
        <w:rPr>
          <w:rFonts w:cs="Arial"/>
        </w:rPr>
      </w:pPr>
      <w:r>
        <w:rPr>
          <w:rFonts w:cs="Arial"/>
        </w:rPr>
        <w:t>Mitigation measures</w:t>
      </w:r>
      <w:r>
        <w:rPr>
          <w:rStyle w:val="Funotenzeichen"/>
          <w:rFonts w:cs="Arial"/>
        </w:rPr>
        <w:footnoteReference w:id="12"/>
      </w:r>
      <w:r>
        <w:rPr>
          <w:rFonts w:cs="Arial"/>
        </w:rPr>
        <w:t xml:space="preserve"> are documented by the APM and ACO in the LoA CRE and are part of the LoA risk report. This includes identifying risks, mitigation steps; persons assigned the implementation measures and timelines/due dates. During the sign-off the ACO may comment on Compliance relevant topics and add potential conditions for approval and measures to mitigate Compliance risks.</w:t>
      </w:r>
    </w:p>
    <w:p w14:paraId="48A2F4CE" w14:textId="77777777" w:rsidR="00593165" w:rsidRDefault="003175AA">
      <w:pPr>
        <w:rPr>
          <w:szCs w:val="20"/>
        </w:rPr>
      </w:pPr>
      <w:r>
        <w:rPr>
          <w:rFonts w:cs="Arial"/>
        </w:rPr>
        <w:t xml:space="preserve">Ideally, the agreed upon mitigation efforts should be implanted no later than the PM070 stage by the APM. </w:t>
      </w:r>
      <w:r>
        <w:rPr>
          <w:szCs w:val="20"/>
        </w:rPr>
        <w:t>Nevertheless, any measures and action items not completed shall be handed over and be dealt with during project execution phase.</w:t>
      </w:r>
    </w:p>
    <w:p w14:paraId="48A2F4CF" w14:textId="630BB3CD" w:rsidR="00593165" w:rsidRDefault="003175AA" w:rsidP="00676BB9">
      <w:r>
        <w:rPr>
          <w:rFonts w:cs="MinionPro-Regular"/>
        </w:rPr>
        <w:t>No</w:t>
      </w:r>
      <w:r>
        <w:t>te:</w:t>
      </w:r>
      <w:r w:rsidR="00676BB9">
        <w:t xml:space="preserve"> </w:t>
      </w:r>
      <w:r>
        <w:t>If any identified risk has a status of RED before the LoA decision, PM040 bid approval will not be possible</w:t>
      </w:r>
    </w:p>
    <w:p w14:paraId="3784EA63" w14:textId="77777777" w:rsidR="0010492D" w:rsidRPr="0010492D" w:rsidRDefault="0010492D" w:rsidP="0010492D">
      <w:pPr>
        <w:pStyle w:val="KeinAbsatzformat"/>
        <w:rPr>
          <w:lang w:val="en-US"/>
        </w:rPr>
      </w:pPr>
    </w:p>
    <w:p w14:paraId="48A2F4D1" w14:textId="0C49AB69" w:rsidR="00593165" w:rsidRDefault="000C4A6E" w:rsidP="00D8097B">
      <w:pPr>
        <w:pStyle w:val="berschrift3"/>
      </w:pPr>
      <w:r>
        <w:t xml:space="preserve">1.2.5. </w:t>
      </w:r>
      <w:r w:rsidR="003175AA">
        <w:t>LoA decision / LoA update</w:t>
      </w:r>
    </w:p>
    <w:p w14:paraId="48A2F4D2" w14:textId="77777777" w:rsidR="00593165" w:rsidRDefault="003175AA">
      <w:pPr>
        <w:rPr>
          <w:rFonts w:cs="Arial"/>
        </w:rPr>
      </w:pPr>
      <w:r>
        <w:rPr>
          <w:rFonts w:cs="Arial"/>
        </w:rPr>
        <w:t>If any identified risks have a status of YELLOW before the LoA decision, the ACO must participate in the LoA decision.</w:t>
      </w:r>
    </w:p>
    <w:p w14:paraId="48A2F4D3" w14:textId="77777777" w:rsidR="00593165" w:rsidRDefault="003175AA">
      <w:pPr>
        <w:rPr>
          <w:szCs w:val="20"/>
        </w:rPr>
      </w:pPr>
      <w:r>
        <w:rPr>
          <w:szCs w:val="20"/>
        </w:rPr>
        <w:t xml:space="preserve">Management is informed about Compliance risks and proposed mitigation measures before LoA decision. An adequate level of Compliance risk clarification and mitigation </w:t>
      </w:r>
      <w:proofErr w:type="gramStart"/>
      <w:r>
        <w:rPr>
          <w:szCs w:val="20"/>
        </w:rPr>
        <w:t>has to</w:t>
      </w:r>
      <w:proofErr w:type="gramEnd"/>
      <w:r>
        <w:rPr>
          <w:szCs w:val="20"/>
        </w:rPr>
        <w:t xml:space="preserve"> be achieved by the involved parties. This ensures a sound basis for management decision.</w:t>
      </w:r>
    </w:p>
    <w:p w14:paraId="48A2F4D4" w14:textId="33050E82" w:rsidR="00593165" w:rsidRDefault="003175AA">
      <w:pPr>
        <w:rPr>
          <w:szCs w:val="20"/>
        </w:rPr>
      </w:pPr>
      <w:r>
        <w:rPr>
          <w:szCs w:val="20"/>
        </w:rPr>
        <w:t xml:space="preserve">The LoA Update is performed </w:t>
      </w:r>
      <w:r w:rsidRPr="003E6EDF">
        <w:rPr>
          <w:szCs w:val="20"/>
        </w:rPr>
        <w:t xml:space="preserve">according to </w:t>
      </w:r>
      <w:hyperlink r:id="rId35" w:anchor="page=4" w:history="1">
        <w:r w:rsidR="00902E96" w:rsidRPr="00902E96">
          <w:rPr>
            <w:rStyle w:val="Hyperlink"/>
            <w:rFonts w:cs="Arial"/>
            <w:szCs w:val="20"/>
          </w:rPr>
          <w:t>circular No. 182</w:t>
        </w:r>
        <w:r w:rsidR="00902E96" w:rsidRPr="00902E96">
          <w:rPr>
            <w:rStyle w:val="Hyperlink"/>
            <w:rFonts w:cs="Arial"/>
            <w:szCs w:val="16"/>
          </w:rPr>
          <w:t xml:space="preserve"> </w:t>
        </w:r>
        <w:r w:rsidR="00902E96" w:rsidRPr="00902E96">
          <w:rPr>
            <w:rStyle w:val="Hyperlink"/>
            <w:rFonts w:cs="Arial"/>
            <w:szCs w:val="20"/>
          </w:rPr>
          <w:t>“Limits of Authority (LoA) Process and Project Approvals”</w:t>
        </w:r>
      </w:hyperlink>
      <w:r>
        <w:rPr>
          <w:szCs w:val="20"/>
        </w:rPr>
        <w:t xml:space="preserve"> and the CO participates if required.</w:t>
      </w:r>
    </w:p>
    <w:p w14:paraId="48A2F4D7" w14:textId="6CCBC04E" w:rsidR="00593165" w:rsidRDefault="003175AA">
      <w:pPr>
        <w:pStyle w:val="berschrift3"/>
        <w:spacing w:after="240"/>
        <w:jc w:val="both"/>
      </w:pPr>
      <w:r>
        <w:t>1.2.</w:t>
      </w:r>
      <w:r w:rsidR="000C4A6E">
        <w:t>6</w:t>
      </w:r>
      <w:r>
        <w:t>. Handover to project execution</w:t>
      </w:r>
    </w:p>
    <w:p w14:paraId="48A2F4D8" w14:textId="37A8520A" w:rsidR="00593165" w:rsidRDefault="003175AA">
      <w:pPr>
        <w:rPr>
          <w:szCs w:val="20"/>
        </w:rPr>
      </w:pPr>
      <w:r>
        <w:rPr>
          <w:szCs w:val="20"/>
        </w:rPr>
        <w:t>If more than one C</w:t>
      </w:r>
      <w:r w:rsidR="00EC5155">
        <w:rPr>
          <w:szCs w:val="20"/>
        </w:rPr>
        <w:t>ompliance Officer</w:t>
      </w:r>
      <w:r>
        <w:rPr>
          <w:szCs w:val="20"/>
        </w:rPr>
        <w:t xml:space="preserve"> is involved in the project (e.g. for cross border projects) they should discuss the comprehensive risks identified for the project and align on further cooperation during the project execution phase starting with PM080.</w:t>
      </w:r>
    </w:p>
    <w:p w14:paraId="48A2F4D9" w14:textId="77777777" w:rsidR="00593165" w:rsidRDefault="003175AA">
      <w:pPr>
        <w:pStyle w:val="berschrift2"/>
        <w:numPr>
          <w:ilvl w:val="1"/>
          <w:numId w:val="7"/>
        </w:numPr>
      </w:pPr>
      <w:bookmarkStart w:id="10" w:name="_Hlk48232088"/>
      <w:r>
        <w:t>Compliance in project execution</w:t>
      </w:r>
    </w:p>
    <w:tbl>
      <w:tblPr>
        <w:tblStyle w:val="Tabellenraster"/>
        <w:tblW w:w="0" w:type="auto"/>
        <w:tblInd w:w="360" w:type="dxa"/>
        <w:tblLook w:val="04A0" w:firstRow="1" w:lastRow="0" w:firstColumn="1" w:lastColumn="0" w:noHBand="0" w:noVBand="1"/>
      </w:tblPr>
      <w:tblGrid>
        <w:gridCol w:w="9725"/>
      </w:tblGrid>
      <w:tr w:rsidR="00593165" w14:paraId="48A2F4DF" w14:textId="77777777">
        <w:tc>
          <w:tcPr>
            <w:tcW w:w="10225" w:type="dxa"/>
          </w:tcPr>
          <w:p w14:paraId="48A2F4DA" w14:textId="77777777" w:rsidR="00593165" w:rsidRDefault="003175AA">
            <w:pPr>
              <w:pStyle w:val="HighlightboxGreyBulletpoints"/>
              <w:numPr>
                <w:ilvl w:val="0"/>
                <w:numId w:val="0"/>
              </w:numPr>
              <w:ind w:left="360" w:hanging="360"/>
              <w:rPr>
                <w:lang w:val="la-Latn"/>
              </w:rPr>
            </w:pPr>
            <w:bookmarkStart w:id="11" w:name="_Hlk48231477"/>
            <w:bookmarkStart w:id="12" w:name="_Hlk4997365"/>
            <w:bookmarkEnd w:id="10"/>
            <w:r>
              <w:t>General principles:</w:t>
            </w:r>
          </w:p>
          <w:p w14:paraId="29F5C925" w14:textId="27E3ACC9" w:rsidR="004256F4" w:rsidRDefault="004256F4" w:rsidP="004256F4">
            <w:pPr>
              <w:pStyle w:val="HighlightboxGreyBulletpoints"/>
              <w:rPr>
                <w:rFonts w:cstheme="minorHAnsi"/>
              </w:rPr>
            </w:pPr>
            <w:r w:rsidRPr="004256F4">
              <w:rPr>
                <w:rFonts w:cstheme="minorHAnsi"/>
                <w:b w:val="0"/>
              </w:rPr>
              <w:t xml:space="preserve">Compliance </w:t>
            </w:r>
            <w:r>
              <w:rPr>
                <w:rFonts w:cstheme="minorHAnsi"/>
                <w:b w:val="0"/>
              </w:rPr>
              <w:t>in</w:t>
            </w:r>
            <w:r w:rsidRPr="004256F4">
              <w:rPr>
                <w:rFonts w:cstheme="minorHAnsi"/>
                <w:b w:val="0"/>
              </w:rPr>
              <w:t xml:space="preserve"> the </w:t>
            </w:r>
            <w:r>
              <w:rPr>
                <w:rFonts w:cstheme="minorHAnsi"/>
                <w:b w:val="0"/>
              </w:rPr>
              <w:t>p</w:t>
            </w:r>
            <w:r w:rsidRPr="004256F4">
              <w:rPr>
                <w:rFonts w:cstheme="minorHAnsi"/>
                <w:b w:val="0"/>
              </w:rPr>
              <w:t xml:space="preserve">roject </w:t>
            </w:r>
            <w:r>
              <w:rPr>
                <w:rFonts w:cstheme="minorHAnsi"/>
                <w:b w:val="0"/>
              </w:rPr>
              <w:t>execution p</w:t>
            </w:r>
            <w:r w:rsidRPr="004256F4">
              <w:rPr>
                <w:rFonts w:cstheme="minorHAnsi"/>
                <w:b w:val="0"/>
              </w:rPr>
              <w:t>hase (</w:t>
            </w:r>
            <w:proofErr w:type="spellStart"/>
            <w:r w:rsidRPr="004256F4">
              <w:rPr>
                <w:rFonts w:cstheme="minorHAnsi"/>
                <w:b w:val="0"/>
              </w:rPr>
              <w:t>CiPE</w:t>
            </w:r>
            <w:proofErr w:type="spellEnd"/>
            <w:r w:rsidRPr="004256F4">
              <w:rPr>
                <w:rFonts w:cstheme="minorHAnsi"/>
                <w:b w:val="0"/>
              </w:rPr>
              <w:t xml:space="preserve">) applies to all projects selected by the Authorized Compliance Officer (ACO) as relevant to the project </w:t>
            </w:r>
            <w:r>
              <w:rPr>
                <w:rFonts w:cstheme="minorHAnsi"/>
                <w:b w:val="0"/>
              </w:rPr>
              <w:t>execution</w:t>
            </w:r>
            <w:r w:rsidRPr="004256F4">
              <w:rPr>
                <w:rFonts w:cstheme="minorHAnsi"/>
                <w:b w:val="0"/>
              </w:rPr>
              <w:t xml:space="preserve"> phase. The relevance selection by the ACO must be documented in the LoA tool during the sign-off process at the milestone PM070 for all projects with LoA CRE and won status.</w:t>
            </w:r>
          </w:p>
          <w:p w14:paraId="7AD1E49A" w14:textId="10F1574E" w:rsidR="00F31115" w:rsidRPr="003E6EDF" w:rsidRDefault="00F31115">
            <w:pPr>
              <w:pStyle w:val="HighlightboxGreyBulletpoints"/>
              <w:rPr>
                <w:rFonts w:cstheme="minorHAnsi"/>
                <w:b w:val="0"/>
              </w:rPr>
            </w:pPr>
            <w:r>
              <w:rPr>
                <w:rFonts w:cstheme="minorHAnsi"/>
                <w:b w:val="0"/>
              </w:rPr>
              <w:t xml:space="preserve">If the </w:t>
            </w:r>
            <w:r w:rsidR="004256F4">
              <w:rPr>
                <w:rFonts w:cstheme="minorHAnsi"/>
                <w:b w:val="0"/>
              </w:rPr>
              <w:t xml:space="preserve">ACO </w:t>
            </w:r>
            <w:r>
              <w:rPr>
                <w:rFonts w:cstheme="minorHAnsi"/>
                <w:b w:val="0"/>
              </w:rPr>
              <w:t xml:space="preserve">decides that a project is relevant for </w:t>
            </w:r>
            <w:proofErr w:type="spellStart"/>
            <w:r w:rsidR="00352B7E">
              <w:rPr>
                <w:rFonts w:cstheme="minorHAnsi"/>
                <w:b w:val="0"/>
              </w:rPr>
              <w:t>CiPE</w:t>
            </w:r>
            <w:proofErr w:type="spellEnd"/>
            <w:r>
              <w:rPr>
                <w:rFonts w:cstheme="minorHAnsi"/>
                <w:b w:val="0"/>
              </w:rPr>
              <w:t xml:space="preserve">, then the resulting steps and activities are mandatory for the PM responsible during execution phase. </w:t>
            </w:r>
          </w:p>
          <w:p w14:paraId="48A2F4DC" w14:textId="5113F1A9" w:rsidR="00593165" w:rsidRPr="003E6EDF" w:rsidRDefault="00443776">
            <w:pPr>
              <w:pStyle w:val="HighlightboxGreyBulletpoints"/>
              <w:rPr>
                <w:rFonts w:cstheme="minorHAnsi"/>
                <w:b w:val="0"/>
              </w:rPr>
            </w:pPr>
            <w:r>
              <w:rPr>
                <w:rFonts w:cstheme="minorHAnsi"/>
                <w:b w:val="0"/>
              </w:rPr>
              <w:t xml:space="preserve">The </w:t>
            </w:r>
            <w:proofErr w:type="spellStart"/>
            <w:r w:rsidR="00352B7E">
              <w:rPr>
                <w:rFonts w:cstheme="minorHAnsi"/>
                <w:b w:val="0"/>
              </w:rPr>
              <w:t>CiPE</w:t>
            </w:r>
            <w:proofErr w:type="spellEnd"/>
            <w:r>
              <w:rPr>
                <w:rFonts w:cstheme="minorHAnsi"/>
                <w:b w:val="0"/>
              </w:rPr>
              <w:t xml:space="preserve"> process starts with </w:t>
            </w:r>
            <w:r w:rsidR="003175AA" w:rsidRPr="003E6EDF">
              <w:rPr>
                <w:rFonts w:cstheme="minorHAnsi"/>
                <w:b w:val="0"/>
              </w:rPr>
              <w:t>PM10</w:t>
            </w:r>
            <w:r w:rsidR="000C3D70">
              <w:rPr>
                <w:rFonts w:cstheme="minorHAnsi"/>
                <w:b w:val="0"/>
              </w:rPr>
              <w:t>0.</w:t>
            </w:r>
          </w:p>
          <w:p w14:paraId="48A2F4DD" w14:textId="70C1C23B" w:rsidR="00593165" w:rsidRDefault="00352B7E">
            <w:pPr>
              <w:pStyle w:val="HighlightboxGreyBulletpoints"/>
              <w:rPr>
                <w:rFonts w:cstheme="minorHAnsi"/>
                <w:b w:val="0"/>
              </w:rPr>
            </w:pPr>
            <w:r>
              <w:rPr>
                <w:rFonts w:cstheme="minorHAnsi"/>
                <w:b w:val="0"/>
              </w:rPr>
              <w:t xml:space="preserve">Irrespective whether a project is subject to the </w:t>
            </w:r>
            <w:proofErr w:type="spellStart"/>
            <w:r>
              <w:rPr>
                <w:rFonts w:cstheme="minorHAnsi"/>
                <w:b w:val="0"/>
              </w:rPr>
              <w:t>CiPE</w:t>
            </w:r>
            <w:proofErr w:type="spellEnd"/>
            <w:r>
              <w:rPr>
                <w:rFonts w:cstheme="minorHAnsi"/>
                <w:b w:val="0"/>
              </w:rPr>
              <w:t xml:space="preserve"> process or not, the </w:t>
            </w:r>
            <w:r w:rsidR="003175AA">
              <w:rPr>
                <w:rFonts w:cstheme="minorHAnsi"/>
                <w:b w:val="0"/>
              </w:rPr>
              <w:t>identification of Compliance risks and mitigation during the project execution phase lies within the overall responsibility of the PM execution with support from the responsible CO.</w:t>
            </w:r>
          </w:p>
          <w:bookmarkEnd w:id="11"/>
          <w:p w14:paraId="48A2F4DE" w14:textId="0B8D9B7C" w:rsidR="00593165" w:rsidRDefault="00593165" w:rsidP="00471966">
            <w:pPr>
              <w:pStyle w:val="HighlightboxGreyBulletpoints"/>
              <w:numPr>
                <w:ilvl w:val="0"/>
                <w:numId w:val="0"/>
              </w:numPr>
              <w:ind w:left="360"/>
              <w:rPr>
                <w:rFonts w:cstheme="minorHAnsi"/>
                <w:b w:val="0"/>
              </w:rPr>
            </w:pPr>
          </w:p>
        </w:tc>
      </w:tr>
    </w:tbl>
    <w:bookmarkEnd w:id="12"/>
    <w:p w14:paraId="484129BA" w14:textId="4AF0FCF9" w:rsidR="00471966" w:rsidRDefault="003175AA" w:rsidP="009146AC">
      <w:r>
        <w:rPr>
          <w:rFonts w:eastAsia="Calibri" w:cs="Arial"/>
          <w:szCs w:val="20"/>
        </w:rPr>
        <w:lastRenderedPageBreak/>
        <w:t xml:space="preserve"> </w:t>
      </w:r>
      <w:r w:rsidR="00471966">
        <w:rPr>
          <w:noProof/>
        </w:rPr>
        <w:drawing>
          <wp:inline distT="0" distB="0" distL="0" distR="0" wp14:anchorId="263FAED9" wp14:editId="4B303832">
            <wp:extent cx="6403975" cy="459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03975" cy="4594860"/>
                    </a:xfrm>
                    <a:prstGeom prst="rect">
                      <a:avLst/>
                    </a:prstGeom>
                  </pic:spPr>
                </pic:pic>
              </a:graphicData>
            </a:graphic>
          </wp:inline>
        </w:drawing>
      </w:r>
    </w:p>
    <w:p w14:paraId="5A4B6743" w14:textId="3C3B5A2F" w:rsidR="00471966" w:rsidRPr="00E00C00" w:rsidRDefault="003175AA" w:rsidP="00E00C00">
      <w:pPr>
        <w:pStyle w:val="berschrift3"/>
        <w:spacing w:after="240"/>
        <w:jc w:val="both"/>
      </w:pPr>
      <w:r>
        <w:t xml:space="preserve">1.3.1. </w:t>
      </w:r>
      <w:bookmarkStart w:id="13" w:name="_Hlk48231875"/>
      <w:r w:rsidR="008B6A06" w:rsidRPr="00471966">
        <w:t>Selection</w:t>
      </w:r>
      <w:r w:rsidR="000414C7" w:rsidRPr="00471966">
        <w:t xml:space="preserve"> of projects </w:t>
      </w:r>
      <w:r w:rsidR="00465CF9" w:rsidRPr="00471966">
        <w:t xml:space="preserve">for </w:t>
      </w:r>
      <w:proofErr w:type="spellStart"/>
      <w:r w:rsidR="00465CF9" w:rsidRPr="00471966">
        <w:t>CiPE</w:t>
      </w:r>
      <w:proofErr w:type="spellEnd"/>
      <w:r w:rsidR="00465CF9" w:rsidRPr="00471966">
        <w:t xml:space="preserve"> </w:t>
      </w:r>
    </w:p>
    <w:p w14:paraId="5D2A5034" w14:textId="256CCEEF" w:rsidR="004B1A68" w:rsidRPr="008B6A06" w:rsidRDefault="004B1A68" w:rsidP="004B1A68">
      <w:pPr>
        <w:rPr>
          <w:rFonts w:cs="Arial"/>
          <w:color w:val="000000"/>
          <w:szCs w:val="20"/>
        </w:rPr>
      </w:pPr>
      <w:r w:rsidRPr="008B6A06">
        <w:rPr>
          <w:rFonts w:cs="Arial"/>
          <w:szCs w:val="20"/>
        </w:rPr>
        <w:t>For any Siemens project</w:t>
      </w:r>
      <w:r w:rsidR="008B6A06" w:rsidRPr="00751FCB">
        <w:rPr>
          <w:rFonts w:cs="Arial"/>
          <w:szCs w:val="20"/>
        </w:rPr>
        <w:t xml:space="preserve"> with LoA CRE and status won </w:t>
      </w:r>
      <w:r w:rsidRPr="00751FCB">
        <w:rPr>
          <w:rFonts w:cs="Arial"/>
          <w:szCs w:val="20"/>
        </w:rPr>
        <w:t xml:space="preserve">the </w:t>
      </w:r>
      <w:r w:rsidR="008B6A06" w:rsidRPr="008B6A06">
        <w:rPr>
          <w:rFonts w:cs="Arial"/>
          <w:szCs w:val="20"/>
        </w:rPr>
        <w:t xml:space="preserve">ACO decides about the </w:t>
      </w:r>
      <w:proofErr w:type="spellStart"/>
      <w:r w:rsidR="008B6A06" w:rsidRPr="008B6A06">
        <w:rPr>
          <w:rFonts w:cs="Arial"/>
          <w:szCs w:val="20"/>
        </w:rPr>
        <w:t>CiPE</w:t>
      </w:r>
      <w:proofErr w:type="spellEnd"/>
      <w:r w:rsidR="008B6A06" w:rsidRPr="008B6A06">
        <w:rPr>
          <w:rFonts w:cs="Arial"/>
          <w:szCs w:val="20"/>
        </w:rPr>
        <w:t xml:space="preserve"> relevance of the project </w:t>
      </w:r>
      <w:r w:rsidRPr="008B6A06">
        <w:rPr>
          <w:rFonts w:cs="Arial"/>
          <w:color w:val="000000"/>
          <w:szCs w:val="20"/>
        </w:rPr>
        <w:t>as a mandatory risk mitigation measure</w:t>
      </w:r>
      <w:r w:rsidR="008B6A06" w:rsidRPr="008B6A06">
        <w:rPr>
          <w:rFonts w:cs="Arial"/>
          <w:color w:val="000000"/>
          <w:szCs w:val="20"/>
        </w:rPr>
        <w:t>.</w:t>
      </w:r>
    </w:p>
    <w:p w14:paraId="7B84E426" w14:textId="70468770" w:rsidR="008B6A06" w:rsidRPr="00513A1D" w:rsidRDefault="008B6A06" w:rsidP="008B6A06">
      <w:pPr>
        <w:pStyle w:val="KeinAbsatzformat"/>
        <w:rPr>
          <w:rFonts w:ascii="Arial" w:hAnsi="Arial" w:cs="Arial"/>
          <w:sz w:val="20"/>
          <w:szCs w:val="20"/>
          <w:lang w:val="en-US"/>
        </w:rPr>
      </w:pPr>
      <w:r w:rsidRPr="00513A1D">
        <w:rPr>
          <w:rFonts w:ascii="Arial" w:hAnsi="Arial" w:cs="Arial"/>
          <w:sz w:val="20"/>
          <w:szCs w:val="20"/>
          <w:lang w:val="en-US"/>
        </w:rPr>
        <w:t xml:space="preserve">The selection of </w:t>
      </w:r>
      <w:proofErr w:type="spellStart"/>
      <w:r w:rsidRPr="00513A1D">
        <w:rPr>
          <w:rFonts w:ascii="Arial" w:hAnsi="Arial" w:cs="Arial"/>
          <w:sz w:val="20"/>
          <w:szCs w:val="20"/>
          <w:lang w:val="en-US"/>
        </w:rPr>
        <w:t>CiPE</w:t>
      </w:r>
      <w:proofErr w:type="spellEnd"/>
      <w:r w:rsidRPr="00513A1D">
        <w:rPr>
          <w:rFonts w:ascii="Arial" w:hAnsi="Arial" w:cs="Arial"/>
          <w:sz w:val="20"/>
          <w:szCs w:val="20"/>
          <w:lang w:val="en-US"/>
        </w:rPr>
        <w:t xml:space="preserve"> relevant projects is a mandatory process step at the sign off process at milestone PM070 in the </w:t>
      </w:r>
      <w:proofErr w:type="spellStart"/>
      <w:r w:rsidR="006A3FB2">
        <w:rPr>
          <w:rFonts w:ascii="Arial" w:hAnsi="Arial" w:cs="Arial"/>
          <w:sz w:val="20"/>
          <w:szCs w:val="20"/>
          <w:lang w:val="en-US"/>
        </w:rPr>
        <w:t>PM@Siemens</w:t>
      </w:r>
      <w:proofErr w:type="spellEnd"/>
      <w:r w:rsidR="006A3FB2">
        <w:rPr>
          <w:rFonts w:ascii="Arial" w:hAnsi="Arial" w:cs="Arial"/>
          <w:sz w:val="20"/>
          <w:szCs w:val="20"/>
          <w:lang w:val="en-US"/>
        </w:rPr>
        <w:t xml:space="preserve"> </w:t>
      </w:r>
      <w:proofErr w:type="spellStart"/>
      <w:r w:rsidRPr="00513A1D">
        <w:rPr>
          <w:rFonts w:ascii="Arial" w:hAnsi="Arial" w:cs="Arial"/>
          <w:sz w:val="20"/>
          <w:szCs w:val="20"/>
          <w:lang w:val="en-US"/>
        </w:rPr>
        <w:t>LoA</w:t>
      </w:r>
      <w:proofErr w:type="spellEnd"/>
      <w:r w:rsidRPr="00513A1D">
        <w:rPr>
          <w:rFonts w:ascii="Arial" w:hAnsi="Arial" w:cs="Arial"/>
          <w:sz w:val="20"/>
          <w:szCs w:val="20"/>
          <w:lang w:val="en-US"/>
        </w:rPr>
        <w:t xml:space="preserve"> tool. </w:t>
      </w:r>
    </w:p>
    <w:p w14:paraId="0790ECBC" w14:textId="77777777" w:rsidR="008B6A06" w:rsidRPr="00513A1D" w:rsidRDefault="008B6A06" w:rsidP="00513A1D">
      <w:pPr>
        <w:pStyle w:val="KeinAbsatzformat"/>
        <w:rPr>
          <w:rFonts w:cs="Arial"/>
          <w:szCs w:val="20"/>
          <w:lang w:val="en-US"/>
        </w:rPr>
      </w:pPr>
    </w:p>
    <w:p w14:paraId="178541DF" w14:textId="19C9A979" w:rsidR="004B1A68" w:rsidRPr="008B6A06" w:rsidRDefault="004B1A68" w:rsidP="004B1A68">
      <w:pPr>
        <w:rPr>
          <w:rFonts w:cs="Arial"/>
          <w:szCs w:val="20"/>
        </w:rPr>
      </w:pPr>
      <w:r w:rsidRPr="008B6A06">
        <w:rPr>
          <w:rFonts w:cs="Arial"/>
          <w:szCs w:val="20"/>
        </w:rPr>
        <w:t xml:space="preserve">If the </w:t>
      </w:r>
      <w:r w:rsidR="008B6A06" w:rsidRPr="00751FCB">
        <w:rPr>
          <w:rFonts w:cs="Arial"/>
          <w:szCs w:val="20"/>
        </w:rPr>
        <w:t xml:space="preserve">ACO </w:t>
      </w:r>
      <w:r w:rsidRPr="00751FCB">
        <w:rPr>
          <w:rFonts w:cs="Arial"/>
          <w:szCs w:val="20"/>
        </w:rPr>
        <w:t xml:space="preserve">decides that a project is relevant for </w:t>
      </w:r>
      <w:proofErr w:type="spellStart"/>
      <w:r w:rsidRPr="00751FCB">
        <w:rPr>
          <w:rFonts w:cs="Arial"/>
          <w:szCs w:val="20"/>
        </w:rPr>
        <w:t>CiPE</w:t>
      </w:r>
      <w:proofErr w:type="spellEnd"/>
      <w:r w:rsidRPr="00751FCB">
        <w:rPr>
          <w:rFonts w:cs="Arial"/>
          <w:szCs w:val="20"/>
        </w:rPr>
        <w:t>, then the resulting steps and activiti</w:t>
      </w:r>
      <w:r w:rsidRPr="008B6A06">
        <w:rPr>
          <w:rFonts w:cs="Arial"/>
          <w:szCs w:val="20"/>
        </w:rPr>
        <w:t>es are mandatory for the PM responsible during execution phase.</w:t>
      </w:r>
    </w:p>
    <w:p w14:paraId="48A2F4EE" w14:textId="454AA214" w:rsidR="00593165" w:rsidRDefault="005D542D">
      <w:bookmarkStart w:id="14" w:name="_1.3.2._Checking_and"/>
      <w:bookmarkEnd w:id="13"/>
      <w:bookmarkEnd w:id="14"/>
      <w:r>
        <w:rPr>
          <w:noProof/>
        </w:rPr>
        <w:lastRenderedPageBreak/>
        <w:drawing>
          <wp:inline distT="0" distB="0" distL="0" distR="0" wp14:anchorId="5B38BEA4" wp14:editId="41650DAB">
            <wp:extent cx="6403975" cy="46075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3975" cy="4607560"/>
                    </a:xfrm>
                    <a:prstGeom prst="rect">
                      <a:avLst/>
                    </a:prstGeom>
                  </pic:spPr>
                </pic:pic>
              </a:graphicData>
            </a:graphic>
          </wp:inline>
        </w:drawing>
      </w:r>
    </w:p>
    <w:p w14:paraId="54138125" w14:textId="5A64294C" w:rsidR="00C44085" w:rsidRDefault="008A356E" w:rsidP="008644EB">
      <w:pPr>
        <w:pStyle w:val="KeinAbsatzformat"/>
        <w:rPr>
          <w:lang w:val="en-US"/>
        </w:rPr>
      </w:pPr>
      <w:r>
        <w:rPr>
          <w:noProof/>
        </w:rPr>
        <w:lastRenderedPageBreak/>
        <w:drawing>
          <wp:inline distT="0" distB="0" distL="0" distR="0" wp14:anchorId="4F913089" wp14:editId="49FBD262">
            <wp:extent cx="6403975" cy="45707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3975" cy="4570730"/>
                    </a:xfrm>
                    <a:prstGeom prst="rect">
                      <a:avLst/>
                    </a:prstGeom>
                  </pic:spPr>
                </pic:pic>
              </a:graphicData>
            </a:graphic>
          </wp:inline>
        </w:drawing>
      </w:r>
    </w:p>
    <w:p w14:paraId="48A2F4FC" w14:textId="65F68138" w:rsidR="00593165" w:rsidRDefault="003175AA">
      <w:pPr>
        <w:rPr>
          <w:szCs w:val="20"/>
        </w:rPr>
      </w:pPr>
      <w:r>
        <w:rPr>
          <w:szCs w:val="20"/>
        </w:rPr>
        <w:t xml:space="preserve">The PM should involve the </w:t>
      </w:r>
      <w:r w:rsidR="00751FCB">
        <w:rPr>
          <w:szCs w:val="20"/>
        </w:rPr>
        <w:t>ACO</w:t>
      </w:r>
      <w:r>
        <w:rPr>
          <w:szCs w:val="20"/>
        </w:rPr>
        <w:t xml:space="preserve"> at any time during the project’s execution phase for matters related to risk analysis and mitigation.</w:t>
      </w:r>
      <w:r w:rsidR="00D51D06">
        <w:rPr>
          <w:szCs w:val="20"/>
        </w:rPr>
        <w:t xml:space="preserve"> </w:t>
      </w:r>
      <w:r w:rsidR="00D51D06">
        <w:rPr>
          <w:rFonts w:cs="Arial"/>
        </w:rPr>
        <w:t xml:space="preserve">During the project execution </w:t>
      </w:r>
      <w:proofErr w:type="gramStart"/>
      <w:r w:rsidR="00D51D06">
        <w:rPr>
          <w:rFonts w:cs="Arial"/>
        </w:rPr>
        <w:t>phase</w:t>
      </w:r>
      <w:proofErr w:type="gramEnd"/>
      <w:r w:rsidR="00D51D06">
        <w:rPr>
          <w:rFonts w:cs="Arial"/>
        </w:rPr>
        <w:t xml:space="preserve"> a project can be selected at any time as relevant for Compliance in project execution. </w:t>
      </w:r>
      <w:r w:rsidR="001D2263">
        <w:rPr>
          <w:szCs w:val="20"/>
        </w:rPr>
        <w:t>I</w:t>
      </w:r>
      <w:r w:rsidR="001D2263" w:rsidRPr="001D2263">
        <w:rPr>
          <w:szCs w:val="20"/>
        </w:rPr>
        <w:t xml:space="preserve">t is in the discretion of the </w:t>
      </w:r>
      <w:r w:rsidR="001D2263">
        <w:rPr>
          <w:szCs w:val="20"/>
        </w:rPr>
        <w:t>Compliance Officer</w:t>
      </w:r>
      <w:r w:rsidR="001D2263" w:rsidRPr="001D2263">
        <w:rPr>
          <w:szCs w:val="20"/>
        </w:rPr>
        <w:t xml:space="preserve"> to decide whether a proje</w:t>
      </w:r>
      <w:r w:rsidR="001D2263">
        <w:rPr>
          <w:szCs w:val="20"/>
        </w:rPr>
        <w:t>c</w:t>
      </w:r>
      <w:r w:rsidR="001D2263" w:rsidRPr="001D2263">
        <w:rPr>
          <w:szCs w:val="20"/>
        </w:rPr>
        <w:t xml:space="preserve">t is relevant for </w:t>
      </w:r>
      <w:r w:rsidR="001D2263">
        <w:rPr>
          <w:szCs w:val="20"/>
        </w:rPr>
        <w:t xml:space="preserve">the </w:t>
      </w:r>
      <w:r w:rsidR="001D2263" w:rsidRPr="001D2263">
        <w:rPr>
          <w:szCs w:val="20"/>
        </w:rPr>
        <w:t>execution</w:t>
      </w:r>
      <w:r w:rsidR="001D2263">
        <w:rPr>
          <w:szCs w:val="20"/>
        </w:rPr>
        <w:t xml:space="preserve"> phase or not. </w:t>
      </w:r>
    </w:p>
    <w:p w14:paraId="48A2F4FD" w14:textId="19974EFD" w:rsidR="00593165" w:rsidRDefault="003175AA">
      <w:pPr>
        <w:rPr>
          <w:szCs w:val="20"/>
        </w:rPr>
      </w:pPr>
      <w:r>
        <w:rPr>
          <w:szCs w:val="20"/>
        </w:rPr>
        <w:t xml:space="preserve">If </w:t>
      </w:r>
      <w:r w:rsidR="00D51D06">
        <w:rPr>
          <w:szCs w:val="20"/>
        </w:rPr>
        <w:t xml:space="preserve">the selection </w:t>
      </w:r>
      <w:r>
        <w:rPr>
          <w:szCs w:val="20"/>
        </w:rPr>
        <w:t xml:space="preserve">is made after PM100, the meeting specified in </w:t>
      </w:r>
      <w:bookmarkStart w:id="15" w:name="_Hlk49431077"/>
      <w:r w:rsidR="00EC0777">
        <w:rPr>
          <w:szCs w:val="20"/>
        </w:rPr>
        <w:fldChar w:fldCharType="begin"/>
      </w:r>
      <w:r w:rsidR="006A3FB2">
        <w:rPr>
          <w:szCs w:val="20"/>
        </w:rPr>
        <w:instrText>HYPERLINK  \l "_1.3.2.1._Measures_and"</w:instrText>
      </w:r>
      <w:r w:rsidR="00EC0777">
        <w:rPr>
          <w:szCs w:val="20"/>
        </w:rPr>
        <w:fldChar w:fldCharType="separate"/>
      </w:r>
      <w:r w:rsidR="00EC0777" w:rsidRPr="00EC0777">
        <w:rPr>
          <w:rStyle w:val="Hyperlink"/>
          <w:szCs w:val="20"/>
        </w:rPr>
        <w:t>H 1.3.</w:t>
      </w:r>
      <w:r w:rsidR="001D2263">
        <w:rPr>
          <w:rStyle w:val="Hyperlink"/>
          <w:szCs w:val="20"/>
        </w:rPr>
        <w:t>2</w:t>
      </w:r>
      <w:r w:rsidR="00EC0777" w:rsidRPr="00EC0777">
        <w:rPr>
          <w:rStyle w:val="Hyperlink"/>
          <w:szCs w:val="20"/>
        </w:rPr>
        <w:t>.1</w:t>
      </w:r>
      <w:r w:rsidR="00EC0777">
        <w:rPr>
          <w:szCs w:val="20"/>
        </w:rPr>
        <w:fldChar w:fldCharType="end"/>
      </w:r>
      <w:bookmarkEnd w:id="15"/>
      <w:r w:rsidR="00EC0777">
        <w:rPr>
          <w:szCs w:val="20"/>
        </w:rPr>
        <w:t>.</w:t>
      </w:r>
      <w:r>
        <w:rPr>
          <w:szCs w:val="20"/>
        </w:rPr>
        <w:t>must be held without delay. The meeting minutes should include the result of the review and must be included in the standard project documentation by the PM.</w:t>
      </w:r>
    </w:p>
    <w:p w14:paraId="15FCD910" w14:textId="45501054" w:rsidR="00513A1D" w:rsidRDefault="00513A1D" w:rsidP="00513A1D">
      <w:pPr>
        <w:spacing w:after="0" w:line="240" w:lineRule="auto"/>
        <w:rPr>
          <w:rFonts w:cs="Arial"/>
        </w:rPr>
      </w:pPr>
      <w:r w:rsidRPr="00513A1D">
        <w:rPr>
          <w:rFonts w:cs="Arial"/>
        </w:rPr>
        <w:t xml:space="preserve">Potential reasons which could lead to select a project as relevant for </w:t>
      </w:r>
      <w:proofErr w:type="spellStart"/>
      <w:r w:rsidRPr="00513A1D">
        <w:rPr>
          <w:rFonts w:cs="Arial"/>
        </w:rPr>
        <w:t>CiPE</w:t>
      </w:r>
      <w:proofErr w:type="spellEnd"/>
      <w:r w:rsidRPr="00513A1D">
        <w:rPr>
          <w:rFonts w:cs="Arial"/>
        </w:rPr>
        <w:t xml:space="preserve"> (after PM080) as a mandatory mitigation measure during</w:t>
      </w:r>
      <w:r w:rsidR="007D7D2F">
        <w:rPr>
          <w:rFonts w:cs="Arial"/>
        </w:rPr>
        <w:t xml:space="preserve"> </w:t>
      </w:r>
      <w:r w:rsidRPr="00513A1D">
        <w:rPr>
          <w:rFonts w:cs="Arial"/>
        </w:rPr>
        <w:t>the project execution phase can be for example:</w:t>
      </w:r>
    </w:p>
    <w:p w14:paraId="4B4DD51D" w14:textId="77777777" w:rsidR="00513A1D" w:rsidRPr="00513A1D" w:rsidRDefault="00513A1D" w:rsidP="00513A1D">
      <w:pPr>
        <w:pStyle w:val="KeinAbsatzformat"/>
        <w:rPr>
          <w:lang w:val="en-US"/>
        </w:rPr>
      </w:pPr>
    </w:p>
    <w:p w14:paraId="6FB4F02F" w14:textId="3E531FEF" w:rsidR="00D51D06" w:rsidRDefault="00D51D06" w:rsidP="00D51D06">
      <w:pPr>
        <w:pStyle w:val="Listenabsatz"/>
        <w:numPr>
          <w:ilvl w:val="0"/>
          <w:numId w:val="10"/>
        </w:numPr>
        <w:spacing w:after="0" w:line="240" w:lineRule="auto"/>
        <w:rPr>
          <w:rFonts w:cs="Arial"/>
        </w:rPr>
      </w:pPr>
      <w:r>
        <w:rPr>
          <w:rFonts w:cs="Arial"/>
        </w:rPr>
        <w:t>Compliance concerns made by the PM/CEO/CFO/Responsible Business Manager during project execution</w:t>
      </w:r>
    </w:p>
    <w:p w14:paraId="0B6F239A" w14:textId="77777777" w:rsidR="00D51D06" w:rsidRDefault="00D51D06" w:rsidP="00D51D06">
      <w:pPr>
        <w:pStyle w:val="Listenabsatz"/>
        <w:numPr>
          <w:ilvl w:val="0"/>
          <w:numId w:val="10"/>
        </w:numPr>
        <w:spacing w:after="0" w:line="240" w:lineRule="auto"/>
        <w:rPr>
          <w:rFonts w:cs="Arial"/>
        </w:rPr>
      </w:pPr>
      <w:r>
        <w:rPr>
          <w:rFonts w:cs="Arial"/>
        </w:rPr>
        <w:t>Business Partner</w:t>
      </w:r>
      <w:r>
        <w:rPr>
          <w:rStyle w:val="Funotenzeichen"/>
          <w:rFonts w:cs="Arial"/>
        </w:rPr>
        <w:footnoteReference w:id="13"/>
      </w:r>
      <w:r>
        <w:rPr>
          <w:rFonts w:cs="Arial"/>
        </w:rPr>
        <w:t xml:space="preserve"> shows increased risks (high-risk BP, BP "under observation", etc.) </w:t>
      </w:r>
    </w:p>
    <w:p w14:paraId="41B58D68" w14:textId="77777777" w:rsidR="00D51D06" w:rsidRDefault="00D51D06" w:rsidP="00D51D06">
      <w:pPr>
        <w:pStyle w:val="Listenabsatz"/>
        <w:numPr>
          <w:ilvl w:val="0"/>
          <w:numId w:val="10"/>
        </w:numPr>
        <w:spacing w:after="0" w:line="240" w:lineRule="auto"/>
        <w:rPr>
          <w:rFonts w:cs="Arial"/>
        </w:rPr>
      </w:pPr>
      <w:r>
        <w:rPr>
          <w:rFonts w:cs="Arial"/>
        </w:rPr>
        <w:t>Customer demands the involvement of a specific subcontractor or intermediary without plausible justification</w:t>
      </w:r>
    </w:p>
    <w:p w14:paraId="6CFEAD0A" w14:textId="19F4A14F" w:rsidR="00D51D06" w:rsidRDefault="00D51D06" w:rsidP="00D51D06">
      <w:pPr>
        <w:pStyle w:val="Listenabsatz"/>
        <w:numPr>
          <w:ilvl w:val="0"/>
          <w:numId w:val="10"/>
        </w:numPr>
        <w:spacing w:after="0" w:line="240" w:lineRule="auto"/>
        <w:rPr>
          <w:rFonts w:cs="Arial"/>
        </w:rPr>
      </w:pPr>
      <w:r>
        <w:rPr>
          <w:rFonts w:cs="Arial"/>
        </w:rPr>
        <w:t xml:space="preserve">Risks or concerns raised </w:t>
      </w:r>
      <w:proofErr w:type="gramStart"/>
      <w:r>
        <w:rPr>
          <w:rFonts w:cs="Arial"/>
        </w:rPr>
        <w:t>as a result of</w:t>
      </w:r>
      <w:proofErr w:type="gramEnd"/>
      <w:r>
        <w:rPr>
          <w:rFonts w:cs="Arial"/>
        </w:rPr>
        <w:t xml:space="preserve"> an </w:t>
      </w:r>
      <w:r w:rsidR="001369D8">
        <w:rPr>
          <w:rFonts w:cs="Arial"/>
        </w:rPr>
        <w:t>internal or external audit</w:t>
      </w:r>
    </w:p>
    <w:p w14:paraId="014145CF" w14:textId="77777777" w:rsidR="00D51D06" w:rsidRDefault="00D51D06" w:rsidP="00D51D06">
      <w:pPr>
        <w:pStyle w:val="Listenabsatz"/>
        <w:numPr>
          <w:ilvl w:val="0"/>
          <w:numId w:val="10"/>
        </w:numPr>
        <w:spacing w:after="0" w:line="240" w:lineRule="auto"/>
        <w:rPr>
          <w:rFonts w:cs="Arial"/>
        </w:rPr>
      </w:pPr>
      <w:r>
        <w:rPr>
          <w:rFonts w:cs="Arial"/>
        </w:rPr>
        <w:lastRenderedPageBreak/>
        <w:t>Compliance investigation mandate related to the project</w:t>
      </w:r>
    </w:p>
    <w:p w14:paraId="401FBC57" w14:textId="1796B975" w:rsidR="00D51D06" w:rsidRDefault="00D51D06" w:rsidP="00D51D06">
      <w:pPr>
        <w:pStyle w:val="Listenabsatz"/>
        <w:numPr>
          <w:ilvl w:val="0"/>
          <w:numId w:val="10"/>
        </w:numPr>
        <w:spacing w:after="0" w:line="240" w:lineRule="auto"/>
        <w:rPr>
          <w:rFonts w:cs="Arial"/>
        </w:rPr>
      </w:pPr>
      <w:r w:rsidRPr="00D8097B">
        <w:t>AML Red Flags</w:t>
      </w:r>
      <w:r>
        <w:rPr>
          <w:szCs w:val="20"/>
        </w:rPr>
        <w:t xml:space="preserve"> </w:t>
      </w:r>
      <w:r w:rsidR="006A3FB2">
        <w:rPr>
          <w:szCs w:val="20"/>
        </w:rPr>
        <w:t>(</w:t>
      </w:r>
      <w:hyperlink r:id="rId39" w:history="1">
        <w:r w:rsidR="006A3FB2" w:rsidRPr="006A3FB2">
          <w:rPr>
            <w:rStyle w:val="Hyperlink"/>
            <w:szCs w:val="20"/>
          </w:rPr>
          <w:t xml:space="preserve">chapter </w:t>
        </w:r>
        <w:r w:rsidRPr="006A3FB2">
          <w:rPr>
            <w:rStyle w:val="Hyperlink"/>
            <w:szCs w:val="20"/>
          </w:rPr>
          <w:t>C 1</w:t>
        </w:r>
      </w:hyperlink>
      <w:r w:rsidR="006A3FB2">
        <w:rPr>
          <w:szCs w:val="20"/>
        </w:rPr>
        <w:t>)</w:t>
      </w:r>
      <w:r>
        <w:rPr>
          <w:szCs w:val="20"/>
        </w:rPr>
        <w:t xml:space="preserve"> </w:t>
      </w:r>
      <w:r>
        <w:rPr>
          <w:rFonts w:cs="Arial"/>
        </w:rPr>
        <w:t>arises</w:t>
      </w:r>
    </w:p>
    <w:p w14:paraId="48A2F4FE" w14:textId="217A2552" w:rsidR="00593165" w:rsidRDefault="003175AA">
      <w:pPr>
        <w:pStyle w:val="berschrift3"/>
        <w:spacing w:after="240"/>
        <w:jc w:val="both"/>
      </w:pPr>
      <w:bookmarkStart w:id="16" w:name="_1.3.2._Measures_for"/>
      <w:bookmarkEnd w:id="16"/>
      <w:r>
        <w:t>1.3.</w:t>
      </w:r>
      <w:r w:rsidR="00465CF9">
        <w:t>2</w:t>
      </w:r>
      <w:r>
        <w:t>. Measures for the identification and mitigation of Compliance risks</w:t>
      </w:r>
    </w:p>
    <w:p w14:paraId="48A2F4FF" w14:textId="603E2432" w:rsidR="00593165" w:rsidRDefault="003175AA">
      <w:pPr>
        <w:rPr>
          <w:rFonts w:cs="Arial"/>
        </w:rPr>
      </w:pPr>
      <w:r>
        <w:rPr>
          <w:rFonts w:cs="Arial"/>
        </w:rPr>
        <w:t xml:space="preserve">For projects </w:t>
      </w:r>
      <w:r w:rsidR="00751FCB">
        <w:rPr>
          <w:rFonts w:cs="Arial"/>
        </w:rPr>
        <w:t>selected</w:t>
      </w:r>
      <w:r w:rsidR="00465CF9">
        <w:rPr>
          <w:rFonts w:cs="Arial"/>
        </w:rPr>
        <w:t xml:space="preserve"> </w:t>
      </w:r>
      <w:r>
        <w:rPr>
          <w:rFonts w:cs="Arial"/>
        </w:rPr>
        <w:t xml:space="preserve">as relevant for Compliance in project execution according to this </w:t>
      </w:r>
      <w:r w:rsidR="00D8097B" w:rsidRPr="003118CC">
        <w:rPr>
          <w:rFonts w:cs="Arial"/>
        </w:rPr>
        <w:t>h</w:t>
      </w:r>
      <w:r w:rsidR="00D8097B">
        <w:rPr>
          <w:rFonts w:cs="Arial"/>
        </w:rPr>
        <w:t>andbook chapter</w:t>
      </w:r>
      <w:r>
        <w:rPr>
          <w:rFonts w:cs="Arial"/>
        </w:rPr>
        <w:t>, the following measures are mandatory.</w:t>
      </w:r>
    </w:p>
    <w:p w14:paraId="208857DC" w14:textId="299F53E3" w:rsidR="00DB2CE2" w:rsidRPr="00DB2CE2" w:rsidRDefault="00DB2CE2" w:rsidP="00DB2CE2">
      <w:pPr>
        <w:pStyle w:val="KeinAbsatzformat"/>
        <w:rPr>
          <w:lang w:val="en-US"/>
        </w:rPr>
      </w:pPr>
      <w:r>
        <w:rPr>
          <w:noProof/>
        </w:rPr>
        <w:drawing>
          <wp:inline distT="0" distB="0" distL="0" distR="0" wp14:anchorId="6061F172" wp14:editId="3AC003EF">
            <wp:extent cx="6403975" cy="457073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3975" cy="4570730"/>
                    </a:xfrm>
                    <a:prstGeom prst="rect">
                      <a:avLst/>
                    </a:prstGeom>
                  </pic:spPr>
                </pic:pic>
              </a:graphicData>
            </a:graphic>
          </wp:inline>
        </w:drawing>
      </w:r>
    </w:p>
    <w:p w14:paraId="48A2F500" w14:textId="5AE7C65F" w:rsidR="00593165" w:rsidRDefault="003175AA">
      <w:pPr>
        <w:pStyle w:val="berschrift4"/>
      </w:pPr>
      <w:bookmarkStart w:id="17" w:name="_1.3.2.1._Measures_and"/>
      <w:bookmarkEnd w:id="17"/>
      <w:r>
        <w:t>1.3.</w:t>
      </w:r>
      <w:r w:rsidR="00465CF9">
        <w:t>2</w:t>
      </w:r>
      <w:r>
        <w:t xml:space="preserve">.1. </w:t>
      </w:r>
      <w:r w:rsidR="000D6421">
        <w:t>Measures</w:t>
      </w:r>
      <w:r>
        <w:t xml:space="preserve"> </w:t>
      </w:r>
      <w:r w:rsidR="003D3299">
        <w:t xml:space="preserve">and process </w:t>
      </w:r>
      <w:r>
        <w:t>at the start of the project execution phase (PM100)</w:t>
      </w:r>
    </w:p>
    <w:p w14:paraId="48A2F501" w14:textId="77777777" w:rsidR="00593165" w:rsidRDefault="003175AA">
      <w:pPr>
        <w:rPr>
          <w:rFonts w:cs="Arial"/>
        </w:rPr>
      </w:pPr>
      <w:r>
        <w:rPr>
          <w:rFonts w:cs="Arial"/>
        </w:rPr>
        <w:t xml:space="preserve">Compliance risks and agreed upon measures for mitigation are documented in the project documentation according to </w:t>
      </w:r>
      <w:proofErr w:type="spellStart"/>
      <w:r>
        <w:rPr>
          <w:rFonts w:cs="Arial"/>
        </w:rPr>
        <w:t>PM@Siemens</w:t>
      </w:r>
      <w:proofErr w:type="spellEnd"/>
      <w:r>
        <w:rPr>
          <w:rFonts w:cs="Arial"/>
        </w:rPr>
        <w:t>.</w:t>
      </w:r>
    </w:p>
    <w:p w14:paraId="27455F8E" w14:textId="77ADF976" w:rsidR="007C1E7F" w:rsidRDefault="00587E08">
      <w:pPr>
        <w:rPr>
          <w:rFonts w:cs="Arial"/>
        </w:rPr>
      </w:pPr>
      <w:r w:rsidRPr="00513A1D">
        <w:rPr>
          <w:rStyle w:val="berschrift5Zchn"/>
        </w:rPr>
        <w:t>Compliance Meeting</w:t>
      </w:r>
    </w:p>
    <w:p w14:paraId="48A2F503" w14:textId="27313EDD" w:rsidR="00593165" w:rsidRDefault="003175AA">
      <w:pPr>
        <w:rPr>
          <w:rFonts w:cs="Arial"/>
        </w:rPr>
      </w:pPr>
      <w:r>
        <w:rPr>
          <w:rFonts w:cs="Arial"/>
        </w:rPr>
        <w:t>The responsible CO initiates a meeting</w:t>
      </w:r>
      <w:r>
        <w:rPr>
          <w:rFonts w:cs="Arial"/>
          <w:color w:val="000000"/>
          <w:szCs w:val="20"/>
          <w:vertAlign w:val="superscript"/>
        </w:rPr>
        <w:footnoteReference w:id="14"/>
      </w:r>
      <w:r>
        <w:rPr>
          <w:rFonts w:cs="Arial"/>
        </w:rPr>
        <w:t xml:space="preserve"> with the PM at the start of the project execution. (If the project is designated after PM100, this meeting must be held without delay).</w:t>
      </w:r>
    </w:p>
    <w:p w14:paraId="48A2F505" w14:textId="238F1ECA" w:rsidR="00593165" w:rsidRDefault="003175AA">
      <w:pPr>
        <w:rPr>
          <w:rFonts w:cs="Arial"/>
          <w:sz w:val="18"/>
        </w:rPr>
      </w:pPr>
      <w:r>
        <w:rPr>
          <w:rFonts w:cs="Arial"/>
        </w:rPr>
        <w:lastRenderedPageBreak/>
        <w:t xml:space="preserve">The Compliance meeting should </w:t>
      </w:r>
      <w:r>
        <w:rPr>
          <w:szCs w:val="20"/>
        </w:rPr>
        <w:t>occur as follows</w:t>
      </w:r>
      <w:r>
        <w:rPr>
          <w:rFonts w:cs="Arial"/>
        </w:rPr>
        <w:t>:</w:t>
      </w:r>
    </w:p>
    <w:p w14:paraId="48A2F506" w14:textId="6AA854D6" w:rsidR="00593165" w:rsidRDefault="003175AA">
      <w:pPr>
        <w:pStyle w:val="Listenabsatz"/>
        <w:numPr>
          <w:ilvl w:val="0"/>
          <w:numId w:val="11"/>
        </w:numPr>
        <w:spacing w:after="0"/>
        <w:ind w:left="714" w:hanging="357"/>
        <w:rPr>
          <w:rFonts w:cs="Arial"/>
        </w:rPr>
      </w:pPr>
      <w:r>
        <w:rPr>
          <w:szCs w:val="20"/>
        </w:rPr>
        <w:t>Compliance relevant risks during the project execution phase should be identified and if applicable, it should be started to define measures to mitigate these risks. (These measures may include collective action activities such as Compliance and integrity pacts in consortia or special purpose vehicles)</w:t>
      </w:r>
      <w:r>
        <w:rPr>
          <w:rFonts w:cs="Arial"/>
        </w:rPr>
        <w:t>.</w:t>
      </w:r>
    </w:p>
    <w:p w14:paraId="580B0C9B" w14:textId="77777777" w:rsidR="00CF2475" w:rsidRPr="00CF2475" w:rsidRDefault="00546BB7">
      <w:pPr>
        <w:pStyle w:val="Listenabsatz"/>
        <w:numPr>
          <w:ilvl w:val="0"/>
          <w:numId w:val="11"/>
        </w:numPr>
        <w:spacing w:after="0"/>
        <w:ind w:left="714" w:hanging="357"/>
        <w:rPr>
          <w:rFonts w:cs="Arial"/>
        </w:rPr>
      </w:pPr>
      <w:r w:rsidRPr="00CF2475">
        <w:rPr>
          <w:szCs w:val="20"/>
        </w:rPr>
        <w:t xml:space="preserve">The </w:t>
      </w:r>
      <w:hyperlink r:id="rId40" w:history="1">
        <w:r w:rsidR="00CF2475" w:rsidRPr="00CF2475">
          <w:rPr>
            <w:rStyle w:val="Hyperlink"/>
            <w:szCs w:val="20"/>
          </w:rPr>
          <w:t>Project Compliance Risk Landscape</w:t>
        </w:r>
      </w:hyperlink>
      <w:r w:rsidR="00CF2475" w:rsidRPr="00CF2475">
        <w:rPr>
          <w:szCs w:val="20"/>
        </w:rPr>
        <w:t xml:space="preserve"> </w:t>
      </w:r>
      <w:r w:rsidR="00CF2475">
        <w:rPr>
          <w:szCs w:val="20"/>
        </w:rPr>
        <w:t>can be used to support the risk analysis.</w:t>
      </w:r>
    </w:p>
    <w:p w14:paraId="48A2F508" w14:textId="3779D5C7" w:rsidR="00593165" w:rsidRDefault="003175AA">
      <w:pPr>
        <w:pStyle w:val="Listenabsatz"/>
        <w:numPr>
          <w:ilvl w:val="0"/>
          <w:numId w:val="11"/>
        </w:numPr>
        <w:spacing w:after="0"/>
        <w:ind w:left="714" w:hanging="357"/>
        <w:rPr>
          <w:rFonts w:cs="Arial"/>
        </w:rPr>
      </w:pPr>
      <w:r>
        <w:rPr>
          <w:rFonts w:cs="Arial"/>
        </w:rPr>
        <w:t>To ensure the project adheres to local country Compliance requirements, the local CO of the project</w:t>
      </w:r>
      <w:r w:rsidR="00546BB7">
        <w:rPr>
          <w:rFonts w:cs="Arial"/>
        </w:rPr>
        <w:t>`</w:t>
      </w:r>
      <w:r>
        <w:rPr>
          <w:rFonts w:cs="Arial"/>
        </w:rPr>
        <w:t>s location should also be involved.</w:t>
      </w:r>
    </w:p>
    <w:p w14:paraId="48A2F509" w14:textId="7E4EE109" w:rsidR="00593165" w:rsidRPr="00237970" w:rsidRDefault="003175AA">
      <w:pPr>
        <w:rPr>
          <w:rStyle w:val="berschrift5Zchn"/>
        </w:rPr>
      </w:pPr>
      <w:r w:rsidRPr="00237970">
        <w:rPr>
          <w:rStyle w:val="berschrift5Zchn"/>
        </w:rPr>
        <w:t>Results/Monitoring</w:t>
      </w:r>
    </w:p>
    <w:p w14:paraId="48A2F50A" w14:textId="77777777" w:rsidR="00593165" w:rsidRDefault="003175AA">
      <w:pPr>
        <w:rPr>
          <w:rFonts w:cs="Arial"/>
        </w:rPr>
      </w:pPr>
      <w:r>
        <w:rPr>
          <w:rFonts w:cs="Arial"/>
        </w:rPr>
        <w:t>The PM will include the results (e.g. risk mitigation measures, names of responsible persons, and timelines/due dates) of this meeting in the project documentation</w:t>
      </w:r>
    </w:p>
    <w:p w14:paraId="48A2F50C" w14:textId="793B5CAC" w:rsidR="00593165" w:rsidRDefault="003175AA">
      <w:pPr>
        <w:pStyle w:val="berschrift4"/>
      </w:pPr>
      <w:r>
        <w:t>1.3.</w:t>
      </w:r>
      <w:r w:rsidR="00465CF9">
        <w:t>2</w:t>
      </w:r>
      <w:r>
        <w:t xml:space="preserve">.2. </w:t>
      </w:r>
      <w:r w:rsidR="000D6421">
        <w:t>C</w:t>
      </w:r>
      <w:r>
        <w:t xml:space="preserve">ontinuous </w:t>
      </w:r>
      <w:r w:rsidR="000D6421">
        <w:t>m</w:t>
      </w:r>
      <w:r>
        <w:t>onitor</w:t>
      </w:r>
      <w:r w:rsidR="000D6421">
        <w:t>ing</w:t>
      </w:r>
      <w:r>
        <w:t xml:space="preserve"> and </w:t>
      </w:r>
      <w:r w:rsidR="000D6421">
        <w:t>r</w:t>
      </w:r>
      <w:r>
        <w:t>evaluat</w:t>
      </w:r>
      <w:r w:rsidR="000D6421">
        <w:t>ion by PM</w:t>
      </w:r>
    </w:p>
    <w:p w14:paraId="48A2F50D" w14:textId="77777777" w:rsidR="00593165" w:rsidRDefault="003175AA">
      <w:pPr>
        <w:rPr>
          <w:rFonts w:cs="Arial"/>
        </w:rPr>
      </w:pPr>
      <w:r>
        <w:rPr>
          <w:szCs w:val="20"/>
        </w:rPr>
        <w:t>The PM regularly monitors whether the Compliance risks identified at the start of the project execution phase still exist or whether they have changed. This is done both ad-hoc and in line with the regular risk management cycle for projects</w:t>
      </w:r>
      <w:r>
        <w:rPr>
          <w:rFonts w:cs="Arial"/>
        </w:rPr>
        <w:t>.</w:t>
      </w:r>
    </w:p>
    <w:p w14:paraId="48A2F50E" w14:textId="77777777" w:rsidR="00593165" w:rsidRDefault="003175AA">
      <w:pPr>
        <w:rPr>
          <w:rFonts w:cs="Arial"/>
        </w:rPr>
      </w:pPr>
      <w:r>
        <w:rPr>
          <w:rFonts w:cs="Arial"/>
        </w:rPr>
        <w:t>If a new Compliance related risk arises or an existing risk changes (or no longer applies), the PM notifies the CO and responsible business manager for agreement on adequate mitigation measures.</w:t>
      </w:r>
    </w:p>
    <w:p w14:paraId="48A2F50F" w14:textId="77777777" w:rsidR="00593165" w:rsidRDefault="003175AA">
      <w:pPr>
        <w:rPr>
          <w:rFonts w:cs="Arial"/>
        </w:rPr>
      </w:pPr>
      <w:r>
        <w:rPr>
          <w:rFonts w:cs="Arial"/>
        </w:rPr>
        <w:t>The PM also regularly checks that the agreed upon mitigation measures are effective or still adequate and adjusts the measures accordingly if required.</w:t>
      </w:r>
    </w:p>
    <w:p w14:paraId="48A2F510" w14:textId="77777777" w:rsidR="00593165" w:rsidRPr="00687726" w:rsidRDefault="003175AA" w:rsidP="00687726">
      <w:pPr>
        <w:rPr>
          <w:rStyle w:val="berschrift5Zchn"/>
          <w:b w:val="0"/>
        </w:rPr>
      </w:pPr>
      <w:r w:rsidRPr="00687726">
        <w:rPr>
          <w:rStyle w:val="berschrift5Zchn"/>
        </w:rPr>
        <w:t>Results/Monitoring</w:t>
      </w:r>
    </w:p>
    <w:p w14:paraId="48A2F511" w14:textId="755F2DBD" w:rsidR="00593165" w:rsidRDefault="003175AA">
      <w:pPr>
        <w:rPr>
          <w:rFonts w:cs="Arial"/>
        </w:rPr>
      </w:pPr>
      <w:r>
        <w:rPr>
          <w:rFonts w:cs="Arial"/>
        </w:rPr>
        <w:t>The PM provides evidence of the completed Compliance measures in the project documentation. The PM also provides the results of the evaluation in the standard “Q-Gate” documentation and informs the responsible CO.</w:t>
      </w:r>
    </w:p>
    <w:p w14:paraId="48A2F512" w14:textId="5F6AA438" w:rsidR="00593165" w:rsidRDefault="003175AA">
      <w:pPr>
        <w:pStyle w:val="berschrift4"/>
      </w:pPr>
      <w:r>
        <w:t>1.3.</w:t>
      </w:r>
      <w:r w:rsidR="00465CF9">
        <w:t>2</w:t>
      </w:r>
      <w:r>
        <w:t>.3. Review of project risks on project acceptance (PM600)</w:t>
      </w:r>
    </w:p>
    <w:p w14:paraId="48A2F513" w14:textId="4B6EDBA2" w:rsidR="00593165" w:rsidRDefault="003175AA">
      <w:pPr>
        <w:rPr>
          <w:rFonts w:cs="Arial"/>
        </w:rPr>
      </w:pPr>
      <w:r>
        <w:rPr>
          <w:rFonts w:cs="Arial"/>
        </w:rPr>
        <w:t xml:space="preserve">Prior to the PM600, the PM initiates a mandatory discussion with the responsible CO. The purpose of this meeting is to review the risk analysis </w:t>
      </w:r>
      <w:hyperlink w:anchor="_1.3.2.1._Measures_and" w:history="1">
        <w:r w:rsidR="00BC3FE7" w:rsidRPr="00EC0777">
          <w:rPr>
            <w:rStyle w:val="Hyperlink"/>
            <w:szCs w:val="20"/>
          </w:rPr>
          <w:t>H 1.3.</w:t>
        </w:r>
        <w:r w:rsidR="00E919C9">
          <w:rPr>
            <w:rStyle w:val="Hyperlink"/>
            <w:szCs w:val="20"/>
          </w:rPr>
          <w:t>2</w:t>
        </w:r>
        <w:r w:rsidR="00BC3FE7" w:rsidRPr="00EC0777">
          <w:rPr>
            <w:rStyle w:val="Hyperlink"/>
            <w:szCs w:val="20"/>
          </w:rPr>
          <w:t>.1</w:t>
        </w:r>
      </w:hyperlink>
      <w:r w:rsidR="00BC3FE7">
        <w:rPr>
          <w:szCs w:val="20"/>
        </w:rPr>
        <w:t>.</w:t>
      </w:r>
      <w:r w:rsidR="00BC3FE7" w:rsidDel="00EA5669">
        <w:rPr>
          <w:rFonts w:cs="Arial"/>
        </w:rPr>
        <w:t xml:space="preserve"> </w:t>
      </w:r>
      <w:proofErr w:type="gramStart"/>
      <w:r>
        <w:rPr>
          <w:rFonts w:cs="Arial"/>
        </w:rPr>
        <w:t>with regard to</w:t>
      </w:r>
      <w:proofErr w:type="gramEnd"/>
      <w:r>
        <w:rPr>
          <w:rFonts w:cs="Arial"/>
        </w:rPr>
        <w:t xml:space="preserve"> the upcoming project’s acceptance and define additional mitigation measures when necessary. Particularly emphasis should be on the acceptance tests and decision-making process within the customer acceptance framework.</w:t>
      </w:r>
    </w:p>
    <w:p w14:paraId="48A2F514" w14:textId="77777777" w:rsidR="00593165" w:rsidRDefault="003175AA">
      <w:pPr>
        <w:rPr>
          <w:rFonts w:cs="Arial"/>
        </w:rPr>
      </w:pPr>
      <w:r>
        <w:rPr>
          <w:rFonts w:cs="Arial"/>
        </w:rPr>
        <w:t>At least the following topics</w:t>
      </w:r>
      <w:r>
        <w:rPr>
          <w:rFonts w:cs="Arial"/>
          <w:color w:val="000000"/>
          <w:szCs w:val="20"/>
          <w:vertAlign w:val="superscript"/>
        </w:rPr>
        <w:footnoteReference w:id="15"/>
      </w:r>
      <w:r>
        <w:rPr>
          <w:rFonts w:cs="Arial"/>
        </w:rPr>
        <w:t xml:space="preserve"> should be covered:</w:t>
      </w:r>
    </w:p>
    <w:p w14:paraId="48A2F515" w14:textId="77777777" w:rsidR="00593165" w:rsidRDefault="003175AA">
      <w:pPr>
        <w:pStyle w:val="Listenabsatz"/>
        <w:numPr>
          <w:ilvl w:val="0"/>
          <w:numId w:val="18"/>
        </w:numPr>
        <w:spacing w:after="0" w:line="240" w:lineRule="auto"/>
        <w:rPr>
          <w:rFonts w:cs="Arial"/>
          <w:szCs w:val="20"/>
        </w:rPr>
      </w:pPr>
      <w:r>
        <w:rPr>
          <w:rFonts w:cs="Arial"/>
          <w:szCs w:val="20"/>
        </w:rPr>
        <w:t>Is there any indication that an employee of the customer will demand an unjust advantage (e.g. cash payment or other benefit) in exchange for signing the customer acceptance documents?</w:t>
      </w:r>
    </w:p>
    <w:p w14:paraId="48A2F516" w14:textId="77777777" w:rsidR="00593165" w:rsidRDefault="003175AA">
      <w:pPr>
        <w:pStyle w:val="Listenabsatz"/>
        <w:numPr>
          <w:ilvl w:val="0"/>
          <w:numId w:val="18"/>
        </w:numPr>
        <w:spacing w:after="0" w:line="240" w:lineRule="auto"/>
        <w:rPr>
          <w:rFonts w:cs="Arial"/>
          <w:szCs w:val="20"/>
        </w:rPr>
      </w:pPr>
      <w:r>
        <w:rPr>
          <w:rFonts w:cs="Arial"/>
          <w:szCs w:val="20"/>
        </w:rPr>
        <w:t>Is there any indication that an employee of the customer will demand and unjust advantage for proceeding with the customer acceptance even though the technical specifications or test results do not yet fulfill Siemens’ contractual obligations?</w:t>
      </w:r>
    </w:p>
    <w:p w14:paraId="48A2F517" w14:textId="77777777" w:rsidR="00593165" w:rsidRDefault="003175AA">
      <w:pPr>
        <w:pStyle w:val="Listenabsatz"/>
        <w:numPr>
          <w:ilvl w:val="0"/>
          <w:numId w:val="18"/>
        </w:numPr>
        <w:spacing w:after="0" w:line="240" w:lineRule="auto"/>
        <w:rPr>
          <w:rFonts w:cs="Arial"/>
          <w:szCs w:val="20"/>
        </w:rPr>
      </w:pPr>
      <w:r>
        <w:rPr>
          <w:rFonts w:cs="Arial"/>
          <w:szCs w:val="20"/>
        </w:rPr>
        <w:t>Is there any indication that an employee of the customer is deliberately delaying the acceptance preparations for no valid reason and is demanding an unjust advantage in exchange for ending the delays?</w:t>
      </w:r>
    </w:p>
    <w:p w14:paraId="48A2F518" w14:textId="77777777" w:rsidR="00593165" w:rsidRDefault="003175AA">
      <w:pPr>
        <w:pStyle w:val="Listenabsatz"/>
        <w:numPr>
          <w:ilvl w:val="0"/>
          <w:numId w:val="18"/>
        </w:numPr>
        <w:spacing w:after="0" w:line="240" w:lineRule="auto"/>
        <w:rPr>
          <w:rFonts w:cs="Arial"/>
          <w:szCs w:val="20"/>
        </w:rPr>
      </w:pPr>
      <w:r>
        <w:rPr>
          <w:rFonts w:cs="Arial"/>
          <w:szCs w:val="20"/>
        </w:rPr>
        <w:lastRenderedPageBreak/>
        <w:t>Is there any scrap or excess material left over that could be misused to create slush funds or otherwise used inappropriately?</w:t>
      </w:r>
    </w:p>
    <w:p w14:paraId="48A2F519" w14:textId="77777777" w:rsidR="00593165" w:rsidRDefault="00593165">
      <w:pPr>
        <w:rPr>
          <w:rFonts w:cs="Arial"/>
          <w:szCs w:val="20"/>
        </w:rPr>
      </w:pPr>
    </w:p>
    <w:p w14:paraId="48A2F51A" w14:textId="77777777" w:rsidR="00593165" w:rsidRDefault="003175AA">
      <w:pPr>
        <w:rPr>
          <w:rFonts w:cs="Arial"/>
          <w:szCs w:val="20"/>
        </w:rPr>
      </w:pPr>
      <w:r>
        <w:rPr>
          <w:rFonts w:cs="Arial"/>
          <w:szCs w:val="20"/>
        </w:rPr>
        <w:t xml:space="preserve">In addition, the PM and responsible CO will perform a final check </w:t>
      </w:r>
      <w:proofErr w:type="gramStart"/>
      <w:r>
        <w:rPr>
          <w:rFonts w:cs="Arial"/>
          <w:szCs w:val="20"/>
        </w:rPr>
        <w:t>with regard to</w:t>
      </w:r>
      <w:proofErr w:type="gramEnd"/>
      <w:r>
        <w:rPr>
          <w:rFonts w:cs="Arial"/>
          <w:szCs w:val="20"/>
        </w:rPr>
        <w:t xml:space="preserve"> the implementation of previously defined mitigation measures.</w:t>
      </w:r>
    </w:p>
    <w:p w14:paraId="48A2F51B" w14:textId="77777777" w:rsidR="00593165" w:rsidRPr="00B958F7" w:rsidRDefault="003175AA" w:rsidP="00B958F7">
      <w:pPr>
        <w:rPr>
          <w:rStyle w:val="berschrift5Zchn"/>
          <w:b w:val="0"/>
        </w:rPr>
      </w:pPr>
      <w:r w:rsidRPr="00B958F7">
        <w:rPr>
          <w:rStyle w:val="berschrift5Zchn"/>
        </w:rPr>
        <w:t>Result/Monitoring</w:t>
      </w:r>
    </w:p>
    <w:p w14:paraId="48A2F51C" w14:textId="77777777" w:rsidR="00593165" w:rsidRDefault="003175AA">
      <w:pPr>
        <w:rPr>
          <w:rFonts w:cs="Arial"/>
          <w:szCs w:val="20"/>
        </w:rPr>
      </w:pPr>
      <w:r>
        <w:rPr>
          <w:rFonts w:cs="Arial"/>
          <w:szCs w:val="20"/>
        </w:rPr>
        <w:t>The PM will include the result of the review in the meeting minutes and the final evidence of the Compliance measures in the project documentation at PM650.</w:t>
      </w:r>
    </w:p>
    <w:p w14:paraId="48A2F51D" w14:textId="5EDA41F1" w:rsidR="00593165" w:rsidRDefault="003175AA">
      <w:pPr>
        <w:pStyle w:val="berschrift4"/>
      </w:pPr>
      <w:r>
        <w:t>1.3.</w:t>
      </w:r>
      <w:r w:rsidR="00465CF9">
        <w:t>2</w:t>
      </w:r>
      <w:r>
        <w:t>.4. Further measures</w:t>
      </w:r>
    </w:p>
    <w:p w14:paraId="48A2F51E" w14:textId="51BB6309" w:rsidR="00593165" w:rsidRDefault="003175AA">
      <w:r>
        <w:rPr>
          <w:rFonts w:cs="Arial"/>
        </w:rPr>
        <w:t xml:space="preserve">At any time during the project execution, the PM and responsible CO can define further joint measures in the addition to the activities in sections </w:t>
      </w:r>
      <w:hyperlink w:anchor="_1.3.2._Measures_for" w:history="1">
        <w:r w:rsidR="00623D64">
          <w:rPr>
            <w:rStyle w:val="Hyperlink"/>
            <w:szCs w:val="20"/>
          </w:rPr>
          <w:t>H 1.3.2.</w:t>
        </w:r>
      </w:hyperlink>
      <w:r w:rsidR="00BC3FE7" w:rsidRPr="00513A1D">
        <w:t>.</w:t>
      </w:r>
    </w:p>
    <w:p w14:paraId="48A2F520" w14:textId="05DD3A97" w:rsidR="00593165" w:rsidRDefault="003175AA">
      <w:pPr>
        <w:pStyle w:val="berschrift2"/>
        <w:numPr>
          <w:ilvl w:val="1"/>
          <w:numId w:val="7"/>
        </w:numPr>
      </w:pPr>
      <w:r>
        <w:t xml:space="preserve">Factors for </w:t>
      </w:r>
      <w:r w:rsidR="00513A1D">
        <w:t xml:space="preserve">the selection </w:t>
      </w:r>
      <w:r>
        <w:t>of projects</w:t>
      </w:r>
      <w:r w:rsidR="00623D64">
        <w:t xml:space="preserve"> for </w:t>
      </w:r>
      <w:proofErr w:type="spellStart"/>
      <w:r w:rsidR="00623D64">
        <w:t>CiPE</w:t>
      </w:r>
      <w:proofErr w:type="spellEnd"/>
      <w:r>
        <w:t xml:space="preserve"> </w:t>
      </w:r>
    </w:p>
    <w:p w14:paraId="48A2F521" w14:textId="77777777" w:rsidR="00593165" w:rsidRDefault="00593165">
      <w:pPr>
        <w:spacing w:after="120"/>
        <w:contextualSpacing/>
        <w:rPr>
          <w:rFonts w:cs="Arial"/>
          <w:color w:val="000000"/>
          <w:szCs w:val="20"/>
        </w:rPr>
      </w:pPr>
    </w:p>
    <w:tbl>
      <w:tblPr>
        <w:tblStyle w:val="Tabellenraster1"/>
        <w:tblW w:w="0" w:type="auto"/>
        <w:tblLook w:val="04A0" w:firstRow="1" w:lastRow="0" w:firstColumn="1" w:lastColumn="0" w:noHBand="0" w:noVBand="1"/>
      </w:tblPr>
      <w:tblGrid>
        <w:gridCol w:w="495"/>
        <w:gridCol w:w="3582"/>
        <w:gridCol w:w="4999"/>
      </w:tblGrid>
      <w:tr w:rsidR="00593165" w14:paraId="48A2F525" w14:textId="77777777">
        <w:tc>
          <w:tcPr>
            <w:tcW w:w="495" w:type="dxa"/>
            <w:shd w:val="clear" w:color="auto" w:fill="CFD6DD" w:themeFill="text2" w:themeFillTint="66"/>
          </w:tcPr>
          <w:p w14:paraId="48A2F522" w14:textId="77777777" w:rsidR="00593165" w:rsidRDefault="00593165">
            <w:pPr>
              <w:spacing w:after="120"/>
              <w:contextualSpacing/>
              <w:rPr>
                <w:rFonts w:cs="Arial"/>
                <w:b/>
                <w:bCs/>
                <w:color w:val="000000"/>
                <w:sz w:val="24"/>
                <w:szCs w:val="20"/>
              </w:rPr>
            </w:pPr>
          </w:p>
        </w:tc>
        <w:tc>
          <w:tcPr>
            <w:tcW w:w="3582" w:type="dxa"/>
            <w:shd w:val="clear" w:color="auto" w:fill="CFD6DD" w:themeFill="text2" w:themeFillTint="66"/>
          </w:tcPr>
          <w:p w14:paraId="48A2F523" w14:textId="77777777" w:rsidR="00593165" w:rsidRDefault="003175AA">
            <w:pPr>
              <w:spacing w:after="120"/>
              <w:contextualSpacing/>
              <w:rPr>
                <w:rFonts w:cs="Arial"/>
                <w:b/>
                <w:bCs/>
                <w:color w:val="000000"/>
                <w:szCs w:val="20"/>
              </w:rPr>
            </w:pPr>
            <w:r>
              <w:rPr>
                <w:rFonts w:cs="Arial"/>
                <w:color w:val="000000"/>
                <w:szCs w:val="20"/>
              </w:rPr>
              <w:t>Criteria</w:t>
            </w:r>
          </w:p>
        </w:tc>
        <w:tc>
          <w:tcPr>
            <w:tcW w:w="4999" w:type="dxa"/>
            <w:shd w:val="clear" w:color="auto" w:fill="CFD6DD" w:themeFill="text2" w:themeFillTint="66"/>
          </w:tcPr>
          <w:p w14:paraId="48A2F524" w14:textId="77777777" w:rsidR="00593165" w:rsidRDefault="003175AA">
            <w:pPr>
              <w:spacing w:after="120"/>
              <w:contextualSpacing/>
              <w:rPr>
                <w:rFonts w:cs="Arial"/>
                <w:b/>
                <w:bCs/>
                <w:color w:val="000000"/>
                <w:szCs w:val="20"/>
              </w:rPr>
            </w:pPr>
            <w:r>
              <w:rPr>
                <w:rFonts w:cs="Arial"/>
                <w:color w:val="000000"/>
                <w:szCs w:val="20"/>
              </w:rPr>
              <w:t>Explanation</w:t>
            </w:r>
          </w:p>
        </w:tc>
      </w:tr>
      <w:tr w:rsidR="00593165" w14:paraId="48A2F52A" w14:textId="77777777">
        <w:trPr>
          <w:trHeight w:val="515"/>
        </w:trPr>
        <w:tc>
          <w:tcPr>
            <w:tcW w:w="495" w:type="dxa"/>
            <w:shd w:val="clear" w:color="auto" w:fill="CFD6DD" w:themeFill="text2" w:themeFillTint="66"/>
          </w:tcPr>
          <w:p w14:paraId="48A2F526" w14:textId="77777777" w:rsidR="00593165" w:rsidRDefault="003175AA">
            <w:pPr>
              <w:autoSpaceDE w:val="0"/>
              <w:autoSpaceDN w:val="0"/>
              <w:adjustRightInd w:val="0"/>
              <w:spacing w:before="60"/>
              <w:rPr>
                <w:rFonts w:cs="Arial"/>
                <w:bCs/>
                <w:szCs w:val="20"/>
              </w:rPr>
            </w:pPr>
            <w:r>
              <w:rPr>
                <w:rFonts w:cs="Arial"/>
                <w:szCs w:val="20"/>
              </w:rPr>
              <w:t>1.</w:t>
            </w:r>
          </w:p>
        </w:tc>
        <w:tc>
          <w:tcPr>
            <w:tcW w:w="3582" w:type="dxa"/>
          </w:tcPr>
          <w:p w14:paraId="48A2F527" w14:textId="77777777" w:rsidR="00593165" w:rsidRDefault="003175AA">
            <w:pPr>
              <w:autoSpaceDE w:val="0"/>
              <w:autoSpaceDN w:val="0"/>
              <w:adjustRightInd w:val="0"/>
              <w:spacing w:before="60"/>
              <w:rPr>
                <w:rFonts w:cs="Arial"/>
                <w:bCs/>
                <w:i/>
                <w:szCs w:val="20"/>
              </w:rPr>
            </w:pPr>
            <w:r>
              <w:rPr>
                <w:rFonts w:cs="Arial"/>
                <w:bCs/>
                <w:szCs w:val="20"/>
              </w:rPr>
              <w:t>Projects with project category “A”</w:t>
            </w:r>
          </w:p>
          <w:p w14:paraId="48A2F528" w14:textId="77777777" w:rsidR="00593165" w:rsidRDefault="00593165">
            <w:pPr>
              <w:spacing w:after="120"/>
              <w:contextualSpacing/>
              <w:rPr>
                <w:rFonts w:cs="Arial"/>
                <w:bCs/>
                <w:szCs w:val="20"/>
              </w:rPr>
            </w:pPr>
          </w:p>
        </w:tc>
        <w:tc>
          <w:tcPr>
            <w:tcW w:w="4999" w:type="dxa"/>
          </w:tcPr>
          <w:p w14:paraId="48A2F529" w14:textId="77777777" w:rsidR="00593165" w:rsidRDefault="003175AA">
            <w:pPr>
              <w:rPr>
                <w:rFonts w:cs="Arial"/>
                <w:bCs/>
                <w:i/>
                <w:szCs w:val="20"/>
              </w:rPr>
            </w:pPr>
            <w:r>
              <w:rPr>
                <w:rFonts w:cs="Arial"/>
                <w:bCs/>
                <w:i/>
                <w:szCs w:val="20"/>
              </w:rPr>
              <w:t xml:space="preserve">The project categorization is determined in the </w:t>
            </w:r>
            <w:proofErr w:type="spellStart"/>
            <w:r>
              <w:rPr>
                <w:rFonts w:cs="Arial"/>
                <w:bCs/>
                <w:i/>
                <w:szCs w:val="20"/>
              </w:rPr>
              <w:t>PM@Siemens</w:t>
            </w:r>
            <w:proofErr w:type="spellEnd"/>
            <w:r>
              <w:rPr>
                <w:rFonts w:cs="Arial"/>
                <w:bCs/>
                <w:i/>
                <w:szCs w:val="20"/>
              </w:rPr>
              <w:t xml:space="preserve"> </w:t>
            </w:r>
            <w:proofErr w:type="spellStart"/>
            <w:r>
              <w:rPr>
                <w:rFonts w:cs="Arial"/>
                <w:bCs/>
                <w:i/>
                <w:szCs w:val="20"/>
              </w:rPr>
              <w:t>LoA</w:t>
            </w:r>
            <w:proofErr w:type="spellEnd"/>
            <w:r>
              <w:rPr>
                <w:rFonts w:cs="Arial"/>
                <w:bCs/>
                <w:i/>
                <w:szCs w:val="20"/>
              </w:rPr>
              <w:t xml:space="preserve"> Tool.</w:t>
            </w:r>
          </w:p>
        </w:tc>
      </w:tr>
      <w:tr w:rsidR="00593165" w14:paraId="48A2F52E" w14:textId="77777777">
        <w:trPr>
          <w:trHeight w:val="510"/>
        </w:trPr>
        <w:tc>
          <w:tcPr>
            <w:tcW w:w="495" w:type="dxa"/>
            <w:shd w:val="clear" w:color="auto" w:fill="CFD6DD" w:themeFill="text2" w:themeFillTint="66"/>
          </w:tcPr>
          <w:p w14:paraId="48A2F52B" w14:textId="77777777" w:rsidR="00593165" w:rsidRDefault="003175AA">
            <w:pPr>
              <w:spacing w:after="120"/>
              <w:contextualSpacing/>
              <w:rPr>
                <w:rFonts w:cs="Arial"/>
                <w:bCs/>
                <w:szCs w:val="20"/>
              </w:rPr>
            </w:pPr>
            <w:r>
              <w:rPr>
                <w:rFonts w:cs="Arial"/>
                <w:szCs w:val="20"/>
              </w:rPr>
              <w:t>2.</w:t>
            </w:r>
          </w:p>
        </w:tc>
        <w:tc>
          <w:tcPr>
            <w:tcW w:w="3582" w:type="dxa"/>
          </w:tcPr>
          <w:p w14:paraId="48A2F52C" w14:textId="77777777" w:rsidR="00593165" w:rsidRDefault="003175AA">
            <w:pPr>
              <w:spacing w:after="120"/>
              <w:contextualSpacing/>
              <w:rPr>
                <w:rFonts w:cs="Arial"/>
                <w:bCs/>
                <w:szCs w:val="20"/>
              </w:rPr>
            </w:pPr>
            <w:r>
              <w:rPr>
                <w:rFonts w:cs="Arial"/>
                <w:bCs/>
                <w:szCs w:val="20"/>
              </w:rPr>
              <w:t xml:space="preserve">Projects with anti-corruption risk </w:t>
            </w:r>
            <w:r>
              <w:rPr>
                <w:rFonts w:cs="Arial"/>
                <w:bCs/>
                <w:szCs w:val="20"/>
              </w:rPr>
              <w:br/>
              <w:t>class 1 or 2</w:t>
            </w:r>
          </w:p>
        </w:tc>
        <w:tc>
          <w:tcPr>
            <w:tcW w:w="4999" w:type="dxa"/>
          </w:tcPr>
          <w:p w14:paraId="48A2F52D" w14:textId="77777777" w:rsidR="00593165" w:rsidRDefault="003175AA">
            <w:pPr>
              <w:rPr>
                <w:rFonts w:cs="Arial"/>
                <w:bCs/>
                <w:i/>
                <w:szCs w:val="20"/>
              </w:rPr>
            </w:pPr>
            <w:r>
              <w:rPr>
                <w:rFonts w:cs="Arial"/>
                <w:bCs/>
                <w:i/>
                <w:szCs w:val="20"/>
              </w:rPr>
              <w:t xml:space="preserve">The anti-corruption risk class is determined in the </w:t>
            </w:r>
            <w:proofErr w:type="spellStart"/>
            <w:r>
              <w:rPr>
                <w:rFonts w:cs="Arial"/>
                <w:bCs/>
                <w:i/>
                <w:szCs w:val="20"/>
              </w:rPr>
              <w:t>PM@Siemens</w:t>
            </w:r>
            <w:proofErr w:type="spellEnd"/>
            <w:r>
              <w:rPr>
                <w:rFonts w:cs="Arial"/>
                <w:bCs/>
                <w:i/>
                <w:szCs w:val="20"/>
              </w:rPr>
              <w:t xml:space="preserve"> </w:t>
            </w:r>
            <w:proofErr w:type="spellStart"/>
            <w:r>
              <w:rPr>
                <w:rFonts w:cs="Arial"/>
                <w:bCs/>
                <w:i/>
                <w:szCs w:val="20"/>
              </w:rPr>
              <w:t>LoA</w:t>
            </w:r>
            <w:proofErr w:type="spellEnd"/>
            <w:r>
              <w:rPr>
                <w:rFonts w:cs="Arial"/>
                <w:bCs/>
                <w:i/>
                <w:szCs w:val="20"/>
              </w:rPr>
              <w:t xml:space="preserve"> Tool.</w:t>
            </w:r>
          </w:p>
        </w:tc>
      </w:tr>
      <w:tr w:rsidR="00593165" w14:paraId="48A2F532" w14:textId="77777777">
        <w:tc>
          <w:tcPr>
            <w:tcW w:w="495" w:type="dxa"/>
            <w:shd w:val="clear" w:color="auto" w:fill="CFD6DD" w:themeFill="text2" w:themeFillTint="66"/>
          </w:tcPr>
          <w:p w14:paraId="48A2F52F" w14:textId="77777777" w:rsidR="00593165" w:rsidRDefault="003175AA">
            <w:pPr>
              <w:spacing w:after="120"/>
              <w:contextualSpacing/>
              <w:rPr>
                <w:rFonts w:cs="Arial"/>
                <w:bCs/>
                <w:szCs w:val="20"/>
              </w:rPr>
            </w:pPr>
            <w:r>
              <w:rPr>
                <w:rFonts w:cs="Arial"/>
                <w:szCs w:val="20"/>
              </w:rPr>
              <w:t>3.</w:t>
            </w:r>
          </w:p>
        </w:tc>
        <w:tc>
          <w:tcPr>
            <w:tcW w:w="3582" w:type="dxa"/>
          </w:tcPr>
          <w:p w14:paraId="48A2F530" w14:textId="77777777" w:rsidR="00593165" w:rsidRDefault="003175AA">
            <w:pPr>
              <w:spacing w:after="120"/>
              <w:contextualSpacing/>
              <w:rPr>
                <w:rFonts w:cs="Arial"/>
                <w:bCs/>
                <w:szCs w:val="20"/>
              </w:rPr>
            </w:pPr>
            <w:r>
              <w:rPr>
                <w:rFonts w:cs="Arial"/>
                <w:bCs/>
                <w:szCs w:val="20"/>
              </w:rPr>
              <w:t>Projects in high-risk countries outside the entity's own country</w:t>
            </w:r>
          </w:p>
        </w:tc>
        <w:tc>
          <w:tcPr>
            <w:tcW w:w="4999" w:type="dxa"/>
          </w:tcPr>
          <w:p w14:paraId="48A2F531" w14:textId="6724242B" w:rsidR="00593165" w:rsidRDefault="003175AA">
            <w:pPr>
              <w:rPr>
                <w:rFonts w:cs="Arial"/>
                <w:bCs/>
                <w:i/>
                <w:szCs w:val="20"/>
              </w:rPr>
            </w:pPr>
            <w:r>
              <w:rPr>
                <w:rFonts w:cs="Arial"/>
                <w:bCs/>
                <w:i/>
                <w:szCs w:val="20"/>
              </w:rPr>
              <w:t xml:space="preserve">Siemens Compliance country ratings (TI/CPI) is ≤ 42 and minimum one of the execution countries differs from the ARE country of the responsible Siemens entity (signing party). The Siemens Compliance </w:t>
            </w:r>
            <w:r w:rsidR="00976D0D">
              <w:rPr>
                <w:rFonts w:cs="Arial"/>
                <w:bCs/>
                <w:i/>
                <w:szCs w:val="20"/>
              </w:rPr>
              <w:t xml:space="preserve">Corruption </w:t>
            </w:r>
            <w:r>
              <w:rPr>
                <w:rFonts w:cs="Arial"/>
                <w:bCs/>
                <w:i/>
                <w:szCs w:val="20"/>
              </w:rPr>
              <w:t xml:space="preserve">country rating (TI/CPI) </w:t>
            </w:r>
            <w:r w:rsidR="00976D0D">
              <w:rPr>
                <w:rFonts w:cs="Arial"/>
                <w:bCs/>
                <w:i/>
                <w:szCs w:val="20"/>
              </w:rPr>
              <w:t>is stored</w:t>
            </w:r>
            <w:r>
              <w:rPr>
                <w:rFonts w:cs="Arial"/>
                <w:bCs/>
                <w:i/>
                <w:szCs w:val="20"/>
              </w:rPr>
              <w:t xml:space="preserve"> in the </w:t>
            </w:r>
            <w:proofErr w:type="spellStart"/>
            <w:r>
              <w:rPr>
                <w:rFonts w:cs="Arial"/>
                <w:bCs/>
                <w:i/>
                <w:szCs w:val="20"/>
              </w:rPr>
              <w:t>PM@Siemens</w:t>
            </w:r>
            <w:proofErr w:type="spellEnd"/>
            <w:r>
              <w:rPr>
                <w:rFonts w:cs="Arial"/>
                <w:bCs/>
                <w:i/>
                <w:szCs w:val="20"/>
              </w:rPr>
              <w:t xml:space="preserve"> </w:t>
            </w:r>
            <w:proofErr w:type="spellStart"/>
            <w:r>
              <w:rPr>
                <w:rFonts w:cs="Arial"/>
                <w:bCs/>
                <w:i/>
                <w:szCs w:val="20"/>
              </w:rPr>
              <w:t>LoA</w:t>
            </w:r>
            <w:proofErr w:type="spellEnd"/>
            <w:r>
              <w:rPr>
                <w:rFonts w:cs="Arial"/>
                <w:bCs/>
                <w:i/>
                <w:szCs w:val="20"/>
              </w:rPr>
              <w:t xml:space="preserve"> Tool</w:t>
            </w:r>
            <w:r>
              <w:rPr>
                <w:rFonts w:cs="Arial"/>
                <w:bCs/>
                <w:i/>
                <w:szCs w:val="20"/>
                <w:vertAlign w:val="superscript"/>
              </w:rPr>
              <w:footnoteReference w:id="16"/>
            </w:r>
            <w:r>
              <w:rPr>
                <w:rFonts w:cs="Arial"/>
                <w:bCs/>
                <w:i/>
                <w:szCs w:val="20"/>
              </w:rPr>
              <w:t>".</w:t>
            </w:r>
          </w:p>
        </w:tc>
      </w:tr>
      <w:tr w:rsidR="00593165" w14:paraId="48A2F536" w14:textId="77777777">
        <w:tc>
          <w:tcPr>
            <w:tcW w:w="495" w:type="dxa"/>
            <w:shd w:val="clear" w:color="auto" w:fill="CFD6DD" w:themeFill="text2" w:themeFillTint="66"/>
          </w:tcPr>
          <w:p w14:paraId="48A2F533" w14:textId="77777777" w:rsidR="00593165" w:rsidRDefault="003175AA">
            <w:pPr>
              <w:spacing w:after="120"/>
              <w:contextualSpacing/>
              <w:rPr>
                <w:rFonts w:cs="Arial"/>
                <w:bCs/>
                <w:szCs w:val="20"/>
              </w:rPr>
            </w:pPr>
            <w:r>
              <w:rPr>
                <w:rFonts w:cs="Arial"/>
                <w:szCs w:val="20"/>
              </w:rPr>
              <w:t>4.</w:t>
            </w:r>
          </w:p>
        </w:tc>
        <w:tc>
          <w:tcPr>
            <w:tcW w:w="3582" w:type="dxa"/>
          </w:tcPr>
          <w:p w14:paraId="48A2F534" w14:textId="34F28157" w:rsidR="00593165" w:rsidRDefault="003175AA">
            <w:pPr>
              <w:spacing w:after="120"/>
              <w:contextualSpacing/>
              <w:rPr>
                <w:rFonts w:cs="Arial"/>
                <w:bCs/>
                <w:szCs w:val="20"/>
              </w:rPr>
            </w:pPr>
            <w:r>
              <w:rPr>
                <w:rFonts w:cs="Arial"/>
                <w:bCs/>
                <w:szCs w:val="20"/>
              </w:rPr>
              <w:t xml:space="preserve">Projects with </w:t>
            </w:r>
            <w:r w:rsidR="00623D64">
              <w:rPr>
                <w:rFonts w:cs="Arial"/>
                <w:bCs/>
                <w:szCs w:val="20"/>
              </w:rPr>
              <w:t>A</w:t>
            </w:r>
            <w:r>
              <w:rPr>
                <w:rFonts w:cs="Arial"/>
                <w:bCs/>
                <w:szCs w:val="20"/>
              </w:rPr>
              <w:t>nti-</w:t>
            </w:r>
            <w:r w:rsidR="00623D64">
              <w:rPr>
                <w:rFonts w:cs="Arial"/>
                <w:bCs/>
                <w:szCs w:val="20"/>
              </w:rPr>
              <w:t>M</w:t>
            </w:r>
            <w:r>
              <w:rPr>
                <w:rFonts w:cs="Arial"/>
                <w:bCs/>
                <w:szCs w:val="20"/>
              </w:rPr>
              <w:t xml:space="preserve">oney </w:t>
            </w:r>
            <w:r w:rsidR="00623D64">
              <w:rPr>
                <w:rFonts w:cs="Arial"/>
                <w:bCs/>
                <w:szCs w:val="20"/>
              </w:rPr>
              <w:t>L</w:t>
            </w:r>
            <w:r>
              <w:rPr>
                <w:rFonts w:cs="Arial"/>
                <w:bCs/>
                <w:szCs w:val="20"/>
              </w:rPr>
              <w:t xml:space="preserve">aundering </w:t>
            </w:r>
            <w:r w:rsidR="00623D64">
              <w:rPr>
                <w:rFonts w:cs="Arial"/>
                <w:bCs/>
                <w:szCs w:val="20"/>
              </w:rPr>
              <w:t xml:space="preserve">Red Flags </w:t>
            </w:r>
            <w:r>
              <w:rPr>
                <w:rFonts w:cs="Arial"/>
                <w:bCs/>
                <w:szCs w:val="20"/>
              </w:rPr>
              <w:t>(AML</w:t>
            </w:r>
            <w:r w:rsidR="003902F3">
              <w:rPr>
                <w:rFonts w:cs="Arial"/>
                <w:bCs/>
                <w:szCs w:val="20"/>
              </w:rPr>
              <w:t xml:space="preserve"> </w:t>
            </w:r>
            <w:r w:rsidR="00D42F1D">
              <w:rPr>
                <w:rFonts w:cs="Arial"/>
                <w:bCs/>
                <w:szCs w:val="20"/>
              </w:rPr>
              <w:t>Red Flags</w:t>
            </w:r>
            <w:r w:rsidR="00623D64">
              <w:rPr>
                <w:rFonts w:cs="Arial"/>
                <w:bCs/>
                <w:szCs w:val="20"/>
              </w:rPr>
              <w:t>)</w:t>
            </w:r>
          </w:p>
        </w:tc>
        <w:tc>
          <w:tcPr>
            <w:tcW w:w="4999" w:type="dxa"/>
          </w:tcPr>
          <w:p w14:paraId="48A2F535" w14:textId="751DBD72" w:rsidR="00593165" w:rsidRDefault="00D42F1D">
            <w:pPr>
              <w:rPr>
                <w:rFonts w:cs="Arial"/>
                <w:bCs/>
                <w:i/>
                <w:szCs w:val="20"/>
              </w:rPr>
            </w:pPr>
            <w:r>
              <w:rPr>
                <w:rFonts w:cs="Arial"/>
                <w:bCs/>
                <w:i/>
                <w:szCs w:val="20"/>
              </w:rPr>
              <w:t xml:space="preserve">AML Red Flags are described in </w:t>
            </w:r>
            <w:hyperlink r:id="rId41" w:history="1">
              <w:r w:rsidR="00623D64" w:rsidRPr="003902F3">
                <w:rPr>
                  <w:rStyle w:val="Hyperlink"/>
                  <w:rFonts w:cs="Arial"/>
                  <w:bCs/>
                  <w:i/>
                  <w:szCs w:val="20"/>
                </w:rPr>
                <w:t xml:space="preserve">chapter </w:t>
              </w:r>
              <w:r w:rsidR="003902F3" w:rsidRPr="003902F3">
                <w:rPr>
                  <w:rStyle w:val="Hyperlink"/>
                  <w:rFonts w:cs="Arial"/>
                  <w:bCs/>
                  <w:i/>
                  <w:szCs w:val="20"/>
                </w:rPr>
                <w:t>C1</w:t>
              </w:r>
            </w:hyperlink>
            <w:r w:rsidR="003902F3">
              <w:rPr>
                <w:rFonts w:cs="Arial"/>
                <w:bCs/>
                <w:i/>
                <w:szCs w:val="20"/>
              </w:rPr>
              <w:t xml:space="preserve"> </w:t>
            </w:r>
          </w:p>
        </w:tc>
      </w:tr>
      <w:tr w:rsidR="00593165" w14:paraId="48A2F53B" w14:textId="77777777">
        <w:tc>
          <w:tcPr>
            <w:tcW w:w="495" w:type="dxa"/>
            <w:shd w:val="clear" w:color="auto" w:fill="CFD6DD" w:themeFill="text2" w:themeFillTint="66"/>
          </w:tcPr>
          <w:p w14:paraId="48A2F537" w14:textId="77777777" w:rsidR="00593165" w:rsidRDefault="003175AA">
            <w:pPr>
              <w:spacing w:after="120"/>
              <w:contextualSpacing/>
              <w:rPr>
                <w:rFonts w:cs="Arial"/>
                <w:bCs/>
                <w:szCs w:val="20"/>
              </w:rPr>
            </w:pPr>
            <w:r>
              <w:rPr>
                <w:rFonts w:cs="Arial"/>
                <w:szCs w:val="20"/>
              </w:rPr>
              <w:t>5.</w:t>
            </w:r>
          </w:p>
        </w:tc>
        <w:tc>
          <w:tcPr>
            <w:tcW w:w="3582" w:type="dxa"/>
          </w:tcPr>
          <w:p w14:paraId="48A2F538" w14:textId="77777777" w:rsidR="00593165" w:rsidRDefault="003175AA">
            <w:pPr>
              <w:spacing w:after="120"/>
              <w:contextualSpacing/>
              <w:rPr>
                <w:rFonts w:cs="Arial"/>
                <w:bCs/>
                <w:szCs w:val="20"/>
              </w:rPr>
            </w:pPr>
            <w:r>
              <w:rPr>
                <w:rFonts w:cs="Arial"/>
                <w:bCs/>
                <w:szCs w:val="20"/>
              </w:rPr>
              <w:t>Projects backed by a "national export credit guarantee" or financed wholly or partly by multilateral development banks or multilateral financial institutions</w:t>
            </w:r>
          </w:p>
        </w:tc>
        <w:tc>
          <w:tcPr>
            <w:tcW w:w="4999" w:type="dxa"/>
          </w:tcPr>
          <w:p w14:paraId="48A2F539" w14:textId="77777777" w:rsidR="00593165" w:rsidRDefault="003175AA">
            <w:pPr>
              <w:rPr>
                <w:rFonts w:cs="Arial"/>
                <w:bCs/>
                <w:i/>
                <w:szCs w:val="20"/>
              </w:rPr>
            </w:pPr>
            <w:r>
              <w:rPr>
                <w:rFonts w:cs="Arial"/>
                <w:bCs/>
                <w:i/>
                <w:szCs w:val="20"/>
              </w:rPr>
              <w:t xml:space="preserve">A definition of the relevant financial institutions is given in the </w:t>
            </w:r>
            <w:proofErr w:type="spellStart"/>
            <w:r>
              <w:rPr>
                <w:rFonts w:cs="Arial"/>
                <w:bCs/>
                <w:i/>
                <w:szCs w:val="20"/>
              </w:rPr>
              <w:t>PM@Siemens</w:t>
            </w:r>
            <w:proofErr w:type="spellEnd"/>
            <w:r>
              <w:rPr>
                <w:rFonts w:cs="Arial"/>
                <w:bCs/>
                <w:i/>
                <w:szCs w:val="20"/>
              </w:rPr>
              <w:t xml:space="preserve"> </w:t>
            </w:r>
            <w:proofErr w:type="spellStart"/>
            <w:r>
              <w:rPr>
                <w:rFonts w:cs="Arial"/>
                <w:bCs/>
                <w:i/>
                <w:szCs w:val="20"/>
              </w:rPr>
              <w:t>LoA</w:t>
            </w:r>
            <w:proofErr w:type="spellEnd"/>
            <w:r>
              <w:rPr>
                <w:rFonts w:cs="Arial"/>
                <w:bCs/>
                <w:i/>
                <w:szCs w:val="20"/>
              </w:rPr>
              <w:t xml:space="preserve"> Tool. The applicability is also determined there.</w:t>
            </w:r>
          </w:p>
          <w:p w14:paraId="48A2F53A" w14:textId="77777777" w:rsidR="00593165" w:rsidRDefault="00593165">
            <w:pPr>
              <w:spacing w:after="120"/>
              <w:contextualSpacing/>
              <w:rPr>
                <w:rFonts w:cs="Arial"/>
                <w:bCs/>
                <w:i/>
                <w:szCs w:val="20"/>
              </w:rPr>
            </w:pPr>
          </w:p>
        </w:tc>
      </w:tr>
      <w:tr w:rsidR="00593165" w14:paraId="48A2F541" w14:textId="77777777">
        <w:tc>
          <w:tcPr>
            <w:tcW w:w="495" w:type="dxa"/>
            <w:shd w:val="clear" w:color="auto" w:fill="CFD6DD" w:themeFill="text2" w:themeFillTint="66"/>
          </w:tcPr>
          <w:p w14:paraId="48A2F53C" w14:textId="77777777" w:rsidR="00593165" w:rsidRDefault="003175AA">
            <w:pPr>
              <w:jc w:val="both"/>
              <w:rPr>
                <w:rFonts w:cs="Arial"/>
                <w:bCs/>
                <w:szCs w:val="20"/>
              </w:rPr>
            </w:pPr>
            <w:r>
              <w:rPr>
                <w:rFonts w:cs="Arial"/>
                <w:szCs w:val="20"/>
              </w:rPr>
              <w:lastRenderedPageBreak/>
              <w:t>6.</w:t>
            </w:r>
          </w:p>
        </w:tc>
        <w:tc>
          <w:tcPr>
            <w:tcW w:w="3582" w:type="dxa"/>
          </w:tcPr>
          <w:p w14:paraId="48A2F53D" w14:textId="77777777" w:rsidR="00593165" w:rsidRDefault="003175AA">
            <w:pPr>
              <w:jc w:val="both"/>
              <w:rPr>
                <w:rFonts w:cs="Arial"/>
                <w:bCs/>
                <w:szCs w:val="20"/>
              </w:rPr>
            </w:pPr>
            <w:r>
              <w:rPr>
                <w:rFonts w:cs="Arial"/>
                <w:bCs/>
                <w:szCs w:val="20"/>
              </w:rPr>
              <w:t>Business Partners with red flags and BP CDDs</w:t>
            </w:r>
            <w:r>
              <w:rPr>
                <w:rFonts w:cs="Arial"/>
                <w:bCs/>
                <w:szCs w:val="20"/>
                <w:vertAlign w:val="superscript"/>
              </w:rPr>
              <w:footnoteReference w:id="17"/>
            </w:r>
            <w:r>
              <w:rPr>
                <w:rFonts w:cs="Arial"/>
                <w:bCs/>
                <w:szCs w:val="20"/>
              </w:rPr>
              <w:t xml:space="preserve"> "under observation"</w:t>
            </w:r>
          </w:p>
          <w:p w14:paraId="48A2F53E" w14:textId="77777777" w:rsidR="00593165" w:rsidRDefault="00593165">
            <w:pPr>
              <w:spacing w:after="120"/>
              <w:contextualSpacing/>
              <w:rPr>
                <w:rFonts w:cs="Arial"/>
                <w:bCs/>
                <w:szCs w:val="20"/>
              </w:rPr>
            </w:pPr>
          </w:p>
        </w:tc>
        <w:tc>
          <w:tcPr>
            <w:tcW w:w="4999" w:type="dxa"/>
          </w:tcPr>
          <w:p w14:paraId="48A2F53F" w14:textId="74969E99" w:rsidR="00593165" w:rsidRDefault="003175AA">
            <w:pPr>
              <w:rPr>
                <w:rFonts w:cs="Arial"/>
                <w:bCs/>
                <w:i/>
                <w:szCs w:val="20"/>
              </w:rPr>
            </w:pPr>
            <w:r>
              <w:rPr>
                <w:rFonts w:cs="Arial"/>
                <w:bCs/>
                <w:i/>
                <w:szCs w:val="20"/>
              </w:rPr>
              <w:t xml:space="preserve">The project involves a Business Partner that is currently designated as "under observation" in the </w:t>
            </w:r>
            <w:r w:rsidR="003118CC">
              <w:rPr>
                <w:rFonts w:cs="Arial"/>
                <w:bCs/>
                <w:i/>
                <w:szCs w:val="20"/>
              </w:rPr>
              <w:t>NextGen BPC-Tool (</w:t>
            </w:r>
            <w:r>
              <w:rPr>
                <w:rFonts w:cs="Arial"/>
                <w:bCs/>
                <w:i/>
                <w:szCs w:val="20"/>
              </w:rPr>
              <w:t>Business Partner Compliance tool</w:t>
            </w:r>
            <w:r w:rsidR="003118CC">
              <w:rPr>
                <w:rFonts w:cs="Arial"/>
                <w:bCs/>
                <w:i/>
                <w:szCs w:val="20"/>
              </w:rPr>
              <w:t>)</w:t>
            </w:r>
            <w:r>
              <w:rPr>
                <w:rFonts w:cs="Arial"/>
                <w:bCs/>
                <w:i/>
                <w:szCs w:val="20"/>
              </w:rPr>
              <w:t xml:space="preserve"> or to which red flags have been assigned. </w:t>
            </w:r>
          </w:p>
          <w:p w14:paraId="48A2F540" w14:textId="1BE5898E" w:rsidR="00593165" w:rsidRDefault="003175AA">
            <w:pPr>
              <w:rPr>
                <w:rFonts w:cs="Arial"/>
                <w:bCs/>
                <w:i/>
                <w:szCs w:val="20"/>
              </w:rPr>
            </w:pPr>
            <w:r>
              <w:rPr>
                <w:rFonts w:cs="Arial"/>
                <w:bCs/>
                <w:i/>
                <w:szCs w:val="20"/>
              </w:rPr>
              <w:t xml:space="preserve">The current categorization of the Business Partner is stored in the </w:t>
            </w:r>
            <w:r w:rsidR="003118CC">
              <w:rPr>
                <w:rFonts w:cs="Arial"/>
                <w:bCs/>
                <w:i/>
                <w:szCs w:val="20"/>
              </w:rPr>
              <w:t>NextGen BPC-Tool (</w:t>
            </w:r>
            <w:r>
              <w:rPr>
                <w:rFonts w:cs="Arial"/>
                <w:bCs/>
                <w:i/>
                <w:szCs w:val="20"/>
              </w:rPr>
              <w:t>Business Partner Compliance tool</w:t>
            </w:r>
            <w:r w:rsidR="003118CC">
              <w:rPr>
                <w:rFonts w:cs="Arial"/>
                <w:bCs/>
                <w:i/>
                <w:szCs w:val="20"/>
              </w:rPr>
              <w:t>)</w:t>
            </w:r>
            <w:r w:rsidR="0061110C">
              <w:rPr>
                <w:rFonts w:cs="Arial"/>
                <w:bCs/>
                <w:i/>
                <w:szCs w:val="20"/>
              </w:rPr>
              <w:t>.</w:t>
            </w:r>
          </w:p>
        </w:tc>
      </w:tr>
      <w:tr w:rsidR="00593165" w14:paraId="48A2F545" w14:textId="77777777">
        <w:tc>
          <w:tcPr>
            <w:tcW w:w="495" w:type="dxa"/>
            <w:shd w:val="clear" w:color="auto" w:fill="CFD6DD" w:themeFill="text2" w:themeFillTint="66"/>
          </w:tcPr>
          <w:p w14:paraId="48A2F542" w14:textId="77777777" w:rsidR="00593165" w:rsidRDefault="003175AA">
            <w:pPr>
              <w:spacing w:after="120"/>
              <w:contextualSpacing/>
              <w:rPr>
                <w:rFonts w:cs="Arial"/>
                <w:bCs/>
                <w:szCs w:val="20"/>
              </w:rPr>
            </w:pPr>
            <w:r>
              <w:rPr>
                <w:rFonts w:cs="Arial"/>
                <w:szCs w:val="20"/>
              </w:rPr>
              <w:t>7.</w:t>
            </w:r>
          </w:p>
        </w:tc>
        <w:tc>
          <w:tcPr>
            <w:tcW w:w="3582" w:type="dxa"/>
          </w:tcPr>
          <w:p w14:paraId="48A2F543" w14:textId="77777777" w:rsidR="00593165" w:rsidRDefault="003175AA">
            <w:pPr>
              <w:spacing w:after="120"/>
              <w:contextualSpacing/>
              <w:rPr>
                <w:rFonts w:cs="Arial"/>
                <w:bCs/>
                <w:szCs w:val="20"/>
              </w:rPr>
            </w:pPr>
            <w:r>
              <w:rPr>
                <w:rFonts w:cs="Arial"/>
                <w:bCs/>
                <w:szCs w:val="20"/>
              </w:rPr>
              <w:t>Suspicious behavior of the customer in the selection of a subcontractor or intermediary</w:t>
            </w:r>
          </w:p>
        </w:tc>
        <w:tc>
          <w:tcPr>
            <w:tcW w:w="4999" w:type="dxa"/>
          </w:tcPr>
          <w:p w14:paraId="48A2F544" w14:textId="77777777" w:rsidR="00593165" w:rsidRDefault="003175AA">
            <w:pPr>
              <w:spacing w:after="120"/>
              <w:contextualSpacing/>
              <w:rPr>
                <w:rFonts w:cs="Arial"/>
                <w:bCs/>
                <w:i/>
                <w:szCs w:val="20"/>
              </w:rPr>
            </w:pPr>
            <w:r>
              <w:rPr>
                <w:rFonts w:cs="Arial"/>
                <w:bCs/>
                <w:i/>
                <w:szCs w:val="20"/>
              </w:rPr>
              <w:t>The customer issued an instruction for a subcontractor or intermediary (distributor or system integrator, for example) to be involved in the project without plausible justification.</w:t>
            </w:r>
          </w:p>
        </w:tc>
      </w:tr>
      <w:tr w:rsidR="00593165" w14:paraId="48A2F54D" w14:textId="77777777">
        <w:tc>
          <w:tcPr>
            <w:tcW w:w="495" w:type="dxa"/>
            <w:shd w:val="clear" w:color="auto" w:fill="CFD6DD" w:themeFill="text2" w:themeFillTint="66"/>
          </w:tcPr>
          <w:p w14:paraId="48A2F546" w14:textId="77777777" w:rsidR="00593165" w:rsidRDefault="003175AA">
            <w:pPr>
              <w:spacing w:after="120"/>
              <w:contextualSpacing/>
              <w:rPr>
                <w:rFonts w:cs="Arial"/>
                <w:bCs/>
                <w:szCs w:val="20"/>
              </w:rPr>
            </w:pPr>
            <w:r>
              <w:rPr>
                <w:rFonts w:cs="Arial"/>
                <w:szCs w:val="20"/>
              </w:rPr>
              <w:t>8.</w:t>
            </w:r>
          </w:p>
        </w:tc>
        <w:tc>
          <w:tcPr>
            <w:tcW w:w="3582" w:type="dxa"/>
          </w:tcPr>
          <w:p w14:paraId="48A2F547" w14:textId="77777777" w:rsidR="00593165" w:rsidRDefault="003175AA">
            <w:pPr>
              <w:spacing w:after="120"/>
              <w:contextualSpacing/>
              <w:rPr>
                <w:rFonts w:cs="Arial"/>
                <w:bCs/>
                <w:szCs w:val="20"/>
              </w:rPr>
            </w:pPr>
            <w:r>
              <w:rPr>
                <w:rFonts w:cs="Arial"/>
                <w:bCs/>
                <w:szCs w:val="20"/>
              </w:rPr>
              <w:t>Projects attracting a high level of public attention</w:t>
            </w:r>
            <w:r>
              <w:rPr>
                <w:rStyle w:val="Funotenzeichen"/>
                <w:rFonts w:cs="Arial"/>
                <w:szCs w:val="20"/>
              </w:rPr>
              <w:footnoteReference w:id="18"/>
            </w:r>
          </w:p>
        </w:tc>
        <w:tc>
          <w:tcPr>
            <w:tcW w:w="4999" w:type="dxa"/>
          </w:tcPr>
          <w:p w14:paraId="48A2F548" w14:textId="77777777" w:rsidR="00593165" w:rsidRDefault="003175AA">
            <w:pPr>
              <w:spacing w:after="120"/>
              <w:contextualSpacing/>
              <w:rPr>
                <w:rFonts w:cs="Arial"/>
                <w:bCs/>
                <w:i/>
                <w:szCs w:val="20"/>
              </w:rPr>
            </w:pPr>
            <w:r>
              <w:rPr>
                <w:rFonts w:cs="Arial"/>
                <w:bCs/>
                <w:i/>
                <w:szCs w:val="20"/>
              </w:rPr>
              <w:t>Circumstances under which designation can be required in individual cases include for example:</w:t>
            </w:r>
          </w:p>
          <w:p w14:paraId="48A2F549" w14:textId="77777777" w:rsidR="00593165" w:rsidRDefault="003175AA">
            <w:pPr>
              <w:numPr>
                <w:ilvl w:val="0"/>
                <w:numId w:val="19"/>
              </w:numPr>
              <w:spacing w:after="120" w:line="240" w:lineRule="auto"/>
              <w:contextualSpacing/>
              <w:rPr>
                <w:rFonts w:cs="Arial"/>
                <w:bCs/>
                <w:i/>
                <w:szCs w:val="20"/>
              </w:rPr>
            </w:pPr>
            <w:r>
              <w:rPr>
                <w:rFonts w:cs="Arial"/>
                <w:bCs/>
                <w:i/>
                <w:szCs w:val="20"/>
              </w:rPr>
              <w:t>Infrastructure project with interregional importance</w:t>
            </w:r>
          </w:p>
          <w:p w14:paraId="48A2F54A" w14:textId="77777777" w:rsidR="00593165" w:rsidRDefault="003175AA">
            <w:pPr>
              <w:numPr>
                <w:ilvl w:val="0"/>
                <w:numId w:val="19"/>
              </w:numPr>
              <w:spacing w:after="120" w:line="240" w:lineRule="auto"/>
              <w:contextualSpacing/>
              <w:rPr>
                <w:rFonts w:cs="Arial"/>
                <w:bCs/>
                <w:i/>
                <w:szCs w:val="20"/>
              </w:rPr>
            </w:pPr>
            <w:r>
              <w:rPr>
                <w:rFonts w:cs="Arial"/>
                <w:bCs/>
                <w:i/>
                <w:szCs w:val="20"/>
              </w:rPr>
              <w:t xml:space="preserve">"Construction progress pressure" due to public attention (e.g. Berlin airport, Metro </w:t>
            </w:r>
            <w:proofErr w:type="spellStart"/>
            <w:r>
              <w:rPr>
                <w:rFonts w:cs="Arial"/>
                <w:bCs/>
                <w:i/>
                <w:szCs w:val="20"/>
              </w:rPr>
              <w:t>Ryad</w:t>
            </w:r>
            <w:proofErr w:type="spellEnd"/>
            <w:r>
              <w:rPr>
                <w:rFonts w:cs="Arial"/>
                <w:bCs/>
                <w:i/>
                <w:szCs w:val="20"/>
              </w:rPr>
              <w:t>)</w:t>
            </w:r>
          </w:p>
          <w:p w14:paraId="48A2F54B" w14:textId="77777777" w:rsidR="00593165" w:rsidRDefault="003175AA">
            <w:pPr>
              <w:numPr>
                <w:ilvl w:val="0"/>
                <w:numId w:val="19"/>
              </w:numPr>
              <w:spacing w:after="120" w:line="240" w:lineRule="auto"/>
              <w:contextualSpacing/>
              <w:rPr>
                <w:rFonts w:cs="Arial"/>
                <w:bCs/>
                <w:i/>
                <w:szCs w:val="20"/>
              </w:rPr>
            </w:pPr>
            <w:r>
              <w:rPr>
                <w:rFonts w:cs="Arial"/>
                <w:bCs/>
                <w:i/>
                <w:szCs w:val="20"/>
              </w:rPr>
              <w:t>Complex projects/megaprojects</w:t>
            </w:r>
          </w:p>
          <w:p w14:paraId="48A2F54C" w14:textId="77777777" w:rsidR="00593165" w:rsidRDefault="003175AA">
            <w:pPr>
              <w:numPr>
                <w:ilvl w:val="0"/>
                <w:numId w:val="19"/>
              </w:numPr>
              <w:spacing w:after="120" w:line="240" w:lineRule="auto"/>
              <w:contextualSpacing/>
              <w:rPr>
                <w:rFonts w:cs="Arial"/>
                <w:bCs/>
                <w:i/>
                <w:szCs w:val="20"/>
              </w:rPr>
            </w:pPr>
            <w:r>
              <w:rPr>
                <w:rFonts w:cs="Arial"/>
                <w:bCs/>
                <w:i/>
                <w:szCs w:val="20"/>
              </w:rPr>
              <w:t>High level of media attention.</w:t>
            </w:r>
          </w:p>
        </w:tc>
      </w:tr>
      <w:tr w:rsidR="00593165" w14:paraId="48A2F551" w14:textId="77777777">
        <w:tc>
          <w:tcPr>
            <w:tcW w:w="495" w:type="dxa"/>
            <w:shd w:val="clear" w:color="auto" w:fill="CFD6DD" w:themeFill="text2" w:themeFillTint="66"/>
          </w:tcPr>
          <w:p w14:paraId="48A2F54E" w14:textId="77777777" w:rsidR="00593165" w:rsidRDefault="003175AA">
            <w:pPr>
              <w:jc w:val="both"/>
              <w:rPr>
                <w:rFonts w:cs="Arial"/>
                <w:bCs/>
                <w:szCs w:val="20"/>
              </w:rPr>
            </w:pPr>
            <w:r>
              <w:rPr>
                <w:rFonts w:cs="Arial"/>
                <w:szCs w:val="20"/>
              </w:rPr>
              <w:t>9.</w:t>
            </w:r>
          </w:p>
        </w:tc>
        <w:tc>
          <w:tcPr>
            <w:tcW w:w="3582" w:type="dxa"/>
          </w:tcPr>
          <w:p w14:paraId="48A2F54F" w14:textId="77777777" w:rsidR="00593165" w:rsidRDefault="003175AA">
            <w:pPr>
              <w:jc w:val="both"/>
              <w:rPr>
                <w:rFonts w:cs="Arial"/>
                <w:szCs w:val="20"/>
              </w:rPr>
            </w:pPr>
            <w:r>
              <w:rPr>
                <w:rFonts w:cs="Arial"/>
                <w:bCs/>
                <w:szCs w:val="20"/>
              </w:rPr>
              <w:t>External consortium (open and silent consortium)</w:t>
            </w:r>
          </w:p>
        </w:tc>
        <w:tc>
          <w:tcPr>
            <w:tcW w:w="4999" w:type="dxa"/>
          </w:tcPr>
          <w:p w14:paraId="48A2F550" w14:textId="77777777" w:rsidR="00593165" w:rsidRDefault="003175AA">
            <w:pPr>
              <w:spacing w:after="120"/>
              <w:contextualSpacing/>
              <w:rPr>
                <w:rFonts w:cs="Arial"/>
                <w:bCs/>
                <w:i/>
                <w:szCs w:val="20"/>
              </w:rPr>
            </w:pPr>
            <w:r>
              <w:rPr>
                <w:rFonts w:cs="Arial"/>
                <w:bCs/>
                <w:i/>
                <w:szCs w:val="20"/>
              </w:rPr>
              <w:t>Siemens is involved as a consortium partner in an open or silent consortium.</w:t>
            </w:r>
          </w:p>
        </w:tc>
      </w:tr>
      <w:tr w:rsidR="00593165" w14:paraId="48A2F557" w14:textId="77777777">
        <w:tc>
          <w:tcPr>
            <w:tcW w:w="495" w:type="dxa"/>
            <w:shd w:val="clear" w:color="auto" w:fill="CFD6DD" w:themeFill="text2" w:themeFillTint="66"/>
          </w:tcPr>
          <w:p w14:paraId="48A2F552" w14:textId="77777777" w:rsidR="00593165" w:rsidRDefault="003175AA">
            <w:pPr>
              <w:spacing w:after="120"/>
              <w:contextualSpacing/>
              <w:rPr>
                <w:rFonts w:cs="Arial"/>
                <w:bCs/>
                <w:szCs w:val="20"/>
              </w:rPr>
            </w:pPr>
            <w:r>
              <w:rPr>
                <w:rFonts w:cs="Arial"/>
                <w:szCs w:val="20"/>
              </w:rPr>
              <w:t>10.</w:t>
            </w:r>
          </w:p>
        </w:tc>
        <w:tc>
          <w:tcPr>
            <w:tcW w:w="3582" w:type="dxa"/>
          </w:tcPr>
          <w:p w14:paraId="48A2F553" w14:textId="77777777" w:rsidR="00593165" w:rsidRDefault="003175AA">
            <w:pPr>
              <w:spacing w:after="120"/>
              <w:contextualSpacing/>
              <w:rPr>
                <w:rFonts w:cs="Arial"/>
                <w:bCs/>
                <w:szCs w:val="20"/>
              </w:rPr>
            </w:pPr>
            <w:r>
              <w:rPr>
                <w:rFonts w:cs="Arial"/>
                <w:bCs/>
                <w:szCs w:val="20"/>
              </w:rPr>
              <w:t>Projects for which unusual/unclear contractual agreements have been made with the customer regarding travel, FAT, accommodation, daily allowances, social responsibility</w:t>
            </w:r>
          </w:p>
        </w:tc>
        <w:tc>
          <w:tcPr>
            <w:tcW w:w="4999" w:type="dxa"/>
          </w:tcPr>
          <w:p w14:paraId="48A2F554" w14:textId="77777777" w:rsidR="00593165" w:rsidRDefault="003175AA">
            <w:pPr>
              <w:numPr>
                <w:ilvl w:val="0"/>
                <w:numId w:val="20"/>
              </w:numPr>
              <w:spacing w:after="120" w:line="240" w:lineRule="auto"/>
              <w:contextualSpacing/>
              <w:rPr>
                <w:rFonts w:cs="Arial"/>
                <w:bCs/>
                <w:i/>
                <w:szCs w:val="20"/>
              </w:rPr>
            </w:pPr>
            <w:r>
              <w:rPr>
                <w:rFonts w:cs="Arial"/>
                <w:bCs/>
                <w:i/>
                <w:szCs w:val="20"/>
              </w:rPr>
              <w:t>Unusual agreements relate, for example, to daily allowances that are inadequate, e.g. that differ significantly from the amounts agreed in comparable cases / exceed adequate usual local travel costs.</w:t>
            </w:r>
          </w:p>
          <w:p w14:paraId="48A2F555" w14:textId="77777777" w:rsidR="00593165" w:rsidRDefault="003175AA">
            <w:pPr>
              <w:numPr>
                <w:ilvl w:val="0"/>
                <w:numId w:val="20"/>
              </w:numPr>
              <w:spacing w:after="120" w:line="240" w:lineRule="auto"/>
              <w:contextualSpacing/>
              <w:rPr>
                <w:rFonts w:cs="Arial"/>
                <w:bCs/>
                <w:i/>
                <w:szCs w:val="20"/>
              </w:rPr>
            </w:pPr>
            <w:r>
              <w:rPr>
                <w:rFonts w:cs="Arial"/>
                <w:bCs/>
                <w:i/>
                <w:szCs w:val="20"/>
              </w:rPr>
              <w:t>Unclear agreements are contractual terms that are ambiguous regarding the purpose of such trips or that grant the customer an extensive right to determine the justification for such trips, which customer employees should take part, or the class of air tickets/hotels to be reserved or other reimbursements without a legitimate business purpose.</w:t>
            </w:r>
          </w:p>
          <w:p w14:paraId="48A2F556" w14:textId="77777777" w:rsidR="00593165" w:rsidRDefault="003175AA">
            <w:pPr>
              <w:numPr>
                <w:ilvl w:val="0"/>
                <w:numId w:val="20"/>
              </w:numPr>
              <w:spacing w:after="120" w:line="240" w:lineRule="auto"/>
              <w:contextualSpacing/>
              <w:rPr>
                <w:rFonts w:cs="Arial"/>
                <w:bCs/>
                <w:i/>
                <w:szCs w:val="20"/>
              </w:rPr>
            </w:pPr>
            <w:r>
              <w:rPr>
                <w:rFonts w:cs="Arial"/>
                <w:bCs/>
                <w:i/>
                <w:szCs w:val="20"/>
              </w:rPr>
              <w:t>Siemens involvement in "social responsibility" measures (sponsoring and donations or other contributions).</w:t>
            </w:r>
          </w:p>
        </w:tc>
      </w:tr>
      <w:tr w:rsidR="00593165" w14:paraId="48A2F55C" w14:textId="77777777">
        <w:tc>
          <w:tcPr>
            <w:tcW w:w="495" w:type="dxa"/>
            <w:shd w:val="clear" w:color="auto" w:fill="CFD6DD" w:themeFill="text2" w:themeFillTint="66"/>
          </w:tcPr>
          <w:p w14:paraId="48A2F558" w14:textId="77777777" w:rsidR="00593165" w:rsidRDefault="003175AA">
            <w:pPr>
              <w:spacing w:after="120"/>
              <w:contextualSpacing/>
              <w:rPr>
                <w:rFonts w:cs="Arial"/>
                <w:bCs/>
                <w:szCs w:val="20"/>
              </w:rPr>
            </w:pPr>
            <w:r>
              <w:rPr>
                <w:rFonts w:cs="Arial"/>
                <w:szCs w:val="20"/>
              </w:rPr>
              <w:t>11.</w:t>
            </w:r>
          </w:p>
        </w:tc>
        <w:tc>
          <w:tcPr>
            <w:tcW w:w="3582" w:type="dxa"/>
          </w:tcPr>
          <w:p w14:paraId="48A2F559" w14:textId="77777777" w:rsidR="00593165" w:rsidRDefault="003175AA">
            <w:pPr>
              <w:spacing w:after="120"/>
              <w:contextualSpacing/>
              <w:rPr>
                <w:rFonts w:cs="Arial"/>
                <w:bCs/>
                <w:szCs w:val="20"/>
              </w:rPr>
            </w:pPr>
            <w:r>
              <w:rPr>
                <w:rFonts w:cs="Arial"/>
                <w:bCs/>
                <w:szCs w:val="20"/>
              </w:rPr>
              <w:t>No Compliance organization in the country of project execution</w:t>
            </w:r>
            <w:r>
              <w:rPr>
                <w:rFonts w:cs="Arial"/>
                <w:bCs/>
                <w:szCs w:val="20"/>
                <w:vertAlign w:val="superscript"/>
              </w:rPr>
              <w:footnoteReference w:id="19"/>
            </w:r>
            <w:r>
              <w:rPr>
                <w:rFonts w:cs="Arial"/>
                <w:szCs w:val="20"/>
              </w:rPr>
              <w:t xml:space="preserve"> </w:t>
            </w:r>
          </w:p>
        </w:tc>
        <w:tc>
          <w:tcPr>
            <w:tcW w:w="4999" w:type="dxa"/>
          </w:tcPr>
          <w:p w14:paraId="48A2F55A" w14:textId="77777777" w:rsidR="00593165" w:rsidRDefault="003175AA">
            <w:pPr>
              <w:numPr>
                <w:ilvl w:val="0"/>
                <w:numId w:val="21"/>
              </w:numPr>
              <w:spacing w:after="120" w:line="240" w:lineRule="auto"/>
              <w:contextualSpacing/>
              <w:rPr>
                <w:rFonts w:cs="Arial"/>
                <w:bCs/>
                <w:i/>
                <w:szCs w:val="20"/>
              </w:rPr>
            </w:pPr>
            <w:r>
              <w:rPr>
                <w:rFonts w:cs="Arial"/>
                <w:bCs/>
                <w:i/>
                <w:szCs w:val="20"/>
              </w:rPr>
              <w:t>There is no local Siemens Compliance organization in the country where the project is being implemented.</w:t>
            </w:r>
          </w:p>
          <w:p w14:paraId="48A2F55B" w14:textId="14C4DB13" w:rsidR="00593165" w:rsidRDefault="003175AA">
            <w:pPr>
              <w:numPr>
                <w:ilvl w:val="0"/>
                <w:numId w:val="21"/>
              </w:numPr>
              <w:spacing w:after="120" w:line="240" w:lineRule="auto"/>
              <w:contextualSpacing/>
              <w:rPr>
                <w:rFonts w:cs="Arial"/>
                <w:bCs/>
                <w:i/>
                <w:szCs w:val="20"/>
              </w:rPr>
            </w:pPr>
            <w:r>
              <w:rPr>
                <w:rFonts w:cs="Arial"/>
                <w:bCs/>
                <w:i/>
                <w:szCs w:val="20"/>
              </w:rPr>
              <w:t xml:space="preserve">Compliance activities are controlled or implemented from the </w:t>
            </w:r>
            <w:r w:rsidR="00976D0D">
              <w:rPr>
                <w:rFonts w:cs="Arial"/>
                <w:bCs/>
                <w:i/>
                <w:szCs w:val="20"/>
              </w:rPr>
              <w:t>Business</w:t>
            </w:r>
            <w:r>
              <w:rPr>
                <w:rFonts w:cs="Arial"/>
                <w:bCs/>
                <w:i/>
                <w:szCs w:val="20"/>
              </w:rPr>
              <w:t xml:space="preserve"> and/or from </w:t>
            </w:r>
            <w:r>
              <w:rPr>
                <w:rFonts w:cs="Arial"/>
                <w:bCs/>
                <w:i/>
                <w:szCs w:val="20"/>
              </w:rPr>
              <w:lastRenderedPageBreak/>
              <w:t>regional Compliance organizations in other countries.</w:t>
            </w:r>
          </w:p>
        </w:tc>
      </w:tr>
      <w:tr w:rsidR="00593165" w14:paraId="48A2F561" w14:textId="77777777">
        <w:tc>
          <w:tcPr>
            <w:tcW w:w="495" w:type="dxa"/>
            <w:shd w:val="clear" w:color="auto" w:fill="CFD6DD" w:themeFill="text2" w:themeFillTint="66"/>
          </w:tcPr>
          <w:p w14:paraId="48A2F55D" w14:textId="77777777" w:rsidR="00593165" w:rsidRDefault="003175AA">
            <w:pPr>
              <w:spacing w:after="120"/>
              <w:contextualSpacing/>
              <w:rPr>
                <w:rFonts w:cs="Arial"/>
                <w:bCs/>
                <w:szCs w:val="20"/>
              </w:rPr>
            </w:pPr>
            <w:r>
              <w:rPr>
                <w:rFonts w:cs="Arial"/>
                <w:szCs w:val="20"/>
              </w:rPr>
              <w:lastRenderedPageBreak/>
              <w:t>12.</w:t>
            </w:r>
          </w:p>
        </w:tc>
        <w:tc>
          <w:tcPr>
            <w:tcW w:w="3582" w:type="dxa"/>
          </w:tcPr>
          <w:p w14:paraId="48A2F55E" w14:textId="77777777" w:rsidR="00593165" w:rsidRDefault="003175AA">
            <w:pPr>
              <w:spacing w:after="120"/>
              <w:contextualSpacing/>
              <w:rPr>
                <w:rFonts w:cs="Arial"/>
                <w:bCs/>
                <w:szCs w:val="20"/>
              </w:rPr>
            </w:pPr>
            <w:r>
              <w:rPr>
                <w:rFonts w:cs="Arial"/>
                <w:bCs/>
                <w:szCs w:val="20"/>
              </w:rPr>
              <w:t>Compliance "preconditions" for project execution are already defined in the sales phase (e.g. LoA decision).</w:t>
            </w:r>
          </w:p>
        </w:tc>
        <w:tc>
          <w:tcPr>
            <w:tcW w:w="4999" w:type="dxa"/>
          </w:tcPr>
          <w:p w14:paraId="48A2F55F" w14:textId="7180EEEF" w:rsidR="00593165" w:rsidRDefault="003175AA">
            <w:pPr>
              <w:numPr>
                <w:ilvl w:val="0"/>
                <w:numId w:val="22"/>
              </w:numPr>
              <w:spacing w:after="120" w:line="240" w:lineRule="auto"/>
              <w:contextualSpacing/>
              <w:rPr>
                <w:rFonts w:cs="Arial"/>
                <w:bCs/>
                <w:i/>
                <w:szCs w:val="20"/>
              </w:rPr>
            </w:pPr>
            <w:r>
              <w:rPr>
                <w:rFonts w:cs="Arial"/>
                <w:bCs/>
                <w:i/>
                <w:szCs w:val="20"/>
              </w:rPr>
              <w:t xml:space="preserve">Compliance risks were identified during the </w:t>
            </w:r>
            <w:r w:rsidR="00976D0D">
              <w:rPr>
                <w:rFonts w:cs="Arial"/>
                <w:bCs/>
                <w:i/>
                <w:szCs w:val="20"/>
              </w:rPr>
              <w:t>LoA Compliance Risk Evaluation</w:t>
            </w:r>
            <w:r>
              <w:rPr>
                <w:rFonts w:cs="Arial"/>
                <w:bCs/>
                <w:i/>
                <w:szCs w:val="20"/>
              </w:rPr>
              <w:t>, and corresponding mitigation measures defined (LoA Tool Risk Report).</w:t>
            </w:r>
          </w:p>
          <w:p w14:paraId="48A2F560" w14:textId="77777777" w:rsidR="00593165" w:rsidRDefault="003175AA">
            <w:pPr>
              <w:numPr>
                <w:ilvl w:val="0"/>
                <w:numId w:val="22"/>
              </w:numPr>
              <w:spacing w:after="120" w:line="240" w:lineRule="auto"/>
              <w:contextualSpacing/>
              <w:rPr>
                <w:rFonts w:cs="Arial"/>
                <w:bCs/>
                <w:i/>
                <w:szCs w:val="20"/>
              </w:rPr>
            </w:pPr>
            <w:r>
              <w:rPr>
                <w:rFonts w:cs="Arial"/>
                <w:bCs/>
                <w:i/>
                <w:szCs w:val="20"/>
              </w:rPr>
              <w:t>The agreed mitigation measures have either not been implemented or are scheduled for implementation during the project execution phase.</w:t>
            </w:r>
          </w:p>
        </w:tc>
      </w:tr>
      <w:tr w:rsidR="00BB1167" w14:paraId="7E9EE03E" w14:textId="77777777">
        <w:tc>
          <w:tcPr>
            <w:tcW w:w="495" w:type="dxa"/>
            <w:shd w:val="clear" w:color="auto" w:fill="CFD6DD" w:themeFill="text2" w:themeFillTint="66"/>
          </w:tcPr>
          <w:p w14:paraId="7E57D9DA" w14:textId="1641BFFE" w:rsidR="00BB1167" w:rsidRDefault="00BB1167">
            <w:pPr>
              <w:spacing w:after="120"/>
              <w:contextualSpacing/>
              <w:rPr>
                <w:rFonts w:cs="Arial"/>
                <w:szCs w:val="20"/>
              </w:rPr>
            </w:pPr>
            <w:r>
              <w:rPr>
                <w:rFonts w:cs="Arial"/>
                <w:szCs w:val="20"/>
              </w:rPr>
              <w:t>13</w:t>
            </w:r>
          </w:p>
        </w:tc>
        <w:tc>
          <w:tcPr>
            <w:tcW w:w="3582" w:type="dxa"/>
          </w:tcPr>
          <w:p w14:paraId="0B4D7B3B" w14:textId="094C794A" w:rsidR="00BB1167" w:rsidRDefault="00AB18F2">
            <w:pPr>
              <w:spacing w:after="120"/>
              <w:contextualSpacing/>
              <w:rPr>
                <w:rFonts w:cs="Arial"/>
                <w:bCs/>
                <w:szCs w:val="20"/>
              </w:rPr>
            </w:pPr>
            <w:r>
              <w:rPr>
                <w:rFonts w:cs="Arial"/>
                <w:bCs/>
                <w:szCs w:val="20"/>
              </w:rPr>
              <w:t xml:space="preserve">Projects with </w:t>
            </w:r>
            <w:r w:rsidR="00BB1167">
              <w:rPr>
                <w:rFonts w:cs="Arial"/>
                <w:bCs/>
                <w:szCs w:val="20"/>
              </w:rPr>
              <w:t xml:space="preserve">Human Right </w:t>
            </w:r>
            <w:r>
              <w:rPr>
                <w:rFonts w:cs="Arial"/>
                <w:bCs/>
                <w:szCs w:val="20"/>
              </w:rPr>
              <w:t>r</w:t>
            </w:r>
            <w:r w:rsidR="00BB1167">
              <w:rPr>
                <w:rFonts w:cs="Arial"/>
                <w:bCs/>
                <w:szCs w:val="20"/>
              </w:rPr>
              <w:t>isks</w:t>
            </w:r>
          </w:p>
        </w:tc>
        <w:tc>
          <w:tcPr>
            <w:tcW w:w="4999" w:type="dxa"/>
          </w:tcPr>
          <w:p w14:paraId="0E92BFFA" w14:textId="77777777" w:rsidR="007C1E7F" w:rsidRPr="00513A1D" w:rsidRDefault="007C1E7F" w:rsidP="007C1E7F">
            <w:pPr>
              <w:pStyle w:val="Listenabsatz"/>
              <w:numPr>
                <w:ilvl w:val="0"/>
                <w:numId w:val="22"/>
              </w:numPr>
              <w:spacing w:after="0" w:line="240" w:lineRule="auto"/>
              <w:contextualSpacing w:val="0"/>
              <w:rPr>
                <w:rFonts w:eastAsia="Times New Roman"/>
                <w:i/>
                <w:iCs/>
              </w:rPr>
            </w:pPr>
            <w:r w:rsidRPr="00513A1D">
              <w:rPr>
                <w:rFonts w:eastAsia="Times New Roman"/>
                <w:i/>
                <w:iCs/>
              </w:rPr>
              <w:t>Projects with ECA/IFI involvement</w:t>
            </w:r>
          </w:p>
          <w:p w14:paraId="2EDBA32D" w14:textId="77777777" w:rsidR="007C1E7F" w:rsidRPr="00513A1D" w:rsidRDefault="007C1E7F" w:rsidP="007C1E7F">
            <w:pPr>
              <w:pStyle w:val="Listenabsatz"/>
              <w:numPr>
                <w:ilvl w:val="0"/>
                <w:numId w:val="22"/>
              </w:numPr>
              <w:spacing w:after="0" w:line="240" w:lineRule="auto"/>
              <w:contextualSpacing w:val="0"/>
              <w:rPr>
                <w:rFonts w:eastAsia="Times New Roman"/>
                <w:i/>
                <w:iCs/>
              </w:rPr>
            </w:pPr>
            <w:r w:rsidRPr="00513A1D">
              <w:rPr>
                <w:rFonts w:eastAsia="Times New Roman"/>
                <w:i/>
                <w:iCs/>
              </w:rPr>
              <w:t>Projects with indications/evidence of protest or controversies (especially in case of allegations of human rights violations raised through protesters)</w:t>
            </w:r>
          </w:p>
          <w:p w14:paraId="3B0FC885" w14:textId="77777777" w:rsidR="007C1E7F" w:rsidRPr="00513A1D" w:rsidRDefault="007C1E7F" w:rsidP="007C1E7F">
            <w:pPr>
              <w:pStyle w:val="Listenabsatz"/>
              <w:numPr>
                <w:ilvl w:val="0"/>
                <w:numId w:val="22"/>
              </w:numPr>
              <w:spacing w:after="0" w:line="240" w:lineRule="auto"/>
              <w:contextualSpacing w:val="0"/>
              <w:rPr>
                <w:rFonts w:eastAsia="Times New Roman"/>
                <w:i/>
                <w:iCs/>
              </w:rPr>
            </w:pPr>
            <w:r w:rsidRPr="00513A1D">
              <w:rPr>
                <w:rFonts w:eastAsia="Times New Roman"/>
                <w:i/>
                <w:iCs/>
              </w:rPr>
              <w:t>Projects in conflict affected project execution countries (incl. pre- and post-conflicts)</w:t>
            </w:r>
          </w:p>
          <w:p w14:paraId="678C619E" w14:textId="77777777" w:rsidR="007C1E7F" w:rsidRPr="00513A1D" w:rsidRDefault="007C1E7F" w:rsidP="007C1E7F">
            <w:pPr>
              <w:pStyle w:val="Listenabsatz"/>
              <w:numPr>
                <w:ilvl w:val="0"/>
                <w:numId w:val="22"/>
              </w:numPr>
              <w:spacing w:after="0" w:line="240" w:lineRule="auto"/>
              <w:contextualSpacing w:val="0"/>
              <w:rPr>
                <w:rFonts w:eastAsia="Times New Roman"/>
                <w:i/>
                <w:iCs/>
              </w:rPr>
            </w:pPr>
            <w:r w:rsidRPr="00513A1D">
              <w:rPr>
                <w:rFonts w:eastAsia="Times New Roman"/>
                <w:i/>
                <w:iCs/>
              </w:rPr>
              <w:t>Projects requiring more than small scale land acquisition or relocation of (members of) communities e.g. by customer or end-customer</w:t>
            </w:r>
          </w:p>
          <w:p w14:paraId="0F89D94C" w14:textId="77777777" w:rsidR="007C1E7F" w:rsidRPr="00513A1D" w:rsidRDefault="007C1E7F" w:rsidP="007C1E7F">
            <w:pPr>
              <w:pStyle w:val="Listenabsatz"/>
              <w:numPr>
                <w:ilvl w:val="0"/>
                <w:numId w:val="22"/>
              </w:numPr>
              <w:spacing w:after="0" w:line="240" w:lineRule="auto"/>
              <w:contextualSpacing w:val="0"/>
              <w:rPr>
                <w:rFonts w:eastAsia="Times New Roman"/>
                <w:i/>
                <w:iCs/>
              </w:rPr>
            </w:pPr>
            <w:r w:rsidRPr="00513A1D">
              <w:rPr>
                <w:rFonts w:eastAsia="Times New Roman"/>
                <w:i/>
                <w:iCs/>
              </w:rPr>
              <w:t>Projects with indications/evidence of impacts on indigenous communities/peoples</w:t>
            </w:r>
          </w:p>
          <w:p w14:paraId="3661E57E" w14:textId="77777777" w:rsidR="007C1E7F" w:rsidRPr="00513A1D" w:rsidRDefault="007C1E7F" w:rsidP="007C1E7F">
            <w:pPr>
              <w:pStyle w:val="Listenabsatz"/>
              <w:numPr>
                <w:ilvl w:val="0"/>
                <w:numId w:val="22"/>
              </w:numPr>
              <w:spacing w:after="0" w:line="240" w:lineRule="auto"/>
              <w:contextualSpacing w:val="0"/>
              <w:rPr>
                <w:rFonts w:eastAsia="Times New Roman"/>
                <w:i/>
                <w:iCs/>
              </w:rPr>
            </w:pPr>
            <w:r w:rsidRPr="00513A1D">
              <w:rPr>
                <w:rFonts w:eastAsia="Times New Roman"/>
                <w:i/>
                <w:iCs/>
              </w:rPr>
              <w:t>Projects with major civil or construction work in scope of Siemens or a Siemens consortium partner</w:t>
            </w:r>
          </w:p>
          <w:p w14:paraId="367D43CD" w14:textId="06C01C8B" w:rsidR="007C1E7F" w:rsidRPr="00513A1D" w:rsidRDefault="007C1E7F" w:rsidP="00513A1D">
            <w:pPr>
              <w:pStyle w:val="Listenabsatz"/>
              <w:numPr>
                <w:ilvl w:val="0"/>
                <w:numId w:val="22"/>
              </w:numPr>
              <w:spacing w:after="0" w:line="240" w:lineRule="auto"/>
              <w:contextualSpacing w:val="0"/>
              <w:rPr>
                <w:rFonts w:eastAsia="Times New Roman"/>
              </w:rPr>
            </w:pPr>
            <w:r w:rsidRPr="00513A1D">
              <w:rPr>
                <w:rFonts w:eastAsia="Times New Roman"/>
                <w:i/>
                <w:iCs/>
              </w:rPr>
              <w:t>Projects with a project execution country having an extreme human rights risk country rating</w:t>
            </w:r>
          </w:p>
        </w:tc>
      </w:tr>
    </w:tbl>
    <w:p w14:paraId="48A2F564" w14:textId="640CEE3D" w:rsidR="00593165" w:rsidRDefault="003175AA" w:rsidP="004C5E95">
      <w:pPr>
        <w:pStyle w:val="berschrift2"/>
        <w:numPr>
          <w:ilvl w:val="1"/>
          <w:numId w:val="7"/>
        </w:numPr>
      </w:pPr>
      <w:r>
        <w:t>Training and supporting material</w:t>
      </w:r>
    </w:p>
    <w:p w14:paraId="5F1C91F8" w14:textId="0426A3B0" w:rsidR="004C5E95" w:rsidRDefault="004C5E95" w:rsidP="004C5E95">
      <w:pPr>
        <w:pStyle w:val="HighlightboxGreyBulletpoints"/>
        <w:numPr>
          <w:ilvl w:val="0"/>
          <w:numId w:val="0"/>
        </w:numPr>
        <w:ind w:left="720"/>
        <w:rPr>
          <w:rStyle w:val="Hyperlink"/>
        </w:rPr>
      </w:pPr>
      <w:r w:rsidRPr="004C5E95">
        <w:t>▌</w:t>
      </w:r>
      <w:r w:rsidRPr="004C5E95">
        <w:tab/>
      </w:r>
      <w:bookmarkStart w:id="18" w:name="_Hlk3545217"/>
      <w:r w:rsidR="00ED6128">
        <w:rPr>
          <w:rStyle w:val="Hyperlink"/>
        </w:rPr>
        <w:fldChar w:fldCharType="begin"/>
      </w:r>
      <w:r w:rsidR="00ED6128">
        <w:rPr>
          <w:rStyle w:val="Hyperlink"/>
        </w:rPr>
        <w:instrText xml:space="preserve"> HYPERLINK "https://intranet.for.siemens.com/cms/059/en/processes/publications/Pages/compliance_project-management.aspx" </w:instrText>
      </w:r>
      <w:r w:rsidR="00ED6128">
        <w:rPr>
          <w:rStyle w:val="Hyperlink"/>
        </w:rPr>
        <w:fldChar w:fldCharType="separate"/>
      </w:r>
      <w:r w:rsidRPr="005C6115">
        <w:rPr>
          <w:rStyle w:val="Hyperlink"/>
        </w:rPr>
        <w:t xml:space="preserve">Compliance in </w:t>
      </w:r>
      <w:r w:rsidR="00CB0795">
        <w:rPr>
          <w:rStyle w:val="Hyperlink"/>
        </w:rPr>
        <w:t>P</w:t>
      </w:r>
      <w:r w:rsidRPr="005C6115">
        <w:rPr>
          <w:rStyle w:val="Hyperlink"/>
        </w:rPr>
        <w:t>roject</w:t>
      </w:r>
      <w:r w:rsidR="00B342D1">
        <w:rPr>
          <w:rStyle w:val="Hyperlink"/>
        </w:rPr>
        <w:t xml:space="preserve"> Business </w:t>
      </w:r>
      <w:r w:rsidR="00CB0795">
        <w:rPr>
          <w:rStyle w:val="Hyperlink"/>
        </w:rPr>
        <w:t>I</w:t>
      </w:r>
      <w:r w:rsidRPr="005C6115">
        <w:rPr>
          <w:rStyle w:val="Hyperlink"/>
        </w:rPr>
        <w:t>ntranet</w:t>
      </w:r>
      <w:r w:rsidR="00ED6128">
        <w:rPr>
          <w:rStyle w:val="Hyperlink"/>
        </w:rPr>
        <w:fldChar w:fldCharType="end"/>
      </w:r>
    </w:p>
    <w:p w14:paraId="5962416C" w14:textId="39801D22" w:rsidR="007544F7" w:rsidRDefault="007544F7" w:rsidP="004C5E95">
      <w:pPr>
        <w:pStyle w:val="HighlightboxGreyBulletpoints"/>
        <w:numPr>
          <w:ilvl w:val="0"/>
          <w:numId w:val="0"/>
        </w:numPr>
        <w:ind w:left="720"/>
      </w:pPr>
    </w:p>
    <w:p w14:paraId="7CB0A8B0" w14:textId="6F52C889" w:rsidR="007D139B" w:rsidRDefault="007D139B" w:rsidP="007D139B">
      <w:pPr>
        <w:pStyle w:val="HighlightboxGreyBulletpoints"/>
        <w:numPr>
          <w:ilvl w:val="0"/>
          <w:numId w:val="0"/>
        </w:numPr>
        <w:ind w:left="720"/>
        <w:rPr>
          <w:rStyle w:val="Hyperlink"/>
        </w:rPr>
      </w:pPr>
      <w:r w:rsidRPr="004C5E95">
        <w:t>▌</w:t>
      </w:r>
      <w:r w:rsidRPr="004C5E95">
        <w:tab/>
      </w:r>
      <w:hyperlink r:id="rId42" w:history="1">
        <w:r w:rsidRPr="007D139B">
          <w:rPr>
            <w:rStyle w:val="Hyperlink"/>
          </w:rPr>
          <w:t>Collaboration in innovation projects one-pager</w:t>
        </w:r>
      </w:hyperlink>
    </w:p>
    <w:p w14:paraId="20446E8C" w14:textId="77777777" w:rsidR="007D139B" w:rsidRDefault="007D139B" w:rsidP="007D139B">
      <w:pPr>
        <w:pStyle w:val="HighlightboxGreyBulletpoints"/>
        <w:numPr>
          <w:ilvl w:val="0"/>
          <w:numId w:val="0"/>
        </w:numPr>
        <w:ind w:left="720"/>
        <w:rPr>
          <w:rStyle w:val="Hyperlink"/>
        </w:rPr>
      </w:pPr>
    </w:p>
    <w:p w14:paraId="7C51C3CD" w14:textId="6151CA28" w:rsidR="007D139B" w:rsidRDefault="007D139B" w:rsidP="007D139B">
      <w:pPr>
        <w:pStyle w:val="HighlightboxGreyBulletpoints"/>
        <w:numPr>
          <w:ilvl w:val="0"/>
          <w:numId w:val="0"/>
        </w:numPr>
        <w:ind w:left="720"/>
        <w:rPr>
          <w:rStyle w:val="Hyperlink"/>
        </w:rPr>
      </w:pPr>
      <w:r w:rsidRPr="004C5E95">
        <w:t>▌</w:t>
      </w:r>
      <w:r w:rsidRPr="004C5E95">
        <w:tab/>
      </w:r>
      <w:hyperlink r:id="rId43" w:history="1">
        <w:r w:rsidRPr="007D139B">
          <w:rPr>
            <w:rStyle w:val="Hyperlink"/>
          </w:rPr>
          <w:t xml:space="preserve">Collaboration in innovation projects </w:t>
        </w:r>
        <w:r w:rsidRPr="00A34DB6">
          <w:rPr>
            <w:rStyle w:val="Hyperlink"/>
          </w:rPr>
          <w:t>Compliance</w:t>
        </w:r>
        <w:r w:rsidRPr="007D139B">
          <w:rPr>
            <w:rStyle w:val="Hyperlink"/>
          </w:rPr>
          <w:t xml:space="preserve"> checklist</w:t>
        </w:r>
      </w:hyperlink>
    </w:p>
    <w:p w14:paraId="19C53A99" w14:textId="77777777" w:rsidR="00A9797B" w:rsidRDefault="00A9797B" w:rsidP="007D139B">
      <w:pPr>
        <w:pStyle w:val="HighlightboxGreyBulletpoints"/>
        <w:numPr>
          <w:ilvl w:val="0"/>
          <w:numId w:val="0"/>
        </w:numPr>
        <w:ind w:left="720"/>
        <w:rPr>
          <w:rStyle w:val="Hyperlink"/>
        </w:rPr>
      </w:pPr>
    </w:p>
    <w:p w14:paraId="3A52DE35" w14:textId="1FFA5313" w:rsidR="00A9797B" w:rsidRDefault="00A9797B" w:rsidP="007D139B">
      <w:pPr>
        <w:pStyle w:val="HighlightboxGreyBulletpoints"/>
        <w:numPr>
          <w:ilvl w:val="0"/>
          <w:numId w:val="0"/>
        </w:numPr>
        <w:ind w:left="720"/>
        <w:rPr>
          <w:rStyle w:val="Hyperlink"/>
        </w:rPr>
      </w:pPr>
      <w:r w:rsidRPr="004C5E95">
        <w:t>▌</w:t>
      </w:r>
      <w:r w:rsidRPr="004C5E95">
        <w:tab/>
      </w:r>
      <w:hyperlink r:id="rId44" w:tgtFrame="_blank" w:history="1">
        <w:r w:rsidRPr="002F4FB3">
          <w:rPr>
            <w:rStyle w:val="Hyperlink"/>
          </w:rPr>
          <w:t>Compliance in innovation projects training slides</w:t>
        </w:r>
      </w:hyperlink>
    </w:p>
    <w:p w14:paraId="67D19298" w14:textId="77777777" w:rsidR="007D139B" w:rsidRDefault="007D139B" w:rsidP="007D139B">
      <w:pPr>
        <w:pStyle w:val="HighlightboxGreyBulletpoints"/>
        <w:numPr>
          <w:ilvl w:val="0"/>
          <w:numId w:val="0"/>
        </w:numPr>
        <w:ind w:left="720"/>
        <w:rPr>
          <w:rStyle w:val="Hyperlink"/>
        </w:rPr>
      </w:pPr>
    </w:p>
    <w:bookmarkEnd w:id="18"/>
    <w:p w14:paraId="48A2F565" w14:textId="166BDBC5" w:rsidR="00593165" w:rsidRDefault="003175AA" w:rsidP="00237970">
      <w:pPr>
        <w:pStyle w:val="berschrift2"/>
        <w:numPr>
          <w:ilvl w:val="1"/>
          <w:numId w:val="7"/>
        </w:numPr>
      </w:pPr>
      <w:r>
        <w:lastRenderedPageBreak/>
        <w:t>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496"/>
        <w:gridCol w:w="5628"/>
      </w:tblGrid>
      <w:tr w:rsidR="00593165" w14:paraId="48A2F569" w14:textId="77777777">
        <w:tc>
          <w:tcPr>
            <w:tcW w:w="1960" w:type="dxa"/>
            <w:shd w:val="clear" w:color="auto" w:fill="879BAA" w:themeFill="text2"/>
          </w:tcPr>
          <w:p w14:paraId="48A2F566" w14:textId="77777777" w:rsidR="00593165" w:rsidRDefault="003175AA">
            <w:pPr>
              <w:rPr>
                <w:b/>
                <w:color w:val="auto"/>
              </w:rPr>
            </w:pPr>
            <w:bookmarkStart w:id="19" w:name="_Hlk3545386"/>
            <w:r>
              <w:rPr>
                <w:b/>
                <w:color w:val="auto"/>
              </w:rPr>
              <w:t xml:space="preserve">Date </w:t>
            </w:r>
          </w:p>
        </w:tc>
        <w:tc>
          <w:tcPr>
            <w:tcW w:w="2520" w:type="dxa"/>
            <w:shd w:val="clear" w:color="auto" w:fill="879BAA" w:themeFill="text2"/>
          </w:tcPr>
          <w:p w14:paraId="48A2F567" w14:textId="77777777" w:rsidR="00593165" w:rsidRDefault="003175AA">
            <w:pPr>
              <w:rPr>
                <w:b/>
                <w:color w:val="auto"/>
              </w:rPr>
            </w:pPr>
            <w:r>
              <w:rPr>
                <w:b/>
                <w:color w:val="auto"/>
              </w:rPr>
              <w:t>Author</w:t>
            </w:r>
          </w:p>
        </w:tc>
        <w:tc>
          <w:tcPr>
            <w:tcW w:w="5745" w:type="dxa"/>
            <w:shd w:val="clear" w:color="auto" w:fill="879BAA" w:themeFill="text2"/>
          </w:tcPr>
          <w:p w14:paraId="48A2F568" w14:textId="77777777" w:rsidR="00593165" w:rsidRDefault="003175AA">
            <w:pPr>
              <w:rPr>
                <w:b/>
                <w:color w:val="auto"/>
              </w:rPr>
            </w:pPr>
            <w:r>
              <w:rPr>
                <w:b/>
                <w:color w:val="auto"/>
              </w:rPr>
              <w:t>Major changes of binding content</w:t>
            </w:r>
          </w:p>
        </w:tc>
      </w:tr>
      <w:tr w:rsidR="00593165" w14:paraId="48A2F57F" w14:textId="77777777" w:rsidTr="00856687">
        <w:trPr>
          <w:trHeight w:val="1495"/>
        </w:trPr>
        <w:tc>
          <w:tcPr>
            <w:tcW w:w="1960" w:type="dxa"/>
          </w:tcPr>
          <w:p w14:paraId="48A2F57B" w14:textId="00F1A1F6" w:rsidR="00593165" w:rsidRDefault="00BA7A8F">
            <w:pPr>
              <w:rPr>
                <w:rFonts w:eastAsia="Calibri" w:cs="Arial"/>
                <w:color w:val="000000" w:themeColor="text1"/>
                <w:szCs w:val="20"/>
              </w:rPr>
            </w:pPr>
            <w:r>
              <w:rPr>
                <w:rFonts w:eastAsia="Calibri" w:cs="Arial"/>
                <w:color w:val="000000" w:themeColor="text1"/>
                <w:szCs w:val="20"/>
              </w:rPr>
              <w:t>May</w:t>
            </w:r>
            <w:r w:rsidR="00DD7D4C">
              <w:rPr>
                <w:rFonts w:eastAsia="Calibri" w:cs="Arial"/>
                <w:color w:val="000000" w:themeColor="text1"/>
                <w:szCs w:val="20"/>
              </w:rPr>
              <w:t xml:space="preserve"> </w:t>
            </w:r>
            <w:r>
              <w:rPr>
                <w:rFonts w:eastAsia="Calibri" w:cs="Arial"/>
                <w:color w:val="000000" w:themeColor="text1"/>
                <w:szCs w:val="20"/>
              </w:rPr>
              <w:t>8,</w:t>
            </w:r>
            <w:r w:rsidR="00DD7D4C">
              <w:rPr>
                <w:rFonts w:eastAsia="Calibri" w:cs="Arial"/>
                <w:color w:val="000000" w:themeColor="text1"/>
                <w:szCs w:val="20"/>
              </w:rPr>
              <w:t xml:space="preserve"> </w:t>
            </w:r>
            <w:r w:rsidR="003175AA">
              <w:rPr>
                <w:rFonts w:eastAsia="Calibri" w:cs="Arial"/>
                <w:color w:val="000000" w:themeColor="text1"/>
                <w:szCs w:val="20"/>
              </w:rPr>
              <w:t>2013</w:t>
            </w:r>
          </w:p>
        </w:tc>
        <w:tc>
          <w:tcPr>
            <w:tcW w:w="2520" w:type="dxa"/>
          </w:tcPr>
          <w:p w14:paraId="48A2F57C" w14:textId="77777777" w:rsidR="00593165" w:rsidRDefault="003175AA">
            <w:pPr>
              <w:rPr>
                <w:rFonts w:eastAsia="Calibri" w:cs="Arial"/>
                <w:color w:val="000000" w:themeColor="text1"/>
                <w:szCs w:val="20"/>
              </w:rPr>
            </w:pPr>
            <w:r>
              <w:rPr>
                <w:rFonts w:eastAsia="Calibri" w:cs="Arial"/>
                <w:color w:val="000000" w:themeColor="text1"/>
                <w:szCs w:val="20"/>
              </w:rPr>
              <w:t xml:space="preserve">Wolfgang </w:t>
            </w:r>
            <w:proofErr w:type="spellStart"/>
            <w:r>
              <w:rPr>
                <w:rFonts w:eastAsia="Calibri" w:cs="Arial"/>
                <w:color w:val="000000" w:themeColor="text1"/>
                <w:szCs w:val="20"/>
              </w:rPr>
              <w:t>Raschka</w:t>
            </w:r>
            <w:proofErr w:type="spellEnd"/>
            <w:r>
              <w:rPr>
                <w:rFonts w:eastAsia="Calibri" w:cs="Arial"/>
                <w:color w:val="000000" w:themeColor="text1"/>
                <w:szCs w:val="20"/>
              </w:rPr>
              <w:br/>
              <w:t>(CT CSG PM PE)</w:t>
            </w:r>
          </w:p>
          <w:p w14:paraId="48A2F57D" w14:textId="77777777" w:rsidR="00593165" w:rsidRDefault="003175AA">
            <w:pPr>
              <w:rPr>
                <w:rFonts w:eastAsia="Calibri" w:cs="Arial"/>
                <w:color w:val="000000" w:themeColor="text1"/>
                <w:szCs w:val="20"/>
              </w:rPr>
            </w:pPr>
            <w:r>
              <w:rPr>
                <w:rFonts w:eastAsia="Calibri" w:cs="Arial"/>
                <w:color w:val="000000" w:themeColor="text1"/>
                <w:szCs w:val="20"/>
              </w:rPr>
              <w:t>Martin Felkl</w:t>
            </w:r>
            <w:r>
              <w:rPr>
                <w:rFonts w:eastAsia="Calibri" w:cs="Arial"/>
                <w:color w:val="000000" w:themeColor="text1"/>
                <w:szCs w:val="20"/>
              </w:rPr>
              <w:br/>
              <w:t>(CL CO-O BE)</w:t>
            </w:r>
          </w:p>
        </w:tc>
        <w:tc>
          <w:tcPr>
            <w:tcW w:w="5745" w:type="dxa"/>
          </w:tcPr>
          <w:p w14:paraId="48A2F57E" w14:textId="77777777" w:rsidR="00593165" w:rsidRDefault="003175AA">
            <w:pPr>
              <w:pStyle w:val="Listenabsatz"/>
              <w:numPr>
                <w:ilvl w:val="0"/>
                <w:numId w:val="14"/>
              </w:numPr>
              <w:spacing w:after="0" w:line="240" w:lineRule="auto"/>
              <w:rPr>
                <w:rFonts w:eastAsia="Calibri" w:cs="Arial"/>
                <w:color w:val="000000" w:themeColor="text1"/>
                <w:szCs w:val="20"/>
              </w:rPr>
            </w:pPr>
            <w:r>
              <w:rPr>
                <w:rFonts w:cs="Arial"/>
                <w:color w:val="000000" w:themeColor="text1"/>
                <w:szCs w:val="20"/>
              </w:rPr>
              <w:t>First Version Guidance Compliance in Project Execution</w:t>
            </w:r>
          </w:p>
        </w:tc>
      </w:tr>
      <w:tr w:rsidR="00BA7A8F" w14:paraId="6779E17D" w14:textId="77777777">
        <w:tc>
          <w:tcPr>
            <w:tcW w:w="1960" w:type="dxa"/>
          </w:tcPr>
          <w:p w14:paraId="0D64D86C" w14:textId="5979E187" w:rsidR="00BA7A8F" w:rsidRDefault="00BA7A8F" w:rsidP="00BA7A8F">
            <w:pPr>
              <w:rPr>
                <w:rFonts w:eastAsia="Calibri" w:cs="Arial"/>
                <w:color w:val="000000" w:themeColor="text1"/>
                <w:szCs w:val="20"/>
              </w:rPr>
            </w:pPr>
            <w:r>
              <w:rPr>
                <w:rFonts w:eastAsia="Calibri" w:cs="Arial"/>
                <w:color w:val="000000" w:themeColor="text1"/>
                <w:szCs w:val="20"/>
              </w:rPr>
              <w:t>April 1, 2017</w:t>
            </w:r>
          </w:p>
        </w:tc>
        <w:tc>
          <w:tcPr>
            <w:tcW w:w="2520" w:type="dxa"/>
          </w:tcPr>
          <w:p w14:paraId="70CF632D" w14:textId="5DE9FC81" w:rsidR="00BA7A8F" w:rsidRPr="00856687" w:rsidRDefault="00BA7A8F" w:rsidP="00BA7A8F">
            <w:pPr>
              <w:rPr>
                <w:rFonts w:eastAsia="Calibri" w:cs="Arial"/>
                <w:color w:val="000000" w:themeColor="text1"/>
                <w:szCs w:val="20"/>
                <w:lang w:val="de-DE"/>
              </w:rPr>
            </w:pPr>
            <w:r>
              <w:rPr>
                <w:rFonts w:eastAsia="Calibri" w:cs="Arial"/>
                <w:color w:val="000000" w:themeColor="text1"/>
                <w:szCs w:val="20"/>
                <w:lang w:val="de-DE"/>
              </w:rPr>
              <w:t>Uwe Breitenstein</w:t>
            </w:r>
            <w:r>
              <w:rPr>
                <w:rFonts w:eastAsia="Calibri" w:cs="Arial"/>
                <w:color w:val="000000" w:themeColor="text1"/>
                <w:szCs w:val="20"/>
                <w:lang w:val="de-DE"/>
              </w:rPr>
              <w:br/>
              <w:t>(LC CO GR RM)</w:t>
            </w:r>
          </w:p>
        </w:tc>
        <w:tc>
          <w:tcPr>
            <w:tcW w:w="5745" w:type="dxa"/>
          </w:tcPr>
          <w:p w14:paraId="7488DA52" w14:textId="77777777" w:rsidR="00BA7A8F" w:rsidRDefault="00BA7A8F" w:rsidP="00BA7A8F">
            <w:pPr>
              <w:rPr>
                <w:rFonts w:cs="Arial"/>
                <w:color w:val="000000" w:themeColor="text1"/>
                <w:szCs w:val="20"/>
              </w:rPr>
            </w:pPr>
            <w:r>
              <w:rPr>
                <w:rFonts w:cs="Arial"/>
                <w:color w:val="000000" w:themeColor="text1"/>
                <w:szCs w:val="20"/>
              </w:rPr>
              <w:t>Project Execution</w:t>
            </w:r>
          </w:p>
          <w:p w14:paraId="412C667D" w14:textId="77777777" w:rsidR="00BA7A8F" w:rsidRDefault="00BA7A8F" w:rsidP="00BA7A8F">
            <w:pPr>
              <w:pStyle w:val="Listenabsatz"/>
              <w:numPr>
                <w:ilvl w:val="0"/>
                <w:numId w:val="14"/>
              </w:numPr>
              <w:spacing w:after="0" w:line="240" w:lineRule="auto"/>
              <w:rPr>
                <w:rFonts w:cs="Arial"/>
                <w:color w:val="000000" w:themeColor="text1"/>
                <w:szCs w:val="20"/>
              </w:rPr>
            </w:pPr>
            <w:r>
              <w:rPr>
                <w:rFonts w:cs="Arial"/>
                <w:color w:val="000000" w:themeColor="text1"/>
                <w:szCs w:val="20"/>
              </w:rPr>
              <w:t>Update criteria for identification of relevant projects</w:t>
            </w:r>
          </w:p>
          <w:p w14:paraId="5F64960F" w14:textId="77777777" w:rsidR="00BA7A8F" w:rsidRDefault="00BA7A8F" w:rsidP="00BA7A8F">
            <w:pPr>
              <w:pStyle w:val="Listenabsatz"/>
              <w:numPr>
                <w:ilvl w:val="0"/>
                <w:numId w:val="14"/>
              </w:numPr>
              <w:spacing w:after="0" w:line="240" w:lineRule="auto"/>
              <w:rPr>
                <w:rFonts w:cs="Arial"/>
                <w:color w:val="000000" w:themeColor="text1"/>
                <w:szCs w:val="20"/>
              </w:rPr>
            </w:pPr>
            <w:r>
              <w:rPr>
                <w:rFonts w:cs="Arial"/>
                <w:color w:val="000000" w:themeColor="text1"/>
                <w:szCs w:val="20"/>
              </w:rPr>
              <w:t>Implementation new process</w:t>
            </w:r>
          </w:p>
          <w:p w14:paraId="5F1C9B2C" w14:textId="30DDB6AF" w:rsidR="00BA7A8F" w:rsidRDefault="00BA7A8F" w:rsidP="00BA7A8F">
            <w:pPr>
              <w:pStyle w:val="Listenabsatz"/>
              <w:numPr>
                <w:ilvl w:val="0"/>
                <w:numId w:val="14"/>
              </w:numPr>
              <w:spacing w:after="0" w:line="240" w:lineRule="auto"/>
              <w:rPr>
                <w:rFonts w:cs="Arial"/>
                <w:color w:val="000000" w:themeColor="text1"/>
                <w:szCs w:val="20"/>
              </w:rPr>
            </w:pPr>
            <w:r>
              <w:rPr>
                <w:rFonts w:cs="Arial"/>
                <w:color w:val="000000" w:themeColor="text1"/>
                <w:szCs w:val="20"/>
              </w:rPr>
              <w:t>Definition of roles and responsibilities</w:t>
            </w:r>
          </w:p>
        </w:tc>
      </w:tr>
      <w:tr w:rsidR="00BA7A8F" w14:paraId="5BA6576C" w14:textId="77777777">
        <w:tc>
          <w:tcPr>
            <w:tcW w:w="1960" w:type="dxa"/>
          </w:tcPr>
          <w:p w14:paraId="768473EC" w14:textId="64A49287" w:rsidR="00BA7A8F" w:rsidRDefault="00BA7A8F" w:rsidP="00BA7A8F">
            <w:pPr>
              <w:rPr>
                <w:rFonts w:eastAsia="Calibri" w:cs="Arial"/>
                <w:color w:val="000000" w:themeColor="text1"/>
                <w:szCs w:val="20"/>
              </w:rPr>
            </w:pPr>
            <w:r>
              <w:rPr>
                <w:rFonts w:eastAsia="Calibri" w:cs="Arial"/>
                <w:color w:val="000000" w:themeColor="text1"/>
                <w:szCs w:val="20"/>
              </w:rPr>
              <w:t>November 1, 2017</w:t>
            </w:r>
          </w:p>
        </w:tc>
        <w:tc>
          <w:tcPr>
            <w:tcW w:w="2520" w:type="dxa"/>
          </w:tcPr>
          <w:p w14:paraId="526012F4" w14:textId="7618C68C" w:rsidR="00BA7A8F" w:rsidRPr="00856687" w:rsidRDefault="00BA7A8F" w:rsidP="00BA7A8F">
            <w:pPr>
              <w:rPr>
                <w:rFonts w:eastAsia="Calibri" w:cs="Arial"/>
                <w:color w:val="000000" w:themeColor="text1"/>
                <w:szCs w:val="20"/>
                <w:lang w:val="de-DE"/>
              </w:rPr>
            </w:pPr>
            <w:r>
              <w:rPr>
                <w:rFonts w:eastAsia="Calibri" w:cs="Arial"/>
                <w:color w:val="000000" w:themeColor="text1"/>
                <w:szCs w:val="20"/>
                <w:lang w:val="de-DE"/>
              </w:rPr>
              <w:t>Uwe Breitenstein</w:t>
            </w:r>
            <w:r>
              <w:rPr>
                <w:rFonts w:eastAsia="Calibri" w:cs="Arial"/>
                <w:color w:val="000000" w:themeColor="text1"/>
                <w:szCs w:val="20"/>
                <w:lang w:val="de-DE"/>
              </w:rPr>
              <w:br/>
              <w:t>(LC CO GR RM)</w:t>
            </w:r>
          </w:p>
        </w:tc>
        <w:tc>
          <w:tcPr>
            <w:tcW w:w="5745" w:type="dxa"/>
          </w:tcPr>
          <w:p w14:paraId="2F85CE2A" w14:textId="77777777" w:rsidR="00BA7A8F" w:rsidRDefault="00BA7A8F" w:rsidP="00BA7A8F">
            <w:pPr>
              <w:pStyle w:val="Listenabsatz"/>
              <w:ind w:left="0"/>
              <w:rPr>
                <w:rFonts w:cs="Arial"/>
                <w:color w:val="000000" w:themeColor="text1"/>
                <w:szCs w:val="20"/>
              </w:rPr>
            </w:pPr>
            <w:r>
              <w:rPr>
                <w:rFonts w:cs="Arial"/>
                <w:color w:val="000000" w:themeColor="text1"/>
                <w:szCs w:val="20"/>
              </w:rPr>
              <w:t>Project Sales</w:t>
            </w:r>
          </w:p>
          <w:p w14:paraId="4AC3FBF9" w14:textId="3B42EAEA" w:rsidR="00BA7A8F" w:rsidRDefault="00BA7A8F" w:rsidP="00BA7A8F">
            <w:pPr>
              <w:pStyle w:val="Listenabsatz"/>
              <w:numPr>
                <w:ilvl w:val="0"/>
                <w:numId w:val="14"/>
              </w:numPr>
              <w:spacing w:after="0" w:line="240" w:lineRule="auto"/>
              <w:rPr>
                <w:rFonts w:cs="Arial"/>
                <w:color w:val="000000" w:themeColor="text1"/>
                <w:szCs w:val="20"/>
              </w:rPr>
            </w:pPr>
            <w:r>
              <w:rPr>
                <w:rFonts w:cs="Arial"/>
                <w:color w:val="000000" w:themeColor="text1"/>
                <w:szCs w:val="20"/>
              </w:rPr>
              <w:t>First Version “Guidance Compliance in Project Sales”</w:t>
            </w:r>
          </w:p>
        </w:tc>
      </w:tr>
      <w:tr w:rsidR="00BA7A8F" w14:paraId="2419CD34" w14:textId="77777777">
        <w:tc>
          <w:tcPr>
            <w:tcW w:w="1960" w:type="dxa"/>
          </w:tcPr>
          <w:p w14:paraId="4D4F5296" w14:textId="6C9B424B" w:rsidR="00BA7A8F" w:rsidRDefault="00DD7D4C" w:rsidP="00BA7A8F">
            <w:pPr>
              <w:rPr>
                <w:rFonts w:eastAsia="Calibri" w:cs="Arial"/>
                <w:color w:val="000000" w:themeColor="text1"/>
                <w:szCs w:val="20"/>
              </w:rPr>
            </w:pPr>
            <w:r>
              <w:rPr>
                <w:rFonts w:eastAsia="Calibri" w:cs="Arial"/>
                <w:color w:val="000000" w:themeColor="text1"/>
                <w:szCs w:val="20"/>
              </w:rPr>
              <w:t>May</w:t>
            </w:r>
            <w:r w:rsidR="00BA7A8F">
              <w:rPr>
                <w:rFonts w:eastAsia="Calibri" w:cs="Arial"/>
                <w:color w:val="000000" w:themeColor="text1"/>
                <w:szCs w:val="20"/>
              </w:rPr>
              <w:t xml:space="preserve"> 1, 2018</w:t>
            </w:r>
          </w:p>
        </w:tc>
        <w:tc>
          <w:tcPr>
            <w:tcW w:w="2520" w:type="dxa"/>
          </w:tcPr>
          <w:p w14:paraId="77201197" w14:textId="47F4A7CA" w:rsidR="00BA7A8F" w:rsidRPr="00856687" w:rsidRDefault="00BA7A8F" w:rsidP="00BA7A8F">
            <w:pPr>
              <w:rPr>
                <w:rFonts w:eastAsia="Calibri" w:cs="Arial"/>
                <w:color w:val="000000" w:themeColor="text1"/>
                <w:szCs w:val="20"/>
                <w:lang w:val="de-DE"/>
              </w:rPr>
            </w:pPr>
            <w:r>
              <w:rPr>
                <w:rFonts w:eastAsia="Calibri" w:cs="Arial"/>
                <w:color w:val="000000" w:themeColor="text1"/>
                <w:szCs w:val="20"/>
                <w:lang w:val="de-DE"/>
              </w:rPr>
              <w:t>Uwe Breitenstein</w:t>
            </w:r>
            <w:r>
              <w:rPr>
                <w:rFonts w:eastAsia="Calibri" w:cs="Arial"/>
                <w:color w:val="000000" w:themeColor="text1"/>
                <w:szCs w:val="20"/>
                <w:lang w:val="de-DE"/>
              </w:rPr>
              <w:br/>
              <w:t>(LC CO GR RM)</w:t>
            </w:r>
          </w:p>
        </w:tc>
        <w:tc>
          <w:tcPr>
            <w:tcW w:w="5745" w:type="dxa"/>
          </w:tcPr>
          <w:p w14:paraId="09A9E74F" w14:textId="77777777" w:rsidR="00BA7A8F" w:rsidRDefault="00BA7A8F" w:rsidP="00BA7A8F">
            <w:pPr>
              <w:pStyle w:val="Listenabsatz"/>
              <w:numPr>
                <w:ilvl w:val="0"/>
                <w:numId w:val="12"/>
              </w:numPr>
              <w:spacing w:after="0" w:line="240" w:lineRule="auto"/>
              <w:rPr>
                <w:rFonts w:cs="Arial"/>
                <w:color w:val="000000" w:themeColor="text1"/>
                <w:szCs w:val="20"/>
              </w:rPr>
            </w:pPr>
            <w:r>
              <w:rPr>
                <w:rFonts w:cs="Arial"/>
                <w:color w:val="000000" w:themeColor="text1"/>
                <w:szCs w:val="20"/>
              </w:rPr>
              <w:t xml:space="preserve">Consolidation of the existing </w:t>
            </w:r>
            <w:proofErr w:type="spellStart"/>
            <w:r>
              <w:rPr>
                <w:rFonts w:cs="Arial"/>
                <w:color w:val="000000" w:themeColor="text1"/>
                <w:szCs w:val="20"/>
              </w:rPr>
              <w:t>guidances</w:t>
            </w:r>
            <w:proofErr w:type="spellEnd"/>
            <w:r>
              <w:rPr>
                <w:rFonts w:cs="Arial"/>
                <w:color w:val="000000" w:themeColor="text1"/>
                <w:szCs w:val="20"/>
              </w:rPr>
              <w:t xml:space="preserve"> “sales” and “execution” into one directive “Compliance in Projects”</w:t>
            </w:r>
          </w:p>
          <w:p w14:paraId="244FCA8A" w14:textId="561B6630" w:rsidR="00BA7A8F" w:rsidRDefault="00BA7A8F" w:rsidP="00BA7A8F">
            <w:pPr>
              <w:pStyle w:val="Listenabsatz"/>
              <w:numPr>
                <w:ilvl w:val="0"/>
                <w:numId w:val="14"/>
              </w:numPr>
              <w:spacing w:after="0" w:line="240" w:lineRule="auto"/>
              <w:rPr>
                <w:rFonts w:cs="Arial"/>
                <w:color w:val="000000" w:themeColor="text1"/>
                <w:szCs w:val="20"/>
              </w:rPr>
            </w:pPr>
            <w:r>
              <w:rPr>
                <w:rFonts w:cs="Arial"/>
                <w:color w:val="000000" w:themeColor="text1"/>
                <w:szCs w:val="20"/>
              </w:rPr>
              <w:t>Implementation “Pre-Sales”</w:t>
            </w:r>
          </w:p>
        </w:tc>
      </w:tr>
      <w:tr w:rsidR="00AB18F2" w14:paraId="453B53FE" w14:textId="77777777">
        <w:tc>
          <w:tcPr>
            <w:tcW w:w="1960" w:type="dxa"/>
          </w:tcPr>
          <w:p w14:paraId="4E7B6D6A" w14:textId="7A5F8533" w:rsidR="00AB18F2" w:rsidRDefault="000B1AD8" w:rsidP="00BA7A8F">
            <w:pPr>
              <w:rPr>
                <w:rFonts w:eastAsia="Calibri" w:cs="Arial"/>
                <w:color w:val="000000" w:themeColor="text1"/>
                <w:szCs w:val="20"/>
              </w:rPr>
            </w:pPr>
            <w:r>
              <w:rPr>
                <w:rFonts w:eastAsia="Calibri" w:cs="Arial"/>
                <w:color w:val="000000" w:themeColor="text1"/>
                <w:szCs w:val="20"/>
              </w:rPr>
              <w:t>October 1</w:t>
            </w:r>
            <w:r w:rsidR="00AB18F2">
              <w:rPr>
                <w:rFonts w:eastAsia="Calibri" w:cs="Arial"/>
                <w:color w:val="000000" w:themeColor="text1"/>
                <w:szCs w:val="20"/>
              </w:rPr>
              <w:t>, 2020</w:t>
            </w:r>
          </w:p>
        </w:tc>
        <w:tc>
          <w:tcPr>
            <w:tcW w:w="2520" w:type="dxa"/>
          </w:tcPr>
          <w:p w14:paraId="36C8F66B" w14:textId="77777777" w:rsidR="00AB18F2" w:rsidRPr="000B1AD8" w:rsidRDefault="00AB18F2" w:rsidP="00BA7A8F">
            <w:pPr>
              <w:rPr>
                <w:rFonts w:eastAsia="Calibri" w:cs="Arial"/>
                <w:color w:val="000000" w:themeColor="text1"/>
                <w:szCs w:val="20"/>
              </w:rPr>
            </w:pPr>
            <w:r w:rsidRPr="000B1AD8">
              <w:rPr>
                <w:rFonts w:eastAsia="Calibri" w:cs="Arial"/>
                <w:color w:val="000000" w:themeColor="text1"/>
                <w:szCs w:val="20"/>
              </w:rPr>
              <w:t>Ute Stach</w:t>
            </w:r>
          </w:p>
          <w:p w14:paraId="70214995" w14:textId="68A56DC3" w:rsidR="00AB18F2" w:rsidRPr="000B1AD8" w:rsidRDefault="00AB18F2" w:rsidP="00034196">
            <w:pPr>
              <w:pStyle w:val="KeinAbsatzformat"/>
              <w:rPr>
                <w:lang w:val="en-US"/>
              </w:rPr>
            </w:pPr>
            <w:r w:rsidRPr="000B1AD8">
              <w:rPr>
                <w:lang w:val="en-US"/>
              </w:rPr>
              <w:t>(LC CO PT CO)</w:t>
            </w:r>
          </w:p>
        </w:tc>
        <w:tc>
          <w:tcPr>
            <w:tcW w:w="5745" w:type="dxa"/>
          </w:tcPr>
          <w:p w14:paraId="09DD63A4" w14:textId="7BB7245C" w:rsidR="00AB18F2" w:rsidRDefault="00AB18F2" w:rsidP="00BC3FE7">
            <w:pPr>
              <w:pStyle w:val="Listenabsatz"/>
              <w:numPr>
                <w:ilvl w:val="0"/>
                <w:numId w:val="12"/>
              </w:numPr>
              <w:spacing w:after="0" w:line="240" w:lineRule="auto"/>
              <w:rPr>
                <w:rFonts w:cs="Arial"/>
                <w:color w:val="000000" w:themeColor="text1"/>
                <w:szCs w:val="20"/>
              </w:rPr>
            </w:pPr>
            <w:r>
              <w:rPr>
                <w:rFonts w:cs="Arial"/>
                <w:color w:val="000000" w:themeColor="text1"/>
                <w:szCs w:val="20"/>
              </w:rPr>
              <w:t>Implementation of CMC decision (February 2020</w:t>
            </w:r>
            <w:r w:rsidR="00513A1D">
              <w:rPr>
                <w:rFonts w:cs="Arial"/>
                <w:color w:val="000000" w:themeColor="text1"/>
                <w:szCs w:val="20"/>
              </w:rPr>
              <w:t>/August 2020</w:t>
            </w:r>
            <w:r>
              <w:rPr>
                <w:rFonts w:cs="Arial"/>
                <w:color w:val="000000" w:themeColor="text1"/>
                <w:szCs w:val="20"/>
              </w:rPr>
              <w:t>) regarding Compliance in Project Execution (</w:t>
            </w:r>
            <w:proofErr w:type="spellStart"/>
            <w:r>
              <w:rPr>
                <w:rFonts w:cs="Arial"/>
                <w:color w:val="000000" w:themeColor="text1"/>
                <w:szCs w:val="20"/>
              </w:rPr>
              <w:t>CiPE</w:t>
            </w:r>
            <w:proofErr w:type="spellEnd"/>
            <w:r>
              <w:rPr>
                <w:rFonts w:cs="Arial"/>
                <w:color w:val="000000" w:themeColor="text1"/>
                <w:szCs w:val="20"/>
              </w:rPr>
              <w:t>)</w:t>
            </w:r>
          </w:p>
          <w:p w14:paraId="36DD07F8" w14:textId="77777777" w:rsidR="00BC3FE7" w:rsidRDefault="00BC3FE7" w:rsidP="00BC3FE7">
            <w:pPr>
              <w:numPr>
                <w:ilvl w:val="0"/>
                <w:numId w:val="12"/>
              </w:numPr>
              <w:spacing w:after="0" w:line="240" w:lineRule="auto"/>
              <w:rPr>
                <w:rFonts w:eastAsia="Times New Roman" w:cs="Arial"/>
              </w:rPr>
            </w:pPr>
            <w:r w:rsidRPr="000739E3">
              <w:rPr>
                <w:rFonts w:cs="Arial"/>
                <w:color w:val="000000" w:themeColor="text1"/>
                <w:szCs w:val="20"/>
              </w:rPr>
              <w:t xml:space="preserve">Discontinue the mandatory use of the </w:t>
            </w:r>
            <w:hyperlink r:id="rId45" w:history="1">
              <w:r w:rsidRPr="000739E3">
                <w:rPr>
                  <w:color w:val="000000" w:themeColor="text1"/>
                  <w:szCs w:val="20"/>
                </w:rPr>
                <w:t>criteria used to identify projects in scope of the Compliance in Project Execution process</w:t>
              </w:r>
            </w:hyperlink>
            <w:r>
              <w:rPr>
                <w:rFonts w:eastAsia="Times New Roman" w:cs="Arial"/>
              </w:rPr>
              <w:t xml:space="preserve">. </w:t>
            </w:r>
          </w:p>
          <w:p w14:paraId="4810BD4F" w14:textId="215A00B7" w:rsidR="00BC3FE7" w:rsidRDefault="00AC5C14" w:rsidP="00BC3FE7">
            <w:pPr>
              <w:numPr>
                <w:ilvl w:val="0"/>
                <w:numId w:val="12"/>
              </w:numPr>
              <w:spacing w:after="0" w:line="240" w:lineRule="auto"/>
              <w:rPr>
                <w:rFonts w:cs="Arial"/>
                <w:color w:val="000000" w:themeColor="text1"/>
                <w:szCs w:val="20"/>
              </w:rPr>
            </w:pPr>
            <w:r w:rsidRPr="00D60F3F">
              <w:rPr>
                <w:rFonts w:eastAsia="Times New Roman" w:cs="Arial"/>
                <w:color w:val="000000"/>
                <w:szCs w:val="20"/>
                <w:lang w:eastAsia="de-DE"/>
              </w:rPr>
              <w:t xml:space="preserve">Instead, the responsible Compliance Officer </w:t>
            </w:r>
            <w:r w:rsidR="00E53DEA">
              <w:rPr>
                <w:rFonts w:eastAsia="Times New Roman" w:cs="Arial"/>
                <w:color w:val="000000"/>
                <w:szCs w:val="20"/>
                <w:lang w:eastAsia="de-DE"/>
              </w:rPr>
              <w:t xml:space="preserve">selects projects which are relevant for </w:t>
            </w:r>
            <w:r w:rsidRPr="00D60F3F">
              <w:rPr>
                <w:rFonts w:eastAsia="Times New Roman" w:cs="Arial"/>
                <w:color w:val="000000"/>
                <w:szCs w:val="20"/>
                <w:lang w:eastAsia="de-DE"/>
              </w:rPr>
              <w:t>the project execution process as a mandatory risk mitigation measure during the PM0</w:t>
            </w:r>
            <w:r w:rsidR="00E53DEA">
              <w:rPr>
                <w:rFonts w:eastAsia="Times New Roman" w:cs="Arial"/>
                <w:color w:val="000000"/>
                <w:szCs w:val="20"/>
                <w:lang w:eastAsia="de-DE"/>
              </w:rPr>
              <w:t>7</w:t>
            </w:r>
            <w:r w:rsidRPr="00D60F3F">
              <w:rPr>
                <w:rFonts w:eastAsia="Times New Roman" w:cs="Arial"/>
                <w:color w:val="000000"/>
                <w:szCs w:val="20"/>
                <w:lang w:eastAsia="de-DE"/>
              </w:rPr>
              <w:t>0 sign-off or at any point during the project execution lifecycle.</w:t>
            </w:r>
          </w:p>
        </w:tc>
      </w:tr>
      <w:tr w:rsidR="00E50283" w14:paraId="4CF6B998" w14:textId="77777777">
        <w:tc>
          <w:tcPr>
            <w:tcW w:w="1960" w:type="dxa"/>
          </w:tcPr>
          <w:p w14:paraId="16597B31" w14:textId="0AF6948B" w:rsidR="00E50283" w:rsidRDefault="00E50283" w:rsidP="00BA7A8F">
            <w:pPr>
              <w:rPr>
                <w:rFonts w:eastAsia="Calibri" w:cs="Arial"/>
                <w:color w:val="000000" w:themeColor="text1"/>
                <w:szCs w:val="20"/>
              </w:rPr>
            </w:pPr>
            <w:r>
              <w:rPr>
                <w:rFonts w:eastAsia="Calibri" w:cs="Arial"/>
                <w:color w:val="000000" w:themeColor="text1"/>
                <w:szCs w:val="20"/>
              </w:rPr>
              <w:lastRenderedPageBreak/>
              <w:t>April 1, 2021</w:t>
            </w:r>
          </w:p>
        </w:tc>
        <w:tc>
          <w:tcPr>
            <w:tcW w:w="2520" w:type="dxa"/>
          </w:tcPr>
          <w:p w14:paraId="000283DF" w14:textId="77777777" w:rsidR="00E50283" w:rsidRDefault="00E50283" w:rsidP="00BA7A8F">
            <w:pPr>
              <w:rPr>
                <w:rFonts w:eastAsia="Calibri" w:cs="Arial"/>
                <w:color w:val="000000" w:themeColor="text1"/>
                <w:szCs w:val="20"/>
              </w:rPr>
            </w:pPr>
            <w:r>
              <w:rPr>
                <w:rFonts w:eastAsia="Calibri" w:cs="Arial"/>
                <w:color w:val="000000" w:themeColor="text1"/>
                <w:szCs w:val="20"/>
              </w:rPr>
              <w:t>Peter Lohse</w:t>
            </w:r>
          </w:p>
          <w:p w14:paraId="01D7C286" w14:textId="6631AFBD" w:rsidR="00E50283" w:rsidRPr="00E50283" w:rsidRDefault="00E50283" w:rsidP="00E50283">
            <w:pPr>
              <w:pStyle w:val="KeinAbsatzformat"/>
              <w:rPr>
                <w:lang w:val="en-US"/>
              </w:rPr>
            </w:pPr>
            <w:r>
              <w:rPr>
                <w:lang w:val="en-US"/>
              </w:rPr>
              <w:t>(LC CO DI)</w:t>
            </w:r>
          </w:p>
        </w:tc>
        <w:tc>
          <w:tcPr>
            <w:tcW w:w="5745" w:type="dxa"/>
          </w:tcPr>
          <w:p w14:paraId="4D4E393D" w14:textId="11574091" w:rsidR="00E50283" w:rsidRDefault="00E50283" w:rsidP="00BC3FE7">
            <w:pPr>
              <w:pStyle w:val="Listenabsatz"/>
              <w:numPr>
                <w:ilvl w:val="0"/>
                <w:numId w:val="12"/>
              </w:numPr>
              <w:spacing w:after="0" w:line="240" w:lineRule="auto"/>
              <w:rPr>
                <w:rFonts w:cs="Arial"/>
                <w:color w:val="000000" w:themeColor="text1"/>
                <w:szCs w:val="20"/>
              </w:rPr>
            </w:pPr>
            <w:r>
              <w:rPr>
                <w:rFonts w:cs="Arial"/>
                <w:color w:val="000000" w:themeColor="text1"/>
                <w:szCs w:val="20"/>
              </w:rPr>
              <w:t>New supporting documents for “</w:t>
            </w:r>
            <w:r w:rsidRPr="00E50283">
              <w:rPr>
                <w:rFonts w:cs="Arial"/>
                <w:color w:val="000000" w:themeColor="text1"/>
                <w:szCs w:val="20"/>
              </w:rPr>
              <w:t>Collaboration in innovation projects</w:t>
            </w:r>
            <w:r>
              <w:rPr>
                <w:rFonts w:cs="Arial"/>
                <w:color w:val="000000" w:themeColor="text1"/>
                <w:szCs w:val="20"/>
              </w:rPr>
              <w:t>”</w:t>
            </w:r>
          </w:p>
        </w:tc>
      </w:tr>
    </w:tbl>
    <w:bookmarkEnd w:id="19"/>
    <w:p w14:paraId="48A2F581" w14:textId="77777777" w:rsidR="00593165" w:rsidRDefault="003175AA">
      <w:pPr>
        <w:pStyle w:val="berschrift2"/>
      </w:pPr>
      <w:r>
        <w:t>1.7. Contacts</w:t>
      </w:r>
    </w:p>
    <w:p w14:paraId="48A2F582" w14:textId="77777777" w:rsidR="00593165" w:rsidRDefault="003175AA">
      <w:pPr>
        <w:pStyle w:val="HighlightboxGreyBulletpoints"/>
      </w:pPr>
      <w:bookmarkStart w:id="20" w:name="_Hlk532374409"/>
      <w:r>
        <w:t xml:space="preserve">Compliance Officer </w:t>
      </w:r>
    </w:p>
    <w:bookmarkEnd w:id="20"/>
    <w:p w14:paraId="48A2F583" w14:textId="29B61AE4" w:rsidR="00593165" w:rsidRDefault="003175AA">
      <w:pPr>
        <w:ind w:left="360"/>
      </w:pPr>
      <w:r>
        <w:rPr>
          <w:rFonts w:eastAsia="Siemens Sans" w:cs="Arial"/>
          <w:lang w:eastAsia="de-DE"/>
        </w:rPr>
        <w:t xml:space="preserve">The Compliance Officer responsible for your unit can be found through the following </w:t>
      </w:r>
      <w:hyperlink r:id="rId46" w:history="1">
        <w:r w:rsidRPr="005C6115">
          <w:rPr>
            <w:rStyle w:val="Hyperlink"/>
            <w:rFonts w:eastAsia="Siemens Sans" w:cs="Arial"/>
            <w:lang w:eastAsia="de-DE"/>
          </w:rPr>
          <w:t>link</w:t>
        </w:r>
      </w:hyperlink>
      <w:r>
        <w:rPr>
          <w:rFonts w:eastAsia="Siemens Sans" w:cs="Arial"/>
          <w:lang w:eastAsia="de-DE"/>
        </w:rPr>
        <w:t>.</w:t>
      </w:r>
      <w:r>
        <w:t xml:space="preserve"> </w:t>
      </w:r>
    </w:p>
    <w:p w14:paraId="48A2F584" w14:textId="77777777" w:rsidR="00593165" w:rsidRDefault="003175AA">
      <w:pPr>
        <w:pStyle w:val="HighlightboxGreyBulletpoints"/>
      </w:pPr>
      <w:r>
        <w:t>Corporate Governance Owner</w:t>
      </w:r>
    </w:p>
    <w:p w14:paraId="44FEB2B3" w14:textId="3951C966" w:rsidR="00FE02C5" w:rsidRPr="000739E3" w:rsidRDefault="00A9797B" w:rsidP="000739E3">
      <w:pPr>
        <w:ind w:left="360"/>
        <w:rPr>
          <w:rFonts w:eastAsia="Siemens Sans" w:cs="Arial"/>
          <w:lang w:eastAsia="de-DE"/>
        </w:rPr>
      </w:pPr>
      <w:hyperlink r:id="rId47" w:history="1">
        <w:r w:rsidR="00C07B02" w:rsidRPr="00C03A84">
          <w:rPr>
            <w:rStyle w:val="Hyperlink"/>
          </w:rPr>
          <w:t>Ralph Nohe</w:t>
        </w:r>
        <w:r w:rsidR="00C07B02">
          <w:rPr>
            <w:rStyle w:val="Hyperlink"/>
          </w:rPr>
          <w:t xml:space="preserve"> </w:t>
        </w:r>
        <w:r w:rsidR="00C07B02" w:rsidRPr="00C03A84">
          <w:rPr>
            <w:rStyle w:val="Hyperlink"/>
          </w:rPr>
          <w:t>(LC CO PT CO)</w:t>
        </w:r>
      </w:hyperlink>
    </w:p>
    <w:sectPr w:rsidR="00FE02C5" w:rsidRPr="000739E3">
      <w:headerReference w:type="even" r:id="rId48"/>
      <w:headerReference w:type="default" r:id="rId49"/>
      <w:footerReference w:type="even" r:id="rId50"/>
      <w:footerReference w:type="default" r:id="rId51"/>
      <w:headerReference w:type="first" r:id="rId52"/>
      <w:footerReference w:type="first" r:id="rId53"/>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2BE0E" w14:textId="77777777" w:rsidR="004256F4" w:rsidRDefault="004256F4">
      <w:pPr>
        <w:spacing w:after="0" w:line="240" w:lineRule="auto"/>
      </w:pPr>
      <w:r>
        <w:separator/>
      </w:r>
    </w:p>
  </w:endnote>
  <w:endnote w:type="continuationSeparator" w:id="0">
    <w:p w14:paraId="6BEECE28" w14:textId="77777777" w:rsidR="004256F4" w:rsidRDefault="0042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5B83B" w14:textId="77777777" w:rsidR="004256F4" w:rsidRDefault="004256F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2F5A3" w14:textId="77777777" w:rsidR="004256F4" w:rsidRDefault="004256F4">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B10EA" w14:textId="77777777" w:rsidR="004256F4" w:rsidRDefault="004256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7DC1C" w14:textId="77777777" w:rsidR="004256F4" w:rsidRDefault="004256F4">
      <w:pPr>
        <w:spacing w:after="0" w:line="240" w:lineRule="auto"/>
      </w:pPr>
      <w:r>
        <w:separator/>
      </w:r>
    </w:p>
  </w:footnote>
  <w:footnote w:type="continuationSeparator" w:id="0">
    <w:p w14:paraId="1AF3A4F2" w14:textId="77777777" w:rsidR="004256F4" w:rsidRDefault="004256F4">
      <w:pPr>
        <w:spacing w:after="0" w:line="240" w:lineRule="auto"/>
      </w:pPr>
      <w:r>
        <w:continuationSeparator/>
      </w:r>
    </w:p>
  </w:footnote>
  <w:footnote w:id="1">
    <w:p w14:paraId="48A2F5A6" w14:textId="77777777" w:rsidR="004256F4" w:rsidRDefault="004256F4" w:rsidP="001317B2">
      <w:pPr>
        <w:pStyle w:val="Funotentext"/>
        <w:tabs>
          <w:tab w:val="left" w:pos="2694"/>
        </w:tabs>
        <w:spacing w:after="0"/>
        <w:rPr>
          <w:rFonts w:cs="Arial"/>
          <w:sz w:val="16"/>
          <w:szCs w:val="16"/>
        </w:rPr>
      </w:pPr>
      <w:r>
        <w:rPr>
          <w:rStyle w:val="Funotenzeichen"/>
        </w:rPr>
        <w:footnoteRef/>
      </w:r>
      <w:r>
        <w:t xml:space="preserve"> </w:t>
      </w:r>
      <w:r>
        <w:rPr>
          <w:rFonts w:cs="Arial"/>
          <w:sz w:val="16"/>
          <w:szCs w:val="16"/>
        </w:rPr>
        <w:t>Bid manager, authorized project manager (sales phase) and execution project manager.</w:t>
      </w:r>
    </w:p>
  </w:footnote>
  <w:footnote w:id="2">
    <w:p w14:paraId="48A2F5A7" w14:textId="2916020C" w:rsidR="004256F4" w:rsidRDefault="004256F4" w:rsidP="007B758B">
      <w:pPr>
        <w:pStyle w:val="Funotentext"/>
        <w:spacing w:after="0"/>
      </w:pPr>
      <w:r>
        <w:rPr>
          <w:rStyle w:val="Funotenzeichen"/>
        </w:rPr>
        <w:footnoteRef/>
      </w:r>
      <w:r>
        <w:t xml:space="preserve"> </w:t>
      </w:r>
      <w:r>
        <w:rPr>
          <w:rFonts w:cs="Arial"/>
          <w:sz w:val="16"/>
          <w:szCs w:val="16"/>
        </w:rPr>
        <w:t xml:space="preserve">According to </w:t>
      </w:r>
      <w:hyperlink r:id="rId1" w:anchor="page=4" w:history="1">
        <w:r w:rsidR="00101095" w:rsidRPr="004A7CAB">
          <w:rPr>
            <w:rStyle w:val="Hyperlink"/>
            <w:rFonts w:cs="Arial"/>
            <w:sz w:val="16"/>
            <w:szCs w:val="16"/>
          </w:rPr>
          <w:t>circular No. 182</w:t>
        </w:r>
        <w:r w:rsidR="00101095" w:rsidRPr="004A7CAB">
          <w:rPr>
            <w:rStyle w:val="Hyperlink"/>
            <w:rFonts w:cs="Arial"/>
            <w:sz w:val="16"/>
            <w:szCs w:val="12"/>
          </w:rPr>
          <w:t xml:space="preserve"> </w:t>
        </w:r>
        <w:r w:rsidR="00101095" w:rsidRPr="004A7CAB">
          <w:rPr>
            <w:rStyle w:val="Hyperlink"/>
            <w:rFonts w:cs="Arial"/>
            <w:sz w:val="16"/>
            <w:szCs w:val="16"/>
          </w:rPr>
          <w:t>“Limits of Authority (LoA) Process and Project Approvals”</w:t>
        </w:r>
      </w:hyperlink>
    </w:p>
  </w:footnote>
  <w:footnote w:id="3">
    <w:p w14:paraId="48A2F5A8" w14:textId="77777777" w:rsidR="004256F4" w:rsidRDefault="004256F4" w:rsidP="001317B2">
      <w:pPr>
        <w:pStyle w:val="Funotentext"/>
        <w:tabs>
          <w:tab w:val="left" w:pos="2694"/>
        </w:tabs>
        <w:spacing w:after="0"/>
      </w:pPr>
      <w:r>
        <w:rPr>
          <w:rStyle w:val="Funotenzeichen"/>
        </w:rPr>
        <w:footnoteRef/>
      </w:r>
      <w:r>
        <w:t xml:space="preserve"> </w:t>
      </w:r>
      <w:r>
        <w:rPr>
          <w:rFonts w:cs="Arial"/>
          <w:sz w:val="16"/>
          <w:szCs w:val="16"/>
        </w:rPr>
        <w:t>In line with the latest version</w:t>
      </w:r>
    </w:p>
  </w:footnote>
  <w:footnote w:id="4">
    <w:p w14:paraId="48A2F5A9" w14:textId="77777777" w:rsidR="004256F4" w:rsidRDefault="004256F4" w:rsidP="001317B2">
      <w:pPr>
        <w:pStyle w:val="Funotentext"/>
        <w:tabs>
          <w:tab w:val="left" w:pos="2694"/>
        </w:tabs>
        <w:spacing w:after="0"/>
      </w:pPr>
      <w:r>
        <w:rPr>
          <w:rStyle w:val="Funotenzeichen"/>
        </w:rPr>
        <w:footnoteRef/>
      </w:r>
      <w:r>
        <w:t xml:space="preserve"> </w:t>
      </w:r>
      <w:r>
        <w:rPr>
          <w:rFonts w:cs="Arial"/>
          <w:sz w:val="16"/>
          <w:szCs w:val="16"/>
        </w:rPr>
        <w:t xml:space="preserve">The Authorized Project Manager </w:t>
      </w:r>
      <w:r>
        <w:rPr>
          <w:sz w:val="16"/>
        </w:rPr>
        <w:t>should i</w:t>
      </w:r>
      <w:r>
        <w:rPr>
          <w:rFonts w:cs="Arial"/>
          <w:sz w:val="16"/>
          <w:szCs w:val="16"/>
        </w:rPr>
        <w:t>nform the responsible Business Manager if applicable.</w:t>
      </w:r>
    </w:p>
  </w:footnote>
  <w:footnote w:id="5">
    <w:p w14:paraId="48A2F5AA" w14:textId="124F92C2" w:rsidR="004256F4" w:rsidRDefault="004256F4" w:rsidP="001317B2">
      <w:pPr>
        <w:pStyle w:val="Funotentext"/>
        <w:tabs>
          <w:tab w:val="left" w:pos="2694"/>
        </w:tabs>
        <w:spacing w:after="0"/>
      </w:pPr>
      <w:r>
        <w:rPr>
          <w:rStyle w:val="Funotenzeichen"/>
        </w:rPr>
        <w:footnoteRef/>
      </w:r>
      <w:r>
        <w:t xml:space="preserve"> </w:t>
      </w:r>
      <w:bookmarkStart w:id="3" w:name="_Hlk49420530"/>
      <w:r>
        <w:rPr>
          <w:rFonts w:cs="Arial"/>
          <w:sz w:val="16"/>
          <w:szCs w:val="16"/>
        </w:rPr>
        <w:t xml:space="preserve">The Compliance Officer should be the Compliance Officer for the respective Business (e.g. unit), for example the ACO (Authorized Compliance Officer as defined in the </w:t>
      </w:r>
      <w:proofErr w:type="spellStart"/>
      <w:r>
        <w:rPr>
          <w:rFonts w:cs="Arial"/>
          <w:sz w:val="16"/>
          <w:szCs w:val="16"/>
        </w:rPr>
        <w:t>PM@Siemens</w:t>
      </w:r>
      <w:proofErr w:type="spellEnd"/>
      <w:r>
        <w:rPr>
          <w:rFonts w:cs="Arial"/>
          <w:sz w:val="16"/>
          <w:szCs w:val="16"/>
        </w:rPr>
        <w:t xml:space="preserve"> </w:t>
      </w:r>
      <w:proofErr w:type="spellStart"/>
      <w:r>
        <w:rPr>
          <w:rFonts w:cs="Arial"/>
          <w:sz w:val="16"/>
          <w:szCs w:val="16"/>
        </w:rPr>
        <w:t>LoA</w:t>
      </w:r>
      <w:proofErr w:type="spellEnd"/>
      <w:r>
        <w:rPr>
          <w:rFonts w:cs="Arial"/>
          <w:sz w:val="16"/>
          <w:szCs w:val="16"/>
        </w:rPr>
        <w:t xml:space="preserve"> Tool), the mandated Compliance Officer (e.g. operational Compliance Officer) or the Country Compliance Officer or a nominated representative.</w:t>
      </w:r>
    </w:p>
    <w:bookmarkEnd w:id="3"/>
  </w:footnote>
  <w:footnote w:id="6">
    <w:p w14:paraId="48A2F5AC" w14:textId="23000B27" w:rsidR="004256F4" w:rsidRDefault="004256F4" w:rsidP="001317B2">
      <w:pPr>
        <w:pStyle w:val="Funotentext"/>
        <w:spacing w:after="0"/>
        <w:rPr>
          <w:rFonts w:cs="Arial"/>
          <w:sz w:val="16"/>
          <w:szCs w:val="16"/>
        </w:rPr>
      </w:pPr>
      <w:r>
        <w:rPr>
          <w:rStyle w:val="Funotenzeichen"/>
          <w:sz w:val="16"/>
          <w:szCs w:val="16"/>
        </w:rPr>
        <w:footnoteRef/>
      </w:r>
      <w:r>
        <w:rPr>
          <w:rFonts w:cs="Arial"/>
          <w:sz w:val="16"/>
          <w:szCs w:val="16"/>
        </w:rPr>
        <w:t xml:space="preserve"> Anti</w:t>
      </w:r>
      <w:r w:rsidR="0038635A">
        <w:rPr>
          <w:rFonts w:cs="Arial"/>
          <w:sz w:val="16"/>
          <w:szCs w:val="16"/>
        </w:rPr>
        <w:t>-</w:t>
      </w:r>
      <w:r>
        <w:rPr>
          <w:rFonts w:cs="Arial"/>
          <w:sz w:val="16"/>
          <w:szCs w:val="16"/>
        </w:rPr>
        <w:t xml:space="preserve">Corruption High-risk countries are stored in the </w:t>
      </w:r>
      <w:proofErr w:type="spellStart"/>
      <w:r>
        <w:rPr>
          <w:rFonts w:cs="Arial"/>
          <w:sz w:val="16"/>
          <w:szCs w:val="16"/>
        </w:rPr>
        <w:t>PM@Siemens</w:t>
      </w:r>
      <w:proofErr w:type="spellEnd"/>
      <w:r>
        <w:rPr>
          <w:rFonts w:cs="Arial"/>
          <w:sz w:val="16"/>
          <w:szCs w:val="16"/>
        </w:rPr>
        <w:t xml:space="preserve"> </w:t>
      </w:r>
      <w:proofErr w:type="spellStart"/>
      <w:r>
        <w:rPr>
          <w:rFonts w:cs="Arial"/>
          <w:sz w:val="16"/>
          <w:szCs w:val="16"/>
        </w:rPr>
        <w:t>LoA</w:t>
      </w:r>
      <w:proofErr w:type="spellEnd"/>
      <w:r>
        <w:rPr>
          <w:rFonts w:cs="Arial"/>
          <w:sz w:val="16"/>
          <w:szCs w:val="16"/>
        </w:rPr>
        <w:t xml:space="preserve"> Tool. Transparency International publishes the Corruption Perception Index (TI/CPI). Based on these ratings (average over the past two years) and a risk evaluation by LC CO, the Compliance Country Ratings (low/medium/high) have been prepared. </w:t>
      </w:r>
    </w:p>
  </w:footnote>
  <w:footnote w:id="7">
    <w:p w14:paraId="48A2F5AD" w14:textId="77777777" w:rsidR="004256F4" w:rsidRDefault="004256F4" w:rsidP="001317B2">
      <w:pPr>
        <w:pStyle w:val="Funotentext"/>
        <w:spacing w:after="0"/>
        <w:rPr>
          <w:rFonts w:cs="Arial"/>
          <w:sz w:val="16"/>
          <w:szCs w:val="16"/>
        </w:rPr>
      </w:pPr>
      <w:r>
        <w:rPr>
          <w:rStyle w:val="Funotenzeichen"/>
          <w:sz w:val="16"/>
          <w:szCs w:val="16"/>
        </w:rPr>
        <w:footnoteRef/>
      </w:r>
      <w:r>
        <w:rPr>
          <w:rFonts w:cs="Arial"/>
          <w:sz w:val="16"/>
          <w:szCs w:val="16"/>
        </w:rPr>
        <w:t xml:space="preserve"> Siemens entity that signs the contract with the customer. In the </w:t>
      </w:r>
      <w:proofErr w:type="spellStart"/>
      <w:r>
        <w:rPr>
          <w:rFonts w:cs="Arial"/>
          <w:sz w:val="16"/>
          <w:szCs w:val="16"/>
        </w:rPr>
        <w:t>PM@Siemens</w:t>
      </w:r>
      <w:proofErr w:type="spellEnd"/>
      <w:r>
        <w:rPr>
          <w:rFonts w:cs="Arial"/>
          <w:sz w:val="16"/>
          <w:szCs w:val="16"/>
        </w:rPr>
        <w:t xml:space="preserve"> </w:t>
      </w:r>
      <w:proofErr w:type="spellStart"/>
      <w:r>
        <w:rPr>
          <w:rFonts w:cs="Arial"/>
          <w:sz w:val="16"/>
          <w:szCs w:val="16"/>
        </w:rPr>
        <w:t>LoA</w:t>
      </w:r>
      <w:proofErr w:type="spellEnd"/>
      <w:r>
        <w:rPr>
          <w:rFonts w:cs="Arial"/>
          <w:sz w:val="16"/>
          <w:szCs w:val="16"/>
        </w:rPr>
        <w:t xml:space="preserve"> Tool this is indicated as the “ARE country” (ARE = </w:t>
      </w:r>
      <w:proofErr w:type="spellStart"/>
      <w:r>
        <w:rPr>
          <w:rFonts w:cs="Arial"/>
          <w:sz w:val="16"/>
          <w:szCs w:val="16"/>
        </w:rPr>
        <w:t>Abrechnungseinheit</w:t>
      </w:r>
      <w:proofErr w:type="spellEnd"/>
      <w:r>
        <w:rPr>
          <w:rFonts w:cs="Arial"/>
          <w:sz w:val="16"/>
          <w:szCs w:val="16"/>
        </w:rPr>
        <w:t>).</w:t>
      </w:r>
    </w:p>
  </w:footnote>
  <w:footnote w:id="8">
    <w:p w14:paraId="48A2F5AE" w14:textId="77777777" w:rsidR="004256F4" w:rsidRDefault="004256F4" w:rsidP="001317B2">
      <w:pPr>
        <w:pStyle w:val="Funotentext"/>
        <w:spacing w:after="0"/>
      </w:pPr>
      <w:r>
        <w:rPr>
          <w:rStyle w:val="Funotenzeichen"/>
          <w:sz w:val="16"/>
        </w:rPr>
        <w:footnoteRef/>
      </w:r>
      <w:r>
        <w:rPr>
          <w:sz w:val="16"/>
        </w:rPr>
        <w:t xml:space="preserve"> </w:t>
      </w:r>
      <w:r>
        <w:rPr>
          <w:rFonts w:cs="Arial"/>
          <w:sz w:val="16"/>
          <w:szCs w:val="16"/>
        </w:rPr>
        <w:t xml:space="preserve">Only the institutions listed in the </w:t>
      </w:r>
      <w:proofErr w:type="spellStart"/>
      <w:r>
        <w:rPr>
          <w:rFonts w:cs="Arial"/>
          <w:sz w:val="16"/>
          <w:szCs w:val="16"/>
        </w:rPr>
        <w:t>PM@Siemens</w:t>
      </w:r>
      <w:proofErr w:type="spellEnd"/>
      <w:r>
        <w:rPr>
          <w:rFonts w:cs="Arial"/>
          <w:sz w:val="16"/>
          <w:szCs w:val="16"/>
        </w:rPr>
        <w:t xml:space="preserve"> </w:t>
      </w:r>
      <w:proofErr w:type="spellStart"/>
      <w:r>
        <w:rPr>
          <w:rFonts w:cs="Arial"/>
          <w:sz w:val="16"/>
          <w:szCs w:val="16"/>
        </w:rPr>
        <w:t>LoA</w:t>
      </w:r>
      <w:proofErr w:type="spellEnd"/>
      <w:r>
        <w:rPr>
          <w:rFonts w:cs="Arial"/>
          <w:sz w:val="16"/>
          <w:szCs w:val="16"/>
        </w:rPr>
        <w:t xml:space="preserve"> Process Tool (Section Key Data) need to be considered.</w:t>
      </w:r>
    </w:p>
  </w:footnote>
  <w:footnote w:id="9">
    <w:p w14:paraId="48A2F5AF" w14:textId="507F3922" w:rsidR="004256F4" w:rsidRDefault="004256F4" w:rsidP="001317B2">
      <w:pPr>
        <w:pStyle w:val="Funotentext"/>
        <w:spacing w:after="0"/>
        <w:rPr>
          <w:rFonts w:cs="Arial"/>
          <w:sz w:val="16"/>
          <w:szCs w:val="16"/>
        </w:rPr>
      </w:pPr>
      <w:r>
        <w:rPr>
          <w:rStyle w:val="Funotenzeichen"/>
          <w:sz w:val="16"/>
          <w:szCs w:val="16"/>
        </w:rPr>
        <w:footnoteRef/>
      </w:r>
      <w:r>
        <w:rPr>
          <w:rStyle w:val="Funotenzeichen"/>
          <w:sz w:val="16"/>
          <w:szCs w:val="16"/>
        </w:rPr>
        <w:t xml:space="preserve"> </w:t>
      </w:r>
      <w:r>
        <w:rPr>
          <w:rFonts w:cs="Arial"/>
          <w:sz w:val="16"/>
          <w:szCs w:val="16"/>
        </w:rPr>
        <w:t xml:space="preserve">A </w:t>
      </w:r>
      <w:r>
        <w:rPr>
          <w:sz w:val="16"/>
        </w:rPr>
        <w:t>Nominated major vendor</w:t>
      </w:r>
      <w:r>
        <w:rPr>
          <w:rFonts w:cs="Arial"/>
          <w:sz w:val="16"/>
          <w:szCs w:val="16"/>
        </w:rPr>
        <w:t xml:space="preserve"> is any external company/firm that supplies goods, carries out work, performs services or supports Siemens in any other way (</w:t>
      </w:r>
      <w:r>
        <w:rPr>
          <w:sz w:val="16"/>
        </w:rPr>
        <w:t>including all kind of subcontractors, sub suppliers and suppliers/manufacturers etc</w:t>
      </w:r>
      <w:r>
        <w:rPr>
          <w:rFonts w:cs="Arial"/>
          <w:sz w:val="16"/>
          <w:szCs w:val="16"/>
        </w:rPr>
        <w:t xml:space="preserve">.) which is mandatorily required by the customer or any third party without choice or </w:t>
      </w:r>
      <w:r>
        <w:rPr>
          <w:sz w:val="16"/>
        </w:rPr>
        <w:t>technically understandable reason for single sourcing in regard to a certain LoA</w:t>
      </w:r>
      <w:r>
        <w:rPr>
          <w:rFonts w:cs="Arial"/>
          <w:sz w:val="16"/>
          <w:szCs w:val="16"/>
        </w:rPr>
        <w:t xml:space="preserve">, if </w:t>
      </w:r>
      <w:r>
        <w:rPr>
          <w:sz w:val="16"/>
        </w:rPr>
        <w:t>the Businesses specific threshold for share of volume and value of order apply</w:t>
      </w:r>
      <w:r>
        <w:rPr>
          <w:rFonts w:cs="Arial"/>
          <w:sz w:val="16"/>
          <w:szCs w:val="16"/>
        </w:rPr>
        <w:t>.</w:t>
      </w:r>
    </w:p>
  </w:footnote>
  <w:footnote w:id="10">
    <w:p w14:paraId="48A2F5B1" w14:textId="77777777" w:rsidR="004256F4" w:rsidRDefault="004256F4" w:rsidP="001317B2">
      <w:pPr>
        <w:pStyle w:val="Funotentext"/>
        <w:spacing w:after="0"/>
      </w:pPr>
      <w:r>
        <w:rPr>
          <w:rStyle w:val="Funotenzeichen"/>
          <w:sz w:val="16"/>
        </w:rPr>
        <w:footnoteRef/>
      </w:r>
      <w:r>
        <w:t xml:space="preserve"> </w:t>
      </w:r>
      <w:r>
        <w:rPr>
          <w:sz w:val="16"/>
        </w:rPr>
        <w:t>Compliance Risk Summary provides an overview of project relevant information, compliance relevant risks and defined mitigation measures.</w:t>
      </w:r>
    </w:p>
  </w:footnote>
  <w:footnote w:id="11">
    <w:p w14:paraId="48A2F5B2" w14:textId="78742DF2" w:rsidR="004256F4" w:rsidRPr="004A7CAB" w:rsidRDefault="004256F4" w:rsidP="001317B2">
      <w:pPr>
        <w:pStyle w:val="Funotentext"/>
        <w:spacing w:after="0"/>
        <w:rPr>
          <w:sz w:val="18"/>
          <w:szCs w:val="18"/>
        </w:rPr>
      </w:pPr>
      <w:r>
        <w:rPr>
          <w:rStyle w:val="Funotenzeichen"/>
        </w:rPr>
        <w:footnoteRef/>
      </w:r>
      <w:r>
        <w:t xml:space="preserve"> </w:t>
      </w:r>
      <w:r>
        <w:rPr>
          <w:rFonts w:cs="Arial"/>
          <w:sz w:val="16"/>
          <w:szCs w:val="16"/>
        </w:rPr>
        <w:t xml:space="preserve">Escalation level according to </w:t>
      </w:r>
      <w:hyperlink r:id="rId2" w:anchor="page=4" w:history="1">
        <w:r w:rsidR="004A7CAB" w:rsidRPr="004A7CAB">
          <w:rPr>
            <w:rStyle w:val="Hyperlink"/>
            <w:rFonts w:cs="Arial"/>
            <w:sz w:val="16"/>
            <w:szCs w:val="16"/>
          </w:rPr>
          <w:t>circular No. 182</w:t>
        </w:r>
        <w:r w:rsidR="004A7CAB" w:rsidRPr="004A7CAB">
          <w:rPr>
            <w:rStyle w:val="Hyperlink"/>
            <w:rFonts w:cs="Arial"/>
            <w:sz w:val="16"/>
            <w:szCs w:val="12"/>
          </w:rPr>
          <w:t xml:space="preserve"> </w:t>
        </w:r>
        <w:r w:rsidR="004A7CAB" w:rsidRPr="004A7CAB">
          <w:rPr>
            <w:rStyle w:val="Hyperlink"/>
            <w:rFonts w:cs="Arial"/>
            <w:sz w:val="16"/>
            <w:szCs w:val="16"/>
          </w:rPr>
          <w:t>“Limits of Authority (LoA) Process and Project Approvals”</w:t>
        </w:r>
      </w:hyperlink>
    </w:p>
  </w:footnote>
  <w:footnote w:id="12">
    <w:p w14:paraId="48A2F5B3" w14:textId="77777777" w:rsidR="004256F4" w:rsidRDefault="004256F4" w:rsidP="001317B2">
      <w:pPr>
        <w:pStyle w:val="Funotentext"/>
        <w:spacing w:after="0"/>
      </w:pPr>
      <w:r>
        <w:rPr>
          <w:rStyle w:val="Funotenzeichen"/>
        </w:rPr>
        <w:footnoteRef/>
      </w:r>
      <w:r>
        <w:t xml:space="preserve"> </w:t>
      </w:r>
      <w:r>
        <w:rPr>
          <w:rFonts w:cs="Arial"/>
          <w:sz w:val="16"/>
          <w:szCs w:val="16"/>
        </w:rPr>
        <w:t>The mitigation measures could also include appropriate Collective Action activities such as Compliance and Integrity Pacts in Consortia.</w:t>
      </w:r>
    </w:p>
  </w:footnote>
  <w:footnote w:id="13">
    <w:p w14:paraId="1C891A8B" w14:textId="77777777" w:rsidR="00D51D06" w:rsidRDefault="00D51D06" w:rsidP="00D51D06">
      <w:pPr>
        <w:pStyle w:val="Funotentext"/>
        <w:spacing w:after="0"/>
      </w:pPr>
      <w:r>
        <w:rPr>
          <w:rStyle w:val="Funotenzeichen"/>
        </w:rPr>
        <w:footnoteRef/>
      </w:r>
      <w:r>
        <w:t xml:space="preserve"> </w:t>
      </w:r>
      <w:r>
        <w:rPr>
          <w:sz w:val="16"/>
        </w:rPr>
        <w:t xml:space="preserve">according to </w:t>
      </w:r>
      <w:hyperlink r:id="rId3" w:history="1">
        <w:r w:rsidRPr="00C93631">
          <w:rPr>
            <w:rStyle w:val="Hyperlink"/>
            <w:sz w:val="16"/>
          </w:rPr>
          <w:t>Compliance Han</w:t>
        </w:r>
        <w:r w:rsidRPr="00BC3FE7">
          <w:rPr>
            <w:rStyle w:val="Hyperlink"/>
            <w:sz w:val="16"/>
          </w:rPr>
          <w:t>dbook A 3</w:t>
        </w:r>
      </w:hyperlink>
    </w:p>
  </w:footnote>
  <w:footnote w:id="14">
    <w:p w14:paraId="48A2F5B6" w14:textId="77777777" w:rsidR="004256F4" w:rsidRDefault="004256F4" w:rsidP="001317B2">
      <w:pPr>
        <w:pStyle w:val="Funotentext"/>
        <w:spacing w:after="0"/>
        <w:rPr>
          <w:rFonts w:cs="Arial"/>
        </w:rPr>
      </w:pPr>
      <w:r>
        <w:rPr>
          <w:rStyle w:val="Funotenzeichen"/>
          <w:rFonts w:eastAsiaTheme="majorEastAsia"/>
          <w:sz w:val="16"/>
        </w:rPr>
        <w:footnoteRef/>
      </w:r>
      <w:r>
        <w:rPr>
          <w:rFonts w:cs="Arial"/>
          <w:sz w:val="16"/>
        </w:rPr>
        <w:t xml:space="preserve"> </w:t>
      </w:r>
      <w:r>
        <w:rPr>
          <w:sz w:val="16"/>
        </w:rPr>
        <w:t>The meeting can also take the form of a Live Meeting, telephone conference or similar virtual conferencing.</w:t>
      </w:r>
    </w:p>
  </w:footnote>
  <w:footnote w:id="15">
    <w:p w14:paraId="48A2F5B7" w14:textId="7D1433B3" w:rsidR="004256F4" w:rsidRDefault="004256F4" w:rsidP="001317B2">
      <w:pPr>
        <w:pStyle w:val="Funotentext"/>
        <w:spacing w:after="0"/>
        <w:rPr>
          <w:lang w:val="en-GB"/>
        </w:rPr>
      </w:pPr>
      <w:r>
        <w:rPr>
          <w:rStyle w:val="Funotenzeichen"/>
        </w:rPr>
        <w:footnoteRef/>
      </w:r>
      <w:r>
        <w:rPr>
          <w:lang w:val="en-GB"/>
        </w:rPr>
        <w:t xml:space="preserve"> </w:t>
      </w:r>
      <w:r>
        <w:rPr>
          <w:rFonts w:cs="Arial"/>
          <w:sz w:val="16"/>
        </w:rPr>
        <w:t xml:space="preserve">For further examples, red flags and sample measures to avoid Compliance risks see </w:t>
      </w:r>
      <w:hyperlink r:id="rId4" w:history="1">
        <w:r w:rsidRPr="0058382F">
          <w:rPr>
            <w:rStyle w:val="Hyperlink"/>
            <w:rFonts w:cs="Arial"/>
            <w:sz w:val="16"/>
          </w:rPr>
          <w:fldChar w:fldCharType="begin"/>
        </w:r>
        <w:r w:rsidRPr="0058382F">
          <w:rPr>
            <w:rStyle w:val="Hyperlink"/>
            <w:rFonts w:cs="Arial"/>
            <w:sz w:val="16"/>
          </w:rPr>
          <w:instrText xml:space="preserve"> "https://www.xxxxx(in" </w:instrText>
        </w:r>
        <w:r w:rsidRPr="0058382F">
          <w:rPr>
            <w:rStyle w:val="Hyperlink"/>
            <w:rFonts w:cs="Arial"/>
            <w:sz w:val="16"/>
          </w:rPr>
          <w:fldChar w:fldCharType="separate"/>
        </w:r>
        <w:r w:rsidRPr="0058382F">
          <w:rPr>
            <w:rStyle w:val="Hyperlink"/>
          </w:rPr>
          <w:t>https://www.xxxxx(in</w:t>
        </w:r>
        <w:r w:rsidRPr="0058382F">
          <w:rPr>
            <w:rStyle w:val="Hyperlink"/>
          </w:rPr>
          <w:fldChar w:fldCharType="end"/>
        </w:r>
        <w:r w:rsidRPr="0058382F">
          <w:rPr>
            <w:rStyle w:val="Hyperlink"/>
            <w:rFonts w:cs="Arial"/>
            <w:sz w:val="16"/>
          </w:rPr>
          <w:t xml:space="preserve">Project </w:t>
        </w:r>
        <w:r w:rsidR="00623D64" w:rsidRPr="0058382F">
          <w:rPr>
            <w:rStyle w:val="Hyperlink"/>
            <w:rFonts w:cs="Arial"/>
            <w:sz w:val="16"/>
          </w:rPr>
          <w:t xml:space="preserve">Compliance </w:t>
        </w:r>
        <w:r w:rsidRPr="0058382F">
          <w:rPr>
            <w:rStyle w:val="Hyperlink"/>
            <w:rFonts w:cs="Arial"/>
            <w:sz w:val="16"/>
          </w:rPr>
          <w:t>Risk Landscape</w:t>
        </w:r>
      </w:hyperlink>
      <w:r>
        <w:rPr>
          <w:rFonts w:cs="Arial"/>
          <w:sz w:val="16"/>
        </w:rPr>
        <w:t>.</w:t>
      </w:r>
    </w:p>
  </w:footnote>
  <w:footnote w:id="16">
    <w:p w14:paraId="48A2F5B8" w14:textId="28CBCE75" w:rsidR="004256F4" w:rsidRPr="00976D0D" w:rsidRDefault="004256F4" w:rsidP="001317B2">
      <w:pPr>
        <w:pStyle w:val="Funotentext"/>
        <w:spacing w:after="0"/>
        <w:rPr>
          <w:sz w:val="16"/>
          <w:szCs w:val="16"/>
          <w:lang w:val="en-GB"/>
        </w:rPr>
      </w:pPr>
      <w:r>
        <w:rPr>
          <w:rStyle w:val="Funotenzeichen"/>
        </w:rPr>
        <w:footnoteRef/>
      </w:r>
      <w:r w:rsidRPr="00976D0D">
        <w:rPr>
          <w:lang w:val="en-GB"/>
        </w:rPr>
        <w:t xml:space="preserve"> </w:t>
      </w:r>
      <w:hyperlink r:id="rId5" w:history="1">
        <w:r w:rsidR="00976D0D" w:rsidRPr="00976D0D">
          <w:rPr>
            <w:rStyle w:val="Hyperlink"/>
            <w:sz w:val="16"/>
            <w:szCs w:val="16"/>
            <w:lang w:val="en-GB"/>
          </w:rPr>
          <w:t>Siemens Compliance Corruption Country Rating</w:t>
        </w:r>
      </w:hyperlink>
    </w:p>
  </w:footnote>
  <w:footnote w:id="17">
    <w:p w14:paraId="48A2F5B9" w14:textId="77777777" w:rsidR="004256F4" w:rsidRDefault="004256F4" w:rsidP="001317B2">
      <w:pPr>
        <w:pStyle w:val="Funotentext"/>
        <w:spacing w:after="0"/>
      </w:pPr>
      <w:r>
        <w:rPr>
          <w:rFonts w:cs="Arial"/>
          <w:sz w:val="14"/>
        </w:rPr>
        <w:footnoteRef/>
      </w:r>
      <w:r>
        <w:rPr>
          <w:rFonts w:cs="Arial"/>
          <w:sz w:val="16"/>
        </w:rPr>
        <w:t xml:space="preserve"> Business Partner Compliance Due Diligence</w:t>
      </w:r>
    </w:p>
  </w:footnote>
  <w:footnote w:id="18">
    <w:p w14:paraId="48A2F5BB" w14:textId="50669A01" w:rsidR="004256F4" w:rsidRDefault="004256F4" w:rsidP="00101095">
      <w:pPr>
        <w:spacing w:after="0"/>
      </w:pPr>
      <w:r>
        <w:rPr>
          <w:rStyle w:val="Funotenzeichen"/>
        </w:rPr>
        <w:footnoteRef/>
      </w:r>
      <w:r>
        <w:t xml:space="preserve"> </w:t>
      </w:r>
      <w:r>
        <w:rPr>
          <w:rFonts w:eastAsia="Calibri" w:cs="Arial"/>
          <w:i/>
          <w:iCs/>
          <w:color w:val="1F497D"/>
          <w:szCs w:val="20"/>
          <w:lang w:eastAsia="de-DE"/>
        </w:rPr>
        <w:t>„</w:t>
      </w:r>
      <w:r>
        <w:rPr>
          <w:rFonts w:cs="Arial"/>
          <w:sz w:val="16"/>
          <w:szCs w:val="20"/>
        </w:rPr>
        <w:t>Normally this includes governmental projects but there might be reasons not to include them due to low risks”</w:t>
      </w:r>
    </w:p>
  </w:footnote>
  <w:footnote w:id="19">
    <w:p w14:paraId="48A2F5BC" w14:textId="77777777" w:rsidR="004256F4" w:rsidRDefault="004256F4" w:rsidP="001317B2">
      <w:pPr>
        <w:pStyle w:val="Funotentext"/>
        <w:spacing w:after="0"/>
        <w:rPr>
          <w:rFonts w:cs="Arial"/>
          <w:sz w:val="16"/>
          <w:szCs w:val="16"/>
        </w:rPr>
      </w:pPr>
      <w:r>
        <w:rPr>
          <w:rStyle w:val="Funotenzeichen"/>
          <w:rFonts w:eastAsiaTheme="majorEastAsia"/>
          <w:sz w:val="16"/>
          <w:szCs w:val="16"/>
        </w:rPr>
        <w:footnoteRef/>
      </w:r>
      <w:r>
        <w:rPr>
          <w:rFonts w:cs="Arial"/>
          <w:sz w:val="16"/>
          <w:szCs w:val="16"/>
        </w:rPr>
        <w:t xml:space="preserve"> The place of activity/normal place of employment of the Authorized Compliance Officer responsible for the country is decisive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0041C" w14:textId="77777777" w:rsidR="004256F4" w:rsidRDefault="004256F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4256F4" w14:paraId="48A2F59C" w14:textId="77777777" w:rsidTr="00593165">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48A2F598" w14:textId="77777777" w:rsidR="004256F4" w:rsidRDefault="004256F4">
          <w:pPr>
            <w:pStyle w:val="Kopfzeile"/>
            <w:ind w:left="-426"/>
          </w:pPr>
          <w:r>
            <w:t>z</w:t>
          </w:r>
        </w:p>
      </w:tc>
      <w:tc>
        <w:tcPr>
          <w:tcW w:w="624" w:type="dxa"/>
        </w:tcPr>
        <w:p w14:paraId="48A2F599" w14:textId="77777777" w:rsidR="004256F4" w:rsidRDefault="004256F4">
          <w:pPr>
            <w:pStyle w:val="Kopfzeile"/>
            <w:ind w:left="-641"/>
          </w:pPr>
        </w:p>
      </w:tc>
      <w:tc>
        <w:tcPr>
          <w:tcW w:w="9752" w:type="dxa"/>
        </w:tcPr>
        <w:p w14:paraId="48A2F59A" w14:textId="77777777" w:rsidR="004256F4" w:rsidRDefault="004256F4">
          <w:pPr>
            <w:pStyle w:val="Kopfzeile"/>
          </w:pPr>
        </w:p>
      </w:tc>
      <w:tc>
        <w:tcPr>
          <w:tcW w:w="1173" w:type="dxa"/>
        </w:tcPr>
        <w:p w14:paraId="48A2F59B" w14:textId="77777777" w:rsidR="004256F4" w:rsidRDefault="004256F4">
          <w:pPr>
            <w:pStyle w:val="Kopfzeile"/>
          </w:pPr>
        </w:p>
      </w:tc>
    </w:tr>
    <w:tr w:rsidR="004256F4" w14:paraId="48A2F5A1" w14:textId="77777777" w:rsidTr="00593165">
      <w:trPr>
        <w:cantSplit/>
        <w:trHeight w:hRule="exact" w:val="575"/>
      </w:trPr>
      <w:tc>
        <w:tcPr>
          <w:tcW w:w="1020" w:type="dxa"/>
        </w:tcPr>
        <w:p w14:paraId="48A2F59D" w14:textId="77777777" w:rsidR="004256F4" w:rsidRDefault="004256F4">
          <w:pPr>
            <w:pStyle w:val="Fuzeile"/>
          </w:pPr>
        </w:p>
      </w:tc>
      <w:tc>
        <w:tcPr>
          <w:tcW w:w="624" w:type="dxa"/>
          <w:vAlign w:val="bottom"/>
        </w:tcPr>
        <w:p w14:paraId="48A2F59E" w14:textId="77777777" w:rsidR="004256F4" w:rsidRDefault="004256F4">
          <w:pPr>
            <w:pStyle w:val="Fuzeile"/>
            <w:jc w:val="center"/>
          </w:pPr>
          <w:r>
            <w:rPr>
              <w:noProof/>
            </w:rPr>
            <w:drawing>
              <wp:inline distT="0" distB="0" distL="0" distR="0" wp14:anchorId="48A2F5A4" wp14:editId="48A2F5A5">
                <wp:extent cx="346710" cy="305061"/>
                <wp:effectExtent l="19050" t="0" r="0" b="0"/>
                <wp:docPr id="4"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48A2F59F" w14:textId="008AE318" w:rsidR="004256F4" w:rsidRDefault="004256F4">
          <w:pPr>
            <w:pStyle w:val="Header"/>
          </w:pPr>
          <w:r>
            <w:t>Compliance Handbook | Part 2 | H. Compliance in Business Processes | 1. Compliance in Project Business</w:t>
          </w:r>
        </w:p>
      </w:tc>
      <w:tc>
        <w:tcPr>
          <w:tcW w:w="1173" w:type="dxa"/>
        </w:tcPr>
        <w:p w14:paraId="48A2F5A0" w14:textId="77777777" w:rsidR="004256F4" w:rsidRDefault="004256F4">
          <w:pPr>
            <w:pStyle w:val="Header"/>
          </w:pPr>
        </w:p>
      </w:tc>
    </w:tr>
  </w:tbl>
  <w:p w14:paraId="48A2F5A2" w14:textId="77777777" w:rsidR="004256F4" w:rsidRDefault="004256F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86308" w14:textId="77777777" w:rsidR="004256F4" w:rsidRDefault="004256F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00F3"/>
    <w:multiLevelType w:val="multilevel"/>
    <w:tmpl w:val="21D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22B6"/>
    <w:multiLevelType w:val="hybridMultilevel"/>
    <w:tmpl w:val="CD1A10EA"/>
    <w:lvl w:ilvl="0" w:tplc="9B8CD03E">
      <w:start w:val="1"/>
      <w:numFmt w:val="bullet"/>
      <w:lvlText w:val=""/>
      <w:lvlJc w:val="left"/>
      <w:pPr>
        <w:ind w:left="720" w:hanging="360"/>
      </w:pPr>
      <w:rPr>
        <w:rFonts w:ascii="Symbol" w:hAnsi="Symbol" w:hint="default"/>
        <w:color w:val="BECDD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161CF"/>
    <w:multiLevelType w:val="hybridMultilevel"/>
    <w:tmpl w:val="06C86DE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EC12813"/>
    <w:multiLevelType w:val="hybridMultilevel"/>
    <w:tmpl w:val="3AF41DC2"/>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5" w15:restartNumberingAfterBreak="0">
    <w:nsid w:val="10F36C41"/>
    <w:multiLevelType w:val="multilevel"/>
    <w:tmpl w:val="7F902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8" w15:restartNumberingAfterBreak="0">
    <w:nsid w:val="1B041E1D"/>
    <w:multiLevelType w:val="hybridMultilevel"/>
    <w:tmpl w:val="060AEEBE"/>
    <w:lvl w:ilvl="0" w:tplc="9B8CD03E">
      <w:start w:val="1"/>
      <w:numFmt w:val="bullet"/>
      <w:lvlText w:val=""/>
      <w:lvlJc w:val="left"/>
      <w:pPr>
        <w:ind w:left="360" w:hanging="360"/>
      </w:pPr>
      <w:rPr>
        <w:rFonts w:ascii="Symbol" w:hAnsi="Symbol" w:hint="default"/>
        <w:color w:val="BECDD7" w:themeColor="background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26DA244E"/>
    <w:multiLevelType w:val="hybridMultilevel"/>
    <w:tmpl w:val="E8C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35BEC"/>
    <w:multiLevelType w:val="hybridMultilevel"/>
    <w:tmpl w:val="760C4942"/>
    <w:lvl w:ilvl="0" w:tplc="9B8CD03E">
      <w:start w:val="1"/>
      <w:numFmt w:val="bullet"/>
      <w:lvlText w:val=""/>
      <w:lvlJc w:val="left"/>
      <w:pPr>
        <w:ind w:left="720" w:hanging="360"/>
      </w:pPr>
      <w:rPr>
        <w:rFonts w:ascii="Symbol" w:hAnsi="Symbol" w:hint="default"/>
        <w:color w:val="BECDD7" w:themeColor="background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555D41"/>
    <w:multiLevelType w:val="hybridMultilevel"/>
    <w:tmpl w:val="4A5AC8B2"/>
    <w:lvl w:ilvl="0" w:tplc="EE40BD2A">
      <w:start w:val="1"/>
      <w:numFmt w:val="bullet"/>
      <w:lvlText w:val=""/>
      <w:lvlJc w:val="left"/>
      <w:pPr>
        <w:ind w:left="720" w:hanging="360"/>
      </w:pPr>
      <w:rPr>
        <w:rFonts w:ascii="Symbol" w:hAnsi="Symbol" w:hint="default"/>
        <w:sz w:val="20"/>
        <w:szCs w:val="2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7B216A"/>
    <w:multiLevelType w:val="multilevel"/>
    <w:tmpl w:val="26F60ED8"/>
    <w:lvl w:ilvl="0">
      <w:start w:val="1"/>
      <w:numFmt w:val="decimal"/>
      <w:lvlText w:val="%1."/>
      <w:lvlJc w:val="left"/>
      <w:pPr>
        <w:ind w:left="876" w:hanging="516"/>
      </w:pPr>
      <w:rPr>
        <w:rFonts w:hint="default"/>
      </w:rPr>
    </w:lvl>
    <w:lvl w:ilvl="1">
      <w:start w:val="3"/>
      <w:numFmt w:val="decimal"/>
      <w:isLgl/>
      <w:lvlText w:val="%1.%2."/>
      <w:lvlJc w:val="left"/>
      <w:pPr>
        <w:ind w:left="1200" w:hanging="8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4" w15:restartNumberingAfterBreak="0">
    <w:nsid w:val="3FF5638B"/>
    <w:multiLevelType w:val="hybridMultilevel"/>
    <w:tmpl w:val="376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F5D34"/>
    <w:multiLevelType w:val="hybridMultilevel"/>
    <w:tmpl w:val="CB5E85D8"/>
    <w:lvl w:ilvl="0" w:tplc="9B8CD03E">
      <w:start w:val="1"/>
      <w:numFmt w:val="bullet"/>
      <w:lvlText w:val=""/>
      <w:lvlJc w:val="left"/>
      <w:pPr>
        <w:ind w:left="720" w:hanging="360"/>
      </w:pPr>
      <w:rPr>
        <w:rFonts w:ascii="Symbol" w:hAnsi="Symbol" w:hint="default"/>
        <w:color w:val="BECDD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E5C31"/>
    <w:multiLevelType w:val="hybridMultilevel"/>
    <w:tmpl w:val="78C0F370"/>
    <w:lvl w:ilvl="0" w:tplc="3E5006B4">
      <w:start w:val="3"/>
      <w:numFmt w:val="lowerLetter"/>
      <w:lvlText w:val="%1."/>
      <w:lvlJc w:val="left"/>
      <w:pPr>
        <w:ind w:left="1080" w:hanging="360"/>
      </w:pPr>
      <w:rPr>
        <w:rFonts w:hint="default"/>
        <w:color w:val="auto"/>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3600A5C"/>
    <w:multiLevelType w:val="hybridMultilevel"/>
    <w:tmpl w:val="203E538C"/>
    <w:lvl w:ilvl="0" w:tplc="9B8CD03E">
      <w:start w:val="1"/>
      <w:numFmt w:val="bullet"/>
      <w:lvlText w:val=""/>
      <w:lvlJc w:val="left"/>
      <w:pPr>
        <w:ind w:left="360" w:hanging="360"/>
      </w:pPr>
      <w:rPr>
        <w:rFonts w:ascii="Symbol" w:hAnsi="Symbol" w:hint="default"/>
        <w:color w:val="BECDD7" w:themeColor="background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801555"/>
    <w:multiLevelType w:val="hybridMultilevel"/>
    <w:tmpl w:val="3AECF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84C37"/>
    <w:multiLevelType w:val="hybridMultilevel"/>
    <w:tmpl w:val="5BFAE1C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1" w15:restartNumberingAfterBreak="0">
    <w:nsid w:val="56804010"/>
    <w:multiLevelType w:val="hybridMultilevel"/>
    <w:tmpl w:val="E8F6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B565F"/>
    <w:multiLevelType w:val="multilevel"/>
    <w:tmpl w:val="77E6208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584B24"/>
    <w:multiLevelType w:val="hybridMultilevel"/>
    <w:tmpl w:val="B37E7628"/>
    <w:lvl w:ilvl="0" w:tplc="9B8CD03E">
      <w:start w:val="1"/>
      <w:numFmt w:val="bullet"/>
      <w:lvlText w:val=""/>
      <w:lvlJc w:val="left"/>
      <w:pPr>
        <w:ind w:left="360" w:hanging="360"/>
      </w:pPr>
      <w:rPr>
        <w:rFonts w:ascii="Symbol" w:hAnsi="Symbol" w:hint="default"/>
        <w:color w:val="BECDD7" w:themeColor="background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61D862B1"/>
    <w:multiLevelType w:val="hybridMultilevel"/>
    <w:tmpl w:val="B3040C56"/>
    <w:lvl w:ilvl="0" w:tplc="9B8CD03E">
      <w:start w:val="1"/>
      <w:numFmt w:val="bullet"/>
      <w:lvlText w:val=""/>
      <w:lvlJc w:val="left"/>
      <w:pPr>
        <w:ind w:left="360" w:hanging="360"/>
      </w:pPr>
      <w:rPr>
        <w:rFonts w:ascii="Symbol" w:hAnsi="Symbol" w:hint="default"/>
        <w:color w:val="BECDD7" w:themeColor="background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2D307CE"/>
    <w:multiLevelType w:val="hybridMultilevel"/>
    <w:tmpl w:val="36E42700"/>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70E25D42"/>
    <w:multiLevelType w:val="hybridMultilevel"/>
    <w:tmpl w:val="B19C34D2"/>
    <w:lvl w:ilvl="0" w:tplc="0FC0B704">
      <w:start w:val="1"/>
      <w:numFmt w:val="bullet"/>
      <w:pStyle w:val="DoDontBulletpoints"/>
      <w:lvlText w:val="▌"/>
      <w:lvlJc w:val="left"/>
      <w:pPr>
        <w:ind w:left="360" w:hanging="360"/>
      </w:pPr>
      <w:rPr>
        <w:rFonts w:ascii="Arial" w:hAnsi="Arial" w:hint="default"/>
      </w:rPr>
    </w:lvl>
    <w:lvl w:ilvl="1" w:tplc="04070001">
      <w:start w:val="1"/>
      <w:numFmt w:val="bullet"/>
      <w:lvlText w:val=""/>
      <w:lvlJc w:val="left"/>
      <w:pPr>
        <w:ind w:left="1080" w:hanging="360"/>
      </w:pPr>
      <w:rPr>
        <w:rFonts w:ascii="Symbol" w:hAnsi="Symbol"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7" w15:restartNumberingAfterBreak="0">
    <w:nsid w:val="7C6D39E1"/>
    <w:multiLevelType w:val="hybridMultilevel"/>
    <w:tmpl w:val="77F08EF0"/>
    <w:lvl w:ilvl="0" w:tplc="F4FE538A">
      <w:start w:val="1"/>
      <w:numFmt w:val="bullet"/>
      <w:lvlText w:val="•"/>
      <w:lvlJc w:val="left"/>
      <w:pPr>
        <w:tabs>
          <w:tab w:val="num" w:pos="720"/>
        </w:tabs>
        <w:ind w:left="720" w:hanging="360"/>
      </w:pPr>
      <w:rPr>
        <w:rFonts w:ascii="Arial" w:hAnsi="Arial" w:cs="Times New Roman" w:hint="default"/>
      </w:rPr>
    </w:lvl>
    <w:lvl w:ilvl="1" w:tplc="55421D9E">
      <w:start w:val="1"/>
      <w:numFmt w:val="bullet"/>
      <w:lvlText w:val="•"/>
      <w:lvlJc w:val="left"/>
      <w:pPr>
        <w:tabs>
          <w:tab w:val="num" w:pos="1440"/>
        </w:tabs>
        <w:ind w:left="1440" w:hanging="360"/>
      </w:pPr>
      <w:rPr>
        <w:rFonts w:ascii="Arial" w:hAnsi="Arial" w:cs="Times New Roman" w:hint="default"/>
      </w:rPr>
    </w:lvl>
    <w:lvl w:ilvl="2" w:tplc="BB88C688">
      <w:start w:val="1"/>
      <w:numFmt w:val="bullet"/>
      <w:lvlText w:val="•"/>
      <w:lvlJc w:val="left"/>
      <w:pPr>
        <w:tabs>
          <w:tab w:val="num" w:pos="2160"/>
        </w:tabs>
        <w:ind w:left="2160" w:hanging="360"/>
      </w:pPr>
      <w:rPr>
        <w:rFonts w:ascii="Arial" w:hAnsi="Arial" w:cs="Times New Roman" w:hint="default"/>
      </w:rPr>
    </w:lvl>
    <w:lvl w:ilvl="3" w:tplc="0C1018DA">
      <w:start w:val="1"/>
      <w:numFmt w:val="bullet"/>
      <w:lvlText w:val="•"/>
      <w:lvlJc w:val="left"/>
      <w:pPr>
        <w:tabs>
          <w:tab w:val="num" w:pos="2880"/>
        </w:tabs>
        <w:ind w:left="2880" w:hanging="360"/>
      </w:pPr>
      <w:rPr>
        <w:rFonts w:ascii="Arial" w:hAnsi="Arial" w:cs="Times New Roman" w:hint="default"/>
      </w:rPr>
    </w:lvl>
    <w:lvl w:ilvl="4" w:tplc="C3D66A60">
      <w:start w:val="1"/>
      <w:numFmt w:val="bullet"/>
      <w:lvlText w:val="•"/>
      <w:lvlJc w:val="left"/>
      <w:pPr>
        <w:tabs>
          <w:tab w:val="num" w:pos="3600"/>
        </w:tabs>
        <w:ind w:left="3600" w:hanging="360"/>
      </w:pPr>
      <w:rPr>
        <w:rFonts w:ascii="Arial" w:hAnsi="Arial" w:cs="Times New Roman" w:hint="default"/>
      </w:rPr>
    </w:lvl>
    <w:lvl w:ilvl="5" w:tplc="70D62874">
      <w:start w:val="1"/>
      <w:numFmt w:val="bullet"/>
      <w:lvlText w:val="•"/>
      <w:lvlJc w:val="left"/>
      <w:pPr>
        <w:tabs>
          <w:tab w:val="num" w:pos="4320"/>
        </w:tabs>
        <w:ind w:left="4320" w:hanging="360"/>
      </w:pPr>
      <w:rPr>
        <w:rFonts w:ascii="Arial" w:hAnsi="Arial" w:cs="Times New Roman" w:hint="default"/>
      </w:rPr>
    </w:lvl>
    <w:lvl w:ilvl="6" w:tplc="5FFA62A6">
      <w:start w:val="1"/>
      <w:numFmt w:val="bullet"/>
      <w:lvlText w:val="•"/>
      <w:lvlJc w:val="left"/>
      <w:pPr>
        <w:tabs>
          <w:tab w:val="num" w:pos="5040"/>
        </w:tabs>
        <w:ind w:left="5040" w:hanging="360"/>
      </w:pPr>
      <w:rPr>
        <w:rFonts w:ascii="Arial" w:hAnsi="Arial" w:cs="Times New Roman" w:hint="default"/>
      </w:rPr>
    </w:lvl>
    <w:lvl w:ilvl="7" w:tplc="DABE392E">
      <w:start w:val="1"/>
      <w:numFmt w:val="bullet"/>
      <w:lvlText w:val="•"/>
      <w:lvlJc w:val="left"/>
      <w:pPr>
        <w:tabs>
          <w:tab w:val="num" w:pos="5760"/>
        </w:tabs>
        <w:ind w:left="5760" w:hanging="360"/>
      </w:pPr>
      <w:rPr>
        <w:rFonts w:ascii="Arial" w:hAnsi="Arial" w:cs="Times New Roman" w:hint="default"/>
      </w:rPr>
    </w:lvl>
    <w:lvl w:ilvl="8" w:tplc="19B8FB4C">
      <w:start w:val="1"/>
      <w:numFmt w:val="bullet"/>
      <w:lvlText w:val="•"/>
      <w:lvlJc w:val="left"/>
      <w:pPr>
        <w:tabs>
          <w:tab w:val="num" w:pos="6480"/>
        </w:tabs>
        <w:ind w:left="6480" w:hanging="360"/>
      </w:pPr>
      <w:rPr>
        <w:rFonts w:ascii="Arial" w:hAnsi="Arial" w:cs="Times New Roman" w:hint="default"/>
      </w:rPr>
    </w:lvl>
  </w:abstractNum>
  <w:num w:numId="1">
    <w:abstractNumId w:val="7"/>
  </w:num>
  <w:num w:numId="2">
    <w:abstractNumId w:val="6"/>
  </w:num>
  <w:num w:numId="3">
    <w:abstractNumId w:val="26"/>
  </w:num>
  <w:num w:numId="4">
    <w:abstractNumId w:val="13"/>
  </w:num>
  <w:num w:numId="5">
    <w:abstractNumId w:val="18"/>
  </w:num>
  <w:num w:numId="6">
    <w:abstractNumId w:val="4"/>
  </w:num>
  <w:num w:numId="7">
    <w:abstractNumId w:val="12"/>
  </w:num>
  <w:num w:numId="8">
    <w:abstractNumId w:val="19"/>
  </w:num>
  <w:num w:numId="9">
    <w:abstractNumId w:val="11"/>
  </w:num>
  <w:num w:numId="10">
    <w:abstractNumId w:val="21"/>
  </w:num>
  <w:num w:numId="11">
    <w:abstractNumId w:val="9"/>
  </w:num>
  <w:num w:numId="12">
    <w:abstractNumId w:val="3"/>
  </w:num>
  <w:num w:numId="13">
    <w:abstractNumId w:val="2"/>
  </w:num>
  <w:num w:numId="14">
    <w:abstractNumId w:val="25"/>
  </w:num>
  <w:num w:numId="15">
    <w:abstractNumId w:val="16"/>
  </w:num>
  <w:num w:numId="16">
    <w:abstractNumId w:val="1"/>
  </w:num>
  <w:num w:numId="17">
    <w:abstractNumId w:val="10"/>
  </w:num>
  <w:num w:numId="18">
    <w:abstractNumId w:val="15"/>
  </w:num>
  <w:num w:numId="19">
    <w:abstractNumId w:val="8"/>
  </w:num>
  <w:num w:numId="20">
    <w:abstractNumId w:val="23"/>
  </w:num>
  <w:num w:numId="21">
    <w:abstractNumId w:val="17"/>
  </w:num>
  <w:num w:numId="22">
    <w:abstractNumId w:val="24"/>
  </w:num>
  <w:num w:numId="23">
    <w:abstractNumId w:val="0"/>
  </w:num>
  <w:num w:numId="24">
    <w:abstractNumId w:val="14"/>
  </w:num>
  <w:num w:numId="25">
    <w:abstractNumId w:val="26"/>
  </w:num>
  <w:num w:numId="26">
    <w:abstractNumId w:val="26"/>
  </w:num>
  <w:num w:numId="27">
    <w:abstractNumId w:val="22"/>
  </w:num>
  <w:num w:numId="28">
    <w:abstractNumId w:val="26"/>
  </w:num>
  <w:num w:numId="29">
    <w:abstractNumId w:val="26"/>
  </w:num>
  <w:num w:numId="30">
    <w:abstractNumId w:val="26"/>
  </w:num>
  <w:num w:numId="31">
    <w:abstractNumId w:val="26"/>
  </w:num>
  <w:num w:numId="32">
    <w:abstractNumId w:val="26"/>
  </w:num>
  <w:num w:numId="33">
    <w:abstractNumId w:val="5"/>
  </w:num>
  <w:num w:numId="34">
    <w:abstractNumId w:val="27"/>
  </w:num>
  <w:num w:numId="3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65"/>
    <w:rsid w:val="00034196"/>
    <w:rsid w:val="000414C7"/>
    <w:rsid w:val="00055A97"/>
    <w:rsid w:val="000739E3"/>
    <w:rsid w:val="000762F7"/>
    <w:rsid w:val="000816A8"/>
    <w:rsid w:val="000A1C9F"/>
    <w:rsid w:val="000A50AB"/>
    <w:rsid w:val="000A5183"/>
    <w:rsid w:val="000A6DF5"/>
    <w:rsid w:val="000B1AD8"/>
    <w:rsid w:val="000C3D70"/>
    <w:rsid w:val="000C4A6E"/>
    <w:rsid w:val="000D5E87"/>
    <w:rsid w:val="000D6421"/>
    <w:rsid w:val="000E21DA"/>
    <w:rsid w:val="000F57CD"/>
    <w:rsid w:val="00101095"/>
    <w:rsid w:val="0010492D"/>
    <w:rsid w:val="001317B2"/>
    <w:rsid w:val="001369D8"/>
    <w:rsid w:val="00143221"/>
    <w:rsid w:val="00145642"/>
    <w:rsid w:val="0014684A"/>
    <w:rsid w:val="00154B34"/>
    <w:rsid w:val="001677E8"/>
    <w:rsid w:val="001B7A28"/>
    <w:rsid w:val="001D2263"/>
    <w:rsid w:val="001E2F5D"/>
    <w:rsid w:val="00204A12"/>
    <w:rsid w:val="00207856"/>
    <w:rsid w:val="00210517"/>
    <w:rsid w:val="00234451"/>
    <w:rsid w:val="00237970"/>
    <w:rsid w:val="002434C8"/>
    <w:rsid w:val="002558C6"/>
    <w:rsid w:val="00265458"/>
    <w:rsid w:val="002B5534"/>
    <w:rsid w:val="002E059B"/>
    <w:rsid w:val="002F4FB3"/>
    <w:rsid w:val="00303F53"/>
    <w:rsid w:val="00311100"/>
    <w:rsid w:val="003118CC"/>
    <w:rsid w:val="003175AA"/>
    <w:rsid w:val="0032092F"/>
    <w:rsid w:val="0034468C"/>
    <w:rsid w:val="0034526A"/>
    <w:rsid w:val="003460F9"/>
    <w:rsid w:val="00347099"/>
    <w:rsid w:val="00352B7E"/>
    <w:rsid w:val="003803B2"/>
    <w:rsid w:val="0038635A"/>
    <w:rsid w:val="003902F3"/>
    <w:rsid w:val="00390371"/>
    <w:rsid w:val="003A08B6"/>
    <w:rsid w:val="003A6207"/>
    <w:rsid w:val="003B78E2"/>
    <w:rsid w:val="003D3299"/>
    <w:rsid w:val="003E0C5D"/>
    <w:rsid w:val="003E6EDF"/>
    <w:rsid w:val="003F372E"/>
    <w:rsid w:val="003F7077"/>
    <w:rsid w:val="00402D80"/>
    <w:rsid w:val="00405941"/>
    <w:rsid w:val="004256F4"/>
    <w:rsid w:val="00443776"/>
    <w:rsid w:val="00465CF9"/>
    <w:rsid w:val="00471966"/>
    <w:rsid w:val="004A7CAB"/>
    <w:rsid w:val="004B1359"/>
    <w:rsid w:val="004B1A68"/>
    <w:rsid w:val="004B2C3D"/>
    <w:rsid w:val="004C5E95"/>
    <w:rsid w:val="004D22E7"/>
    <w:rsid w:val="004E16A4"/>
    <w:rsid w:val="004E5059"/>
    <w:rsid w:val="004F5104"/>
    <w:rsid w:val="00513A1D"/>
    <w:rsid w:val="005267D4"/>
    <w:rsid w:val="00531EE3"/>
    <w:rsid w:val="00546BB7"/>
    <w:rsid w:val="00557DDD"/>
    <w:rsid w:val="00563BF9"/>
    <w:rsid w:val="005665CA"/>
    <w:rsid w:val="005754C2"/>
    <w:rsid w:val="00582D29"/>
    <w:rsid w:val="005835BE"/>
    <w:rsid w:val="0058382F"/>
    <w:rsid w:val="00587E08"/>
    <w:rsid w:val="00593165"/>
    <w:rsid w:val="005B1A20"/>
    <w:rsid w:val="005B2D58"/>
    <w:rsid w:val="005C6115"/>
    <w:rsid w:val="005D542D"/>
    <w:rsid w:val="005E6D34"/>
    <w:rsid w:val="0061110C"/>
    <w:rsid w:val="00623D64"/>
    <w:rsid w:val="00640B85"/>
    <w:rsid w:val="00642585"/>
    <w:rsid w:val="00651CDC"/>
    <w:rsid w:val="006708F3"/>
    <w:rsid w:val="0067333C"/>
    <w:rsid w:val="00676BB9"/>
    <w:rsid w:val="00687726"/>
    <w:rsid w:val="006A3FB2"/>
    <w:rsid w:val="006C2423"/>
    <w:rsid w:val="006C3DF8"/>
    <w:rsid w:val="006D2430"/>
    <w:rsid w:val="006F46DC"/>
    <w:rsid w:val="00707483"/>
    <w:rsid w:val="007164F0"/>
    <w:rsid w:val="0072541E"/>
    <w:rsid w:val="00747755"/>
    <w:rsid w:val="00751FCB"/>
    <w:rsid w:val="007544F7"/>
    <w:rsid w:val="00764837"/>
    <w:rsid w:val="007777B2"/>
    <w:rsid w:val="00787FA3"/>
    <w:rsid w:val="007B758B"/>
    <w:rsid w:val="007C1E7F"/>
    <w:rsid w:val="007D139B"/>
    <w:rsid w:val="007D7D2F"/>
    <w:rsid w:val="007E48C1"/>
    <w:rsid w:val="007F5FAE"/>
    <w:rsid w:val="00803740"/>
    <w:rsid w:val="00806C9C"/>
    <w:rsid w:val="008354AE"/>
    <w:rsid w:val="00840BAC"/>
    <w:rsid w:val="00843C97"/>
    <w:rsid w:val="00851E65"/>
    <w:rsid w:val="00856687"/>
    <w:rsid w:val="00862B36"/>
    <w:rsid w:val="008644EB"/>
    <w:rsid w:val="0088245C"/>
    <w:rsid w:val="00887060"/>
    <w:rsid w:val="008A2192"/>
    <w:rsid w:val="008A356E"/>
    <w:rsid w:val="008B6A06"/>
    <w:rsid w:val="008C1322"/>
    <w:rsid w:val="008C54BE"/>
    <w:rsid w:val="008D6055"/>
    <w:rsid w:val="00902E96"/>
    <w:rsid w:val="009146AC"/>
    <w:rsid w:val="00936674"/>
    <w:rsid w:val="009564E3"/>
    <w:rsid w:val="0096045E"/>
    <w:rsid w:val="00976D0D"/>
    <w:rsid w:val="00994021"/>
    <w:rsid w:val="009B334D"/>
    <w:rsid w:val="009E144D"/>
    <w:rsid w:val="00A16824"/>
    <w:rsid w:val="00A1725B"/>
    <w:rsid w:val="00A2089D"/>
    <w:rsid w:val="00A27C76"/>
    <w:rsid w:val="00A34DB6"/>
    <w:rsid w:val="00A9797B"/>
    <w:rsid w:val="00AA4830"/>
    <w:rsid w:val="00AB18F2"/>
    <w:rsid w:val="00AC5C14"/>
    <w:rsid w:val="00AD06A8"/>
    <w:rsid w:val="00AD6C39"/>
    <w:rsid w:val="00AF388E"/>
    <w:rsid w:val="00B01953"/>
    <w:rsid w:val="00B342D1"/>
    <w:rsid w:val="00B363C2"/>
    <w:rsid w:val="00B40A01"/>
    <w:rsid w:val="00B40FAE"/>
    <w:rsid w:val="00B43E85"/>
    <w:rsid w:val="00B5217B"/>
    <w:rsid w:val="00B535A9"/>
    <w:rsid w:val="00B66859"/>
    <w:rsid w:val="00B76C3D"/>
    <w:rsid w:val="00B80451"/>
    <w:rsid w:val="00B958F7"/>
    <w:rsid w:val="00BA7A8F"/>
    <w:rsid w:val="00BB1167"/>
    <w:rsid w:val="00BC3FE7"/>
    <w:rsid w:val="00BC702C"/>
    <w:rsid w:val="00C04BD3"/>
    <w:rsid w:val="00C07B02"/>
    <w:rsid w:val="00C13D64"/>
    <w:rsid w:val="00C22735"/>
    <w:rsid w:val="00C250A6"/>
    <w:rsid w:val="00C40388"/>
    <w:rsid w:val="00C44085"/>
    <w:rsid w:val="00C93631"/>
    <w:rsid w:val="00CA4FBD"/>
    <w:rsid w:val="00CA5063"/>
    <w:rsid w:val="00CA7C98"/>
    <w:rsid w:val="00CB0795"/>
    <w:rsid w:val="00CB73C1"/>
    <w:rsid w:val="00CD2F63"/>
    <w:rsid w:val="00CF2475"/>
    <w:rsid w:val="00D1425B"/>
    <w:rsid w:val="00D42F1D"/>
    <w:rsid w:val="00D468CE"/>
    <w:rsid w:val="00D51D06"/>
    <w:rsid w:val="00D709BC"/>
    <w:rsid w:val="00D768DD"/>
    <w:rsid w:val="00D8097B"/>
    <w:rsid w:val="00D96193"/>
    <w:rsid w:val="00DB2CE2"/>
    <w:rsid w:val="00DD7D4C"/>
    <w:rsid w:val="00E00C00"/>
    <w:rsid w:val="00E0477B"/>
    <w:rsid w:val="00E134AC"/>
    <w:rsid w:val="00E22F08"/>
    <w:rsid w:val="00E25AA4"/>
    <w:rsid w:val="00E36D1B"/>
    <w:rsid w:val="00E427E8"/>
    <w:rsid w:val="00E50283"/>
    <w:rsid w:val="00E503D5"/>
    <w:rsid w:val="00E53DEA"/>
    <w:rsid w:val="00E84223"/>
    <w:rsid w:val="00E919C9"/>
    <w:rsid w:val="00EA5669"/>
    <w:rsid w:val="00EC0777"/>
    <w:rsid w:val="00EC188C"/>
    <w:rsid w:val="00EC5155"/>
    <w:rsid w:val="00ED230C"/>
    <w:rsid w:val="00ED6128"/>
    <w:rsid w:val="00F31115"/>
    <w:rsid w:val="00F35E45"/>
    <w:rsid w:val="00F4072B"/>
    <w:rsid w:val="00F55295"/>
    <w:rsid w:val="00F65CC8"/>
    <w:rsid w:val="00F73187"/>
    <w:rsid w:val="00F75037"/>
    <w:rsid w:val="00F94AA7"/>
    <w:rsid w:val="00F9683E"/>
    <w:rsid w:val="00FD19E3"/>
    <w:rsid w:val="00FE02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8A2F486"/>
  <w15:docId w15:val="{08D0D264-F46C-440E-A232-FFCF55D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rsid w:val="008C1322"/>
    <w:pPr>
      <w:keepNext/>
      <w:keepLines/>
      <w:spacing w:before="480" w:after="24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sid w:val="008C1322"/>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table" w:customStyle="1" w:styleId="Tabellenraster1">
    <w:name w:val="Tabellenraster1"/>
    <w:basedOn w:val="NormaleTabelle"/>
    <w:next w:val="Tabellenraster"/>
    <w:uiPriority w:val="59"/>
    <w:pPr>
      <w:spacing w:after="0"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ocharspacing03pt">
    <w:name w:val="o_charspacing03pt"/>
    <w:basedOn w:val="Absatz-Standardschriftart"/>
  </w:style>
  <w:style w:type="paragraph" w:customStyle="1" w:styleId="next">
    <w:name w:val="next"/>
    <w:basedOn w:val="Standard"/>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3E6EDF"/>
    <w:rPr>
      <w:color w:val="605E5C"/>
      <w:shd w:val="clear" w:color="auto" w:fill="E1DFDD"/>
    </w:rPr>
  </w:style>
  <w:style w:type="paragraph" w:styleId="Verzeichnis2">
    <w:name w:val="toc 2"/>
    <w:basedOn w:val="Standard"/>
    <w:next w:val="Standard"/>
    <w:autoRedefine/>
    <w:uiPriority w:val="39"/>
    <w:unhideWhenUsed/>
    <w:rsid w:val="00B5217B"/>
    <w:pPr>
      <w:spacing w:after="100"/>
      <w:ind w:left="200"/>
    </w:pPr>
  </w:style>
  <w:style w:type="paragraph" w:styleId="Verzeichnis3">
    <w:name w:val="toc 3"/>
    <w:basedOn w:val="Standard"/>
    <w:next w:val="Standard"/>
    <w:autoRedefine/>
    <w:uiPriority w:val="39"/>
    <w:unhideWhenUsed/>
    <w:rsid w:val="00B5217B"/>
    <w:pPr>
      <w:spacing w:after="100"/>
      <w:ind w:left="400"/>
    </w:pPr>
  </w:style>
  <w:style w:type="paragraph" w:styleId="Verzeichnis4">
    <w:name w:val="toc 4"/>
    <w:basedOn w:val="Standard"/>
    <w:next w:val="Standard"/>
    <w:autoRedefine/>
    <w:uiPriority w:val="39"/>
    <w:unhideWhenUsed/>
    <w:rsid w:val="00B5217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169872658">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25652485">
      <w:bodyDiv w:val="1"/>
      <w:marLeft w:val="0"/>
      <w:marRight w:val="0"/>
      <w:marTop w:val="0"/>
      <w:marBottom w:val="0"/>
      <w:divBdr>
        <w:top w:val="none" w:sz="0" w:space="0" w:color="auto"/>
        <w:left w:val="none" w:sz="0" w:space="0" w:color="auto"/>
        <w:bottom w:val="none" w:sz="0" w:space="0" w:color="auto"/>
        <w:right w:val="none" w:sz="0" w:space="0" w:color="auto"/>
      </w:divBdr>
      <w:divsChild>
        <w:div w:id="841167896">
          <w:marLeft w:val="0"/>
          <w:marRight w:val="0"/>
          <w:marTop w:val="0"/>
          <w:marBottom w:val="0"/>
          <w:divBdr>
            <w:top w:val="none" w:sz="0" w:space="0" w:color="auto"/>
            <w:left w:val="none" w:sz="0" w:space="0" w:color="auto"/>
            <w:bottom w:val="none" w:sz="0" w:space="0" w:color="auto"/>
            <w:right w:val="none" w:sz="0" w:space="0" w:color="auto"/>
          </w:divBdr>
          <w:divsChild>
            <w:div w:id="433090135">
              <w:marLeft w:val="0"/>
              <w:marRight w:val="0"/>
              <w:marTop w:val="0"/>
              <w:marBottom w:val="0"/>
              <w:divBdr>
                <w:top w:val="none" w:sz="0" w:space="0" w:color="auto"/>
                <w:left w:val="none" w:sz="0" w:space="0" w:color="auto"/>
                <w:bottom w:val="none" w:sz="0" w:space="0" w:color="auto"/>
                <w:right w:val="none" w:sz="0" w:space="0" w:color="auto"/>
              </w:divBdr>
              <w:divsChild>
                <w:div w:id="886331842">
                  <w:marLeft w:val="0"/>
                  <w:marRight w:val="0"/>
                  <w:marTop w:val="0"/>
                  <w:marBottom w:val="0"/>
                  <w:divBdr>
                    <w:top w:val="none" w:sz="0" w:space="0" w:color="auto"/>
                    <w:left w:val="none" w:sz="0" w:space="0" w:color="auto"/>
                    <w:bottom w:val="none" w:sz="0" w:space="0" w:color="auto"/>
                    <w:right w:val="none" w:sz="0" w:space="0" w:color="auto"/>
                  </w:divBdr>
                  <w:divsChild>
                    <w:div w:id="659313241">
                      <w:marLeft w:val="0"/>
                      <w:marRight w:val="0"/>
                      <w:marTop w:val="0"/>
                      <w:marBottom w:val="0"/>
                      <w:divBdr>
                        <w:top w:val="none" w:sz="0" w:space="0" w:color="auto"/>
                        <w:left w:val="none" w:sz="0" w:space="0" w:color="auto"/>
                        <w:bottom w:val="none" w:sz="0" w:space="0" w:color="auto"/>
                        <w:right w:val="none" w:sz="0" w:space="0" w:color="auto"/>
                      </w:divBdr>
                      <w:divsChild>
                        <w:div w:id="411050147">
                          <w:marLeft w:val="0"/>
                          <w:marRight w:val="0"/>
                          <w:marTop w:val="0"/>
                          <w:marBottom w:val="0"/>
                          <w:divBdr>
                            <w:top w:val="none" w:sz="0" w:space="0" w:color="auto"/>
                            <w:left w:val="none" w:sz="0" w:space="0" w:color="auto"/>
                            <w:bottom w:val="none" w:sz="0" w:space="0" w:color="auto"/>
                            <w:right w:val="none" w:sz="0" w:space="0" w:color="auto"/>
                          </w:divBdr>
                          <w:divsChild>
                            <w:div w:id="448474146">
                              <w:marLeft w:val="0"/>
                              <w:marRight w:val="0"/>
                              <w:marTop w:val="0"/>
                              <w:marBottom w:val="0"/>
                              <w:divBdr>
                                <w:top w:val="none" w:sz="0" w:space="0" w:color="auto"/>
                                <w:left w:val="none" w:sz="0" w:space="0" w:color="auto"/>
                                <w:bottom w:val="none" w:sz="0" w:space="0" w:color="auto"/>
                                <w:right w:val="none" w:sz="0" w:space="0" w:color="auto"/>
                              </w:divBdr>
                              <w:divsChild>
                                <w:div w:id="2006786751">
                                  <w:marLeft w:val="0"/>
                                  <w:marRight w:val="0"/>
                                  <w:marTop w:val="0"/>
                                  <w:marBottom w:val="0"/>
                                  <w:divBdr>
                                    <w:top w:val="none" w:sz="0" w:space="0" w:color="auto"/>
                                    <w:left w:val="none" w:sz="0" w:space="0" w:color="auto"/>
                                    <w:bottom w:val="none" w:sz="0" w:space="0" w:color="auto"/>
                                    <w:right w:val="none" w:sz="0" w:space="0" w:color="auto"/>
                                  </w:divBdr>
                                  <w:divsChild>
                                    <w:div w:id="500243277">
                                      <w:marLeft w:val="0"/>
                                      <w:marRight w:val="0"/>
                                      <w:marTop w:val="0"/>
                                      <w:marBottom w:val="210"/>
                                      <w:divBdr>
                                        <w:top w:val="none" w:sz="0" w:space="0" w:color="auto"/>
                                        <w:left w:val="none" w:sz="0" w:space="0" w:color="auto"/>
                                        <w:bottom w:val="none" w:sz="0" w:space="0" w:color="auto"/>
                                        <w:right w:val="none" w:sz="0" w:space="0" w:color="auto"/>
                                      </w:divBdr>
                                      <w:divsChild>
                                        <w:div w:id="189881037">
                                          <w:marLeft w:val="0"/>
                                          <w:marRight w:val="0"/>
                                          <w:marTop w:val="0"/>
                                          <w:marBottom w:val="0"/>
                                          <w:divBdr>
                                            <w:top w:val="none" w:sz="0" w:space="0" w:color="auto"/>
                                            <w:left w:val="none" w:sz="0" w:space="0" w:color="auto"/>
                                            <w:bottom w:val="none" w:sz="0" w:space="0" w:color="auto"/>
                                            <w:right w:val="none" w:sz="0" w:space="0" w:color="auto"/>
                                          </w:divBdr>
                                          <w:divsChild>
                                            <w:div w:id="243877182">
                                              <w:marLeft w:val="0"/>
                                              <w:marRight w:val="0"/>
                                              <w:marTop w:val="0"/>
                                              <w:marBottom w:val="0"/>
                                              <w:divBdr>
                                                <w:top w:val="none" w:sz="0" w:space="0" w:color="auto"/>
                                                <w:left w:val="none" w:sz="0" w:space="0" w:color="auto"/>
                                                <w:bottom w:val="none" w:sz="0" w:space="0" w:color="auto"/>
                                                <w:right w:val="none" w:sz="0" w:space="0" w:color="auto"/>
                                              </w:divBdr>
                                              <w:divsChild>
                                                <w:div w:id="791824249">
                                                  <w:marLeft w:val="0"/>
                                                  <w:marRight w:val="0"/>
                                                  <w:marTop w:val="0"/>
                                                  <w:marBottom w:val="0"/>
                                                  <w:divBdr>
                                                    <w:top w:val="none" w:sz="0" w:space="0" w:color="auto"/>
                                                    <w:left w:val="none" w:sz="0" w:space="0" w:color="auto"/>
                                                    <w:bottom w:val="none" w:sz="0" w:space="0" w:color="auto"/>
                                                    <w:right w:val="none" w:sz="0" w:space="0" w:color="auto"/>
                                                  </w:divBdr>
                                                  <w:divsChild>
                                                    <w:div w:id="6521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67430853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193231867">
      <w:bodyDiv w:val="1"/>
      <w:marLeft w:val="0"/>
      <w:marRight w:val="0"/>
      <w:marTop w:val="0"/>
      <w:marBottom w:val="0"/>
      <w:divBdr>
        <w:top w:val="none" w:sz="0" w:space="0" w:color="auto"/>
        <w:left w:val="none" w:sz="0" w:space="0" w:color="auto"/>
        <w:bottom w:val="none" w:sz="0" w:space="0" w:color="auto"/>
        <w:right w:val="none" w:sz="0" w:space="0" w:color="auto"/>
      </w:divBdr>
      <w:divsChild>
        <w:div w:id="1518960007">
          <w:marLeft w:val="0"/>
          <w:marRight w:val="0"/>
          <w:marTop w:val="0"/>
          <w:marBottom w:val="0"/>
          <w:divBdr>
            <w:top w:val="none" w:sz="0" w:space="0" w:color="auto"/>
            <w:left w:val="none" w:sz="0" w:space="0" w:color="auto"/>
            <w:bottom w:val="none" w:sz="0" w:space="0" w:color="auto"/>
            <w:right w:val="none" w:sz="0" w:space="0" w:color="auto"/>
          </w:divBdr>
          <w:divsChild>
            <w:div w:id="1219248278">
              <w:marLeft w:val="0"/>
              <w:marRight w:val="0"/>
              <w:marTop w:val="0"/>
              <w:marBottom w:val="0"/>
              <w:divBdr>
                <w:top w:val="none" w:sz="0" w:space="0" w:color="auto"/>
                <w:left w:val="none" w:sz="0" w:space="0" w:color="auto"/>
                <w:bottom w:val="none" w:sz="0" w:space="0" w:color="auto"/>
                <w:right w:val="none" w:sz="0" w:space="0" w:color="auto"/>
              </w:divBdr>
              <w:divsChild>
                <w:div w:id="700860600">
                  <w:marLeft w:val="0"/>
                  <w:marRight w:val="0"/>
                  <w:marTop w:val="0"/>
                  <w:marBottom w:val="0"/>
                  <w:divBdr>
                    <w:top w:val="none" w:sz="0" w:space="0" w:color="auto"/>
                    <w:left w:val="none" w:sz="0" w:space="0" w:color="auto"/>
                    <w:bottom w:val="none" w:sz="0" w:space="0" w:color="auto"/>
                    <w:right w:val="none" w:sz="0" w:space="0" w:color="auto"/>
                  </w:divBdr>
                  <w:divsChild>
                    <w:div w:id="1907689800">
                      <w:marLeft w:val="0"/>
                      <w:marRight w:val="0"/>
                      <w:marTop w:val="0"/>
                      <w:marBottom w:val="0"/>
                      <w:divBdr>
                        <w:top w:val="none" w:sz="0" w:space="0" w:color="auto"/>
                        <w:left w:val="none" w:sz="0" w:space="0" w:color="auto"/>
                        <w:bottom w:val="none" w:sz="0" w:space="0" w:color="auto"/>
                        <w:right w:val="none" w:sz="0" w:space="0" w:color="auto"/>
                      </w:divBdr>
                      <w:divsChild>
                        <w:div w:id="1587494736">
                          <w:marLeft w:val="0"/>
                          <w:marRight w:val="0"/>
                          <w:marTop w:val="0"/>
                          <w:marBottom w:val="0"/>
                          <w:divBdr>
                            <w:top w:val="none" w:sz="0" w:space="0" w:color="auto"/>
                            <w:left w:val="none" w:sz="0" w:space="0" w:color="auto"/>
                            <w:bottom w:val="none" w:sz="0" w:space="0" w:color="auto"/>
                            <w:right w:val="none" w:sz="0" w:space="0" w:color="auto"/>
                          </w:divBdr>
                          <w:divsChild>
                            <w:div w:id="1615333319">
                              <w:marLeft w:val="0"/>
                              <w:marRight w:val="0"/>
                              <w:marTop w:val="0"/>
                              <w:marBottom w:val="0"/>
                              <w:divBdr>
                                <w:top w:val="none" w:sz="0" w:space="0" w:color="auto"/>
                                <w:left w:val="none" w:sz="0" w:space="0" w:color="auto"/>
                                <w:bottom w:val="none" w:sz="0" w:space="0" w:color="auto"/>
                                <w:right w:val="none" w:sz="0" w:space="0" w:color="auto"/>
                              </w:divBdr>
                              <w:divsChild>
                                <w:div w:id="1910921776">
                                  <w:marLeft w:val="0"/>
                                  <w:marRight w:val="0"/>
                                  <w:marTop w:val="0"/>
                                  <w:marBottom w:val="0"/>
                                  <w:divBdr>
                                    <w:top w:val="none" w:sz="0" w:space="0" w:color="auto"/>
                                    <w:left w:val="none" w:sz="0" w:space="0" w:color="auto"/>
                                    <w:bottom w:val="none" w:sz="0" w:space="0" w:color="auto"/>
                                    <w:right w:val="none" w:sz="0" w:space="0" w:color="auto"/>
                                  </w:divBdr>
                                </w:div>
                                <w:div w:id="890117733">
                                  <w:marLeft w:val="0"/>
                                  <w:marRight w:val="0"/>
                                  <w:marTop w:val="0"/>
                                  <w:marBottom w:val="0"/>
                                  <w:divBdr>
                                    <w:top w:val="none" w:sz="0" w:space="0" w:color="auto"/>
                                    <w:left w:val="none" w:sz="0" w:space="0" w:color="auto"/>
                                    <w:bottom w:val="none" w:sz="0" w:space="0" w:color="auto"/>
                                    <w:right w:val="none" w:sz="0" w:space="0" w:color="auto"/>
                                  </w:divBdr>
                                  <w:divsChild>
                                    <w:div w:id="2079739090">
                                      <w:marLeft w:val="0"/>
                                      <w:marRight w:val="0"/>
                                      <w:marTop w:val="0"/>
                                      <w:marBottom w:val="0"/>
                                      <w:divBdr>
                                        <w:top w:val="none" w:sz="0" w:space="0" w:color="auto"/>
                                        <w:left w:val="none" w:sz="0" w:space="0" w:color="auto"/>
                                        <w:bottom w:val="none" w:sz="0" w:space="0" w:color="auto"/>
                                        <w:right w:val="none" w:sz="0" w:space="0" w:color="auto"/>
                                      </w:divBdr>
                                    </w:div>
                                  </w:divsChild>
                                </w:div>
                                <w:div w:id="519512365">
                                  <w:marLeft w:val="0"/>
                                  <w:marRight w:val="0"/>
                                  <w:marTop w:val="0"/>
                                  <w:marBottom w:val="0"/>
                                  <w:divBdr>
                                    <w:top w:val="none" w:sz="0" w:space="0" w:color="auto"/>
                                    <w:left w:val="none" w:sz="0" w:space="0" w:color="auto"/>
                                    <w:bottom w:val="none" w:sz="0" w:space="0" w:color="auto"/>
                                    <w:right w:val="none" w:sz="0" w:space="0" w:color="auto"/>
                                  </w:divBdr>
                                </w:div>
                                <w:div w:id="1956868867">
                                  <w:marLeft w:val="0"/>
                                  <w:marRight w:val="0"/>
                                  <w:marTop w:val="0"/>
                                  <w:marBottom w:val="0"/>
                                  <w:divBdr>
                                    <w:top w:val="none" w:sz="0" w:space="0" w:color="auto"/>
                                    <w:left w:val="none" w:sz="0" w:space="0" w:color="auto"/>
                                    <w:bottom w:val="none" w:sz="0" w:space="0" w:color="auto"/>
                                    <w:right w:val="none" w:sz="0" w:space="0" w:color="auto"/>
                                  </w:divBdr>
                                  <w:divsChild>
                                    <w:div w:id="15959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362197075">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470442287">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58083998">
      <w:bodyDiv w:val="1"/>
      <w:marLeft w:val="0"/>
      <w:marRight w:val="0"/>
      <w:marTop w:val="0"/>
      <w:marBottom w:val="0"/>
      <w:divBdr>
        <w:top w:val="none" w:sz="0" w:space="0" w:color="auto"/>
        <w:left w:val="none" w:sz="0" w:space="0" w:color="auto"/>
        <w:bottom w:val="none" w:sz="0" w:space="0" w:color="auto"/>
        <w:right w:val="none" w:sz="0" w:space="0" w:color="auto"/>
      </w:divBdr>
      <w:divsChild>
        <w:div w:id="1311783756">
          <w:marLeft w:val="0"/>
          <w:marRight w:val="0"/>
          <w:marTop w:val="0"/>
          <w:marBottom w:val="0"/>
          <w:divBdr>
            <w:top w:val="none" w:sz="0" w:space="0" w:color="auto"/>
            <w:left w:val="none" w:sz="0" w:space="0" w:color="auto"/>
            <w:bottom w:val="none" w:sz="0" w:space="0" w:color="auto"/>
            <w:right w:val="none" w:sz="0" w:space="0" w:color="auto"/>
          </w:divBdr>
          <w:divsChild>
            <w:div w:id="1966083478">
              <w:marLeft w:val="0"/>
              <w:marRight w:val="0"/>
              <w:marTop w:val="0"/>
              <w:marBottom w:val="0"/>
              <w:divBdr>
                <w:top w:val="none" w:sz="0" w:space="0" w:color="auto"/>
                <w:left w:val="none" w:sz="0" w:space="0" w:color="auto"/>
                <w:bottom w:val="none" w:sz="0" w:space="0" w:color="auto"/>
                <w:right w:val="none" w:sz="0" w:space="0" w:color="auto"/>
              </w:divBdr>
              <w:divsChild>
                <w:div w:id="1629773113">
                  <w:marLeft w:val="0"/>
                  <w:marRight w:val="0"/>
                  <w:marTop w:val="0"/>
                  <w:marBottom w:val="0"/>
                  <w:divBdr>
                    <w:top w:val="none" w:sz="0" w:space="0" w:color="auto"/>
                    <w:left w:val="none" w:sz="0" w:space="0" w:color="auto"/>
                    <w:bottom w:val="none" w:sz="0" w:space="0" w:color="auto"/>
                    <w:right w:val="none" w:sz="0" w:space="0" w:color="auto"/>
                  </w:divBdr>
                  <w:divsChild>
                    <w:div w:id="1966811828">
                      <w:marLeft w:val="0"/>
                      <w:marRight w:val="0"/>
                      <w:marTop w:val="0"/>
                      <w:marBottom w:val="0"/>
                      <w:divBdr>
                        <w:top w:val="none" w:sz="0" w:space="0" w:color="auto"/>
                        <w:left w:val="none" w:sz="0" w:space="0" w:color="auto"/>
                        <w:bottom w:val="none" w:sz="0" w:space="0" w:color="auto"/>
                        <w:right w:val="none" w:sz="0" w:space="0" w:color="auto"/>
                      </w:divBdr>
                      <w:divsChild>
                        <w:div w:id="1315836699">
                          <w:marLeft w:val="0"/>
                          <w:marRight w:val="0"/>
                          <w:marTop w:val="0"/>
                          <w:marBottom w:val="0"/>
                          <w:divBdr>
                            <w:top w:val="none" w:sz="0" w:space="0" w:color="auto"/>
                            <w:left w:val="none" w:sz="0" w:space="0" w:color="auto"/>
                            <w:bottom w:val="none" w:sz="0" w:space="0" w:color="auto"/>
                            <w:right w:val="none" w:sz="0" w:space="0" w:color="auto"/>
                          </w:divBdr>
                          <w:divsChild>
                            <w:div w:id="367608872">
                              <w:marLeft w:val="0"/>
                              <w:marRight w:val="0"/>
                              <w:marTop w:val="0"/>
                              <w:marBottom w:val="0"/>
                              <w:divBdr>
                                <w:top w:val="none" w:sz="0" w:space="0" w:color="auto"/>
                                <w:left w:val="none" w:sz="0" w:space="0" w:color="auto"/>
                                <w:bottom w:val="none" w:sz="0" w:space="0" w:color="auto"/>
                                <w:right w:val="none" w:sz="0" w:space="0" w:color="auto"/>
                              </w:divBdr>
                              <w:divsChild>
                                <w:div w:id="2140295398">
                                  <w:marLeft w:val="0"/>
                                  <w:marRight w:val="0"/>
                                  <w:marTop w:val="0"/>
                                  <w:marBottom w:val="0"/>
                                  <w:divBdr>
                                    <w:top w:val="none" w:sz="0" w:space="0" w:color="auto"/>
                                    <w:left w:val="none" w:sz="0" w:space="0" w:color="auto"/>
                                    <w:bottom w:val="none" w:sz="0" w:space="0" w:color="auto"/>
                                    <w:right w:val="none" w:sz="0" w:space="0" w:color="auto"/>
                                  </w:divBdr>
                                  <w:divsChild>
                                    <w:div w:id="1995141982">
                                      <w:marLeft w:val="0"/>
                                      <w:marRight w:val="0"/>
                                      <w:marTop w:val="0"/>
                                      <w:marBottom w:val="210"/>
                                      <w:divBdr>
                                        <w:top w:val="none" w:sz="0" w:space="0" w:color="auto"/>
                                        <w:left w:val="none" w:sz="0" w:space="0" w:color="auto"/>
                                        <w:bottom w:val="none" w:sz="0" w:space="0" w:color="auto"/>
                                        <w:right w:val="none" w:sz="0" w:space="0" w:color="auto"/>
                                      </w:divBdr>
                                      <w:divsChild>
                                        <w:div w:id="1937905946">
                                          <w:marLeft w:val="0"/>
                                          <w:marRight w:val="0"/>
                                          <w:marTop w:val="0"/>
                                          <w:marBottom w:val="0"/>
                                          <w:divBdr>
                                            <w:top w:val="none" w:sz="0" w:space="0" w:color="auto"/>
                                            <w:left w:val="none" w:sz="0" w:space="0" w:color="auto"/>
                                            <w:bottom w:val="none" w:sz="0" w:space="0" w:color="auto"/>
                                            <w:right w:val="none" w:sz="0" w:space="0" w:color="auto"/>
                                          </w:divBdr>
                                          <w:divsChild>
                                            <w:div w:id="1561483190">
                                              <w:marLeft w:val="0"/>
                                              <w:marRight w:val="0"/>
                                              <w:marTop w:val="0"/>
                                              <w:marBottom w:val="0"/>
                                              <w:divBdr>
                                                <w:top w:val="none" w:sz="0" w:space="0" w:color="auto"/>
                                                <w:left w:val="none" w:sz="0" w:space="0" w:color="auto"/>
                                                <w:bottom w:val="none" w:sz="0" w:space="0" w:color="auto"/>
                                                <w:right w:val="none" w:sz="0" w:space="0" w:color="auto"/>
                                              </w:divBdr>
                                              <w:divsChild>
                                                <w:div w:id="1495098888">
                                                  <w:marLeft w:val="0"/>
                                                  <w:marRight w:val="0"/>
                                                  <w:marTop w:val="0"/>
                                                  <w:marBottom w:val="0"/>
                                                  <w:divBdr>
                                                    <w:top w:val="none" w:sz="0" w:space="0" w:color="auto"/>
                                                    <w:left w:val="none" w:sz="0" w:space="0" w:color="auto"/>
                                                    <w:bottom w:val="none" w:sz="0" w:space="0" w:color="auto"/>
                                                    <w:right w:val="none" w:sz="0" w:space="0" w:color="auto"/>
                                                  </w:divBdr>
                                                  <w:divsChild>
                                                    <w:div w:id="22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39721229">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13205857">
      <w:bodyDiv w:val="1"/>
      <w:marLeft w:val="0"/>
      <w:marRight w:val="0"/>
      <w:marTop w:val="0"/>
      <w:marBottom w:val="0"/>
      <w:divBdr>
        <w:top w:val="none" w:sz="0" w:space="0" w:color="auto"/>
        <w:left w:val="none" w:sz="0" w:space="0" w:color="auto"/>
        <w:bottom w:val="none" w:sz="0" w:space="0" w:color="auto"/>
        <w:right w:val="none" w:sz="0" w:space="0" w:color="auto"/>
      </w:divBdr>
    </w:div>
    <w:div w:id="1926257956">
      <w:bodyDiv w:val="1"/>
      <w:marLeft w:val="0"/>
      <w:marRight w:val="0"/>
      <w:marTop w:val="0"/>
      <w:marBottom w:val="0"/>
      <w:divBdr>
        <w:top w:val="none" w:sz="0" w:space="0" w:color="auto"/>
        <w:left w:val="none" w:sz="0" w:space="0" w:color="auto"/>
        <w:bottom w:val="none" w:sz="0" w:space="0" w:color="auto"/>
        <w:right w:val="none" w:sz="0" w:space="0" w:color="auto"/>
      </w:divBdr>
      <w:divsChild>
        <w:div w:id="2137526876">
          <w:marLeft w:val="0"/>
          <w:marRight w:val="0"/>
          <w:marTop w:val="0"/>
          <w:marBottom w:val="0"/>
          <w:divBdr>
            <w:top w:val="none" w:sz="0" w:space="0" w:color="auto"/>
            <w:left w:val="none" w:sz="0" w:space="0" w:color="auto"/>
            <w:bottom w:val="none" w:sz="0" w:space="0" w:color="auto"/>
            <w:right w:val="none" w:sz="0" w:space="0" w:color="auto"/>
          </w:divBdr>
          <w:divsChild>
            <w:div w:id="800417956">
              <w:marLeft w:val="0"/>
              <w:marRight w:val="0"/>
              <w:marTop w:val="0"/>
              <w:marBottom w:val="0"/>
              <w:divBdr>
                <w:top w:val="none" w:sz="0" w:space="0" w:color="auto"/>
                <w:left w:val="none" w:sz="0" w:space="0" w:color="auto"/>
                <w:bottom w:val="none" w:sz="0" w:space="0" w:color="auto"/>
                <w:right w:val="none" w:sz="0" w:space="0" w:color="auto"/>
              </w:divBdr>
              <w:divsChild>
                <w:div w:id="838083971">
                  <w:marLeft w:val="0"/>
                  <w:marRight w:val="0"/>
                  <w:marTop w:val="0"/>
                  <w:marBottom w:val="0"/>
                  <w:divBdr>
                    <w:top w:val="none" w:sz="0" w:space="0" w:color="auto"/>
                    <w:left w:val="none" w:sz="0" w:space="0" w:color="auto"/>
                    <w:bottom w:val="none" w:sz="0" w:space="0" w:color="auto"/>
                    <w:right w:val="none" w:sz="0" w:space="0" w:color="auto"/>
                  </w:divBdr>
                  <w:divsChild>
                    <w:div w:id="526872348">
                      <w:marLeft w:val="0"/>
                      <w:marRight w:val="0"/>
                      <w:marTop w:val="0"/>
                      <w:marBottom w:val="0"/>
                      <w:divBdr>
                        <w:top w:val="none" w:sz="0" w:space="0" w:color="auto"/>
                        <w:left w:val="none" w:sz="0" w:space="0" w:color="auto"/>
                        <w:bottom w:val="none" w:sz="0" w:space="0" w:color="auto"/>
                        <w:right w:val="none" w:sz="0" w:space="0" w:color="auto"/>
                      </w:divBdr>
                      <w:divsChild>
                        <w:div w:id="184028645">
                          <w:marLeft w:val="0"/>
                          <w:marRight w:val="0"/>
                          <w:marTop w:val="0"/>
                          <w:marBottom w:val="0"/>
                          <w:divBdr>
                            <w:top w:val="none" w:sz="0" w:space="0" w:color="auto"/>
                            <w:left w:val="none" w:sz="0" w:space="0" w:color="auto"/>
                            <w:bottom w:val="none" w:sz="0" w:space="0" w:color="auto"/>
                            <w:right w:val="none" w:sz="0" w:space="0" w:color="auto"/>
                          </w:divBdr>
                          <w:divsChild>
                            <w:div w:id="822282351">
                              <w:marLeft w:val="0"/>
                              <w:marRight w:val="0"/>
                              <w:marTop w:val="0"/>
                              <w:marBottom w:val="0"/>
                              <w:divBdr>
                                <w:top w:val="none" w:sz="0" w:space="0" w:color="auto"/>
                                <w:left w:val="none" w:sz="0" w:space="0" w:color="auto"/>
                                <w:bottom w:val="none" w:sz="0" w:space="0" w:color="auto"/>
                                <w:right w:val="none" w:sz="0" w:space="0" w:color="auto"/>
                              </w:divBdr>
                              <w:divsChild>
                                <w:div w:id="442698427">
                                  <w:marLeft w:val="0"/>
                                  <w:marRight w:val="0"/>
                                  <w:marTop w:val="0"/>
                                  <w:marBottom w:val="0"/>
                                  <w:divBdr>
                                    <w:top w:val="none" w:sz="0" w:space="0" w:color="auto"/>
                                    <w:left w:val="none" w:sz="0" w:space="0" w:color="auto"/>
                                    <w:bottom w:val="none" w:sz="0" w:space="0" w:color="auto"/>
                                    <w:right w:val="none" w:sz="0" w:space="0" w:color="auto"/>
                                  </w:divBdr>
                                </w:div>
                                <w:div w:id="30112489">
                                  <w:marLeft w:val="0"/>
                                  <w:marRight w:val="0"/>
                                  <w:marTop w:val="0"/>
                                  <w:marBottom w:val="0"/>
                                  <w:divBdr>
                                    <w:top w:val="none" w:sz="0" w:space="0" w:color="auto"/>
                                    <w:left w:val="none" w:sz="0" w:space="0" w:color="auto"/>
                                    <w:bottom w:val="none" w:sz="0" w:space="0" w:color="auto"/>
                                    <w:right w:val="none" w:sz="0" w:space="0" w:color="auto"/>
                                  </w:divBdr>
                                  <w:divsChild>
                                    <w:div w:id="807089232">
                                      <w:marLeft w:val="0"/>
                                      <w:marRight w:val="0"/>
                                      <w:marTop w:val="0"/>
                                      <w:marBottom w:val="0"/>
                                      <w:divBdr>
                                        <w:top w:val="none" w:sz="0" w:space="0" w:color="auto"/>
                                        <w:left w:val="none" w:sz="0" w:space="0" w:color="auto"/>
                                        <w:bottom w:val="none" w:sz="0" w:space="0" w:color="auto"/>
                                        <w:right w:val="none" w:sz="0" w:space="0" w:color="auto"/>
                                      </w:divBdr>
                                    </w:div>
                                  </w:divsChild>
                                </w:div>
                                <w:div w:id="2018728467">
                                  <w:marLeft w:val="0"/>
                                  <w:marRight w:val="0"/>
                                  <w:marTop w:val="0"/>
                                  <w:marBottom w:val="0"/>
                                  <w:divBdr>
                                    <w:top w:val="none" w:sz="0" w:space="0" w:color="auto"/>
                                    <w:left w:val="none" w:sz="0" w:space="0" w:color="auto"/>
                                    <w:bottom w:val="none" w:sz="0" w:space="0" w:color="auto"/>
                                    <w:right w:val="none" w:sz="0" w:space="0" w:color="auto"/>
                                  </w:divBdr>
                                </w:div>
                                <w:div w:id="353311750">
                                  <w:marLeft w:val="0"/>
                                  <w:marRight w:val="0"/>
                                  <w:marTop w:val="0"/>
                                  <w:marBottom w:val="0"/>
                                  <w:divBdr>
                                    <w:top w:val="none" w:sz="0" w:space="0" w:color="auto"/>
                                    <w:left w:val="none" w:sz="0" w:space="0" w:color="auto"/>
                                    <w:bottom w:val="none" w:sz="0" w:space="0" w:color="auto"/>
                                    <w:right w:val="none" w:sz="0" w:space="0" w:color="auto"/>
                                  </w:divBdr>
                                  <w:divsChild>
                                    <w:div w:id="1035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398890">
      <w:bodyDiv w:val="1"/>
      <w:marLeft w:val="0"/>
      <w:marRight w:val="0"/>
      <w:marTop w:val="0"/>
      <w:marBottom w:val="0"/>
      <w:divBdr>
        <w:top w:val="none" w:sz="0" w:space="0" w:color="auto"/>
        <w:left w:val="none" w:sz="0" w:space="0" w:color="auto"/>
        <w:bottom w:val="none" w:sz="0" w:space="0" w:color="auto"/>
        <w:right w:val="none" w:sz="0" w:space="0" w:color="auto"/>
      </w:divBdr>
      <w:divsChild>
        <w:div w:id="648751253">
          <w:marLeft w:val="0"/>
          <w:marRight w:val="0"/>
          <w:marTop w:val="0"/>
          <w:marBottom w:val="0"/>
          <w:divBdr>
            <w:top w:val="none" w:sz="0" w:space="0" w:color="auto"/>
            <w:left w:val="none" w:sz="0" w:space="0" w:color="auto"/>
            <w:bottom w:val="none" w:sz="0" w:space="0" w:color="auto"/>
            <w:right w:val="none" w:sz="0" w:space="0" w:color="auto"/>
          </w:divBdr>
          <w:divsChild>
            <w:div w:id="221673758">
              <w:marLeft w:val="0"/>
              <w:marRight w:val="0"/>
              <w:marTop w:val="0"/>
              <w:marBottom w:val="0"/>
              <w:divBdr>
                <w:top w:val="none" w:sz="0" w:space="0" w:color="auto"/>
                <w:left w:val="none" w:sz="0" w:space="0" w:color="auto"/>
                <w:bottom w:val="none" w:sz="0" w:space="0" w:color="auto"/>
                <w:right w:val="none" w:sz="0" w:space="0" w:color="auto"/>
              </w:divBdr>
              <w:divsChild>
                <w:div w:id="1374429917">
                  <w:marLeft w:val="0"/>
                  <w:marRight w:val="0"/>
                  <w:marTop w:val="0"/>
                  <w:marBottom w:val="0"/>
                  <w:divBdr>
                    <w:top w:val="none" w:sz="0" w:space="0" w:color="auto"/>
                    <w:left w:val="none" w:sz="0" w:space="0" w:color="auto"/>
                    <w:bottom w:val="none" w:sz="0" w:space="0" w:color="auto"/>
                    <w:right w:val="none" w:sz="0" w:space="0" w:color="auto"/>
                  </w:divBdr>
                  <w:divsChild>
                    <w:div w:id="1891764170">
                      <w:marLeft w:val="0"/>
                      <w:marRight w:val="0"/>
                      <w:marTop w:val="0"/>
                      <w:marBottom w:val="0"/>
                      <w:divBdr>
                        <w:top w:val="none" w:sz="0" w:space="0" w:color="auto"/>
                        <w:left w:val="none" w:sz="0" w:space="0" w:color="auto"/>
                        <w:bottom w:val="none" w:sz="0" w:space="0" w:color="auto"/>
                        <w:right w:val="none" w:sz="0" w:space="0" w:color="auto"/>
                      </w:divBdr>
                      <w:divsChild>
                        <w:div w:id="1243105661">
                          <w:marLeft w:val="0"/>
                          <w:marRight w:val="0"/>
                          <w:marTop w:val="0"/>
                          <w:marBottom w:val="0"/>
                          <w:divBdr>
                            <w:top w:val="none" w:sz="0" w:space="0" w:color="auto"/>
                            <w:left w:val="none" w:sz="0" w:space="0" w:color="auto"/>
                            <w:bottom w:val="none" w:sz="0" w:space="0" w:color="auto"/>
                            <w:right w:val="none" w:sz="0" w:space="0" w:color="auto"/>
                          </w:divBdr>
                          <w:divsChild>
                            <w:div w:id="1779371975">
                              <w:marLeft w:val="0"/>
                              <w:marRight w:val="0"/>
                              <w:marTop w:val="0"/>
                              <w:marBottom w:val="0"/>
                              <w:divBdr>
                                <w:top w:val="none" w:sz="0" w:space="0" w:color="auto"/>
                                <w:left w:val="none" w:sz="0" w:space="0" w:color="auto"/>
                                <w:bottom w:val="none" w:sz="0" w:space="0" w:color="auto"/>
                                <w:right w:val="none" w:sz="0" w:space="0" w:color="auto"/>
                              </w:divBdr>
                              <w:divsChild>
                                <w:div w:id="764300539">
                                  <w:marLeft w:val="0"/>
                                  <w:marRight w:val="0"/>
                                  <w:marTop w:val="0"/>
                                  <w:marBottom w:val="0"/>
                                  <w:divBdr>
                                    <w:top w:val="none" w:sz="0" w:space="0" w:color="auto"/>
                                    <w:left w:val="none" w:sz="0" w:space="0" w:color="auto"/>
                                    <w:bottom w:val="none" w:sz="0" w:space="0" w:color="auto"/>
                                    <w:right w:val="none" w:sz="0" w:space="0" w:color="auto"/>
                                  </w:divBdr>
                                  <w:divsChild>
                                    <w:div w:id="1985305791">
                                      <w:marLeft w:val="0"/>
                                      <w:marRight w:val="0"/>
                                      <w:marTop w:val="0"/>
                                      <w:marBottom w:val="210"/>
                                      <w:divBdr>
                                        <w:top w:val="none" w:sz="0" w:space="0" w:color="auto"/>
                                        <w:left w:val="none" w:sz="0" w:space="0" w:color="auto"/>
                                        <w:bottom w:val="none" w:sz="0" w:space="0" w:color="auto"/>
                                        <w:right w:val="none" w:sz="0" w:space="0" w:color="auto"/>
                                      </w:divBdr>
                                      <w:divsChild>
                                        <w:div w:id="125969977">
                                          <w:marLeft w:val="0"/>
                                          <w:marRight w:val="0"/>
                                          <w:marTop w:val="0"/>
                                          <w:marBottom w:val="0"/>
                                          <w:divBdr>
                                            <w:top w:val="none" w:sz="0" w:space="0" w:color="auto"/>
                                            <w:left w:val="none" w:sz="0" w:space="0" w:color="auto"/>
                                            <w:bottom w:val="none" w:sz="0" w:space="0" w:color="auto"/>
                                            <w:right w:val="none" w:sz="0" w:space="0" w:color="auto"/>
                                          </w:divBdr>
                                          <w:divsChild>
                                            <w:div w:id="1712151088">
                                              <w:marLeft w:val="0"/>
                                              <w:marRight w:val="0"/>
                                              <w:marTop w:val="0"/>
                                              <w:marBottom w:val="0"/>
                                              <w:divBdr>
                                                <w:top w:val="none" w:sz="0" w:space="0" w:color="auto"/>
                                                <w:left w:val="none" w:sz="0" w:space="0" w:color="auto"/>
                                                <w:bottom w:val="none" w:sz="0" w:space="0" w:color="auto"/>
                                                <w:right w:val="none" w:sz="0" w:space="0" w:color="auto"/>
                                              </w:divBdr>
                                              <w:divsChild>
                                                <w:div w:id="1945376258">
                                                  <w:marLeft w:val="0"/>
                                                  <w:marRight w:val="0"/>
                                                  <w:marTop w:val="0"/>
                                                  <w:marBottom w:val="0"/>
                                                  <w:divBdr>
                                                    <w:top w:val="none" w:sz="0" w:space="0" w:color="auto"/>
                                                    <w:left w:val="none" w:sz="0" w:space="0" w:color="auto"/>
                                                    <w:bottom w:val="none" w:sz="0" w:space="0" w:color="auto"/>
                                                    <w:right w:val="none" w:sz="0" w:space="0" w:color="auto"/>
                                                  </w:divBdr>
                                                  <w:divsChild>
                                                    <w:div w:id="12566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books.siemens.com/public/LC/chen/index.htm?n=Part-1-Activity-Fields,A.-Anti-Corruption" TargetMode="External"/><Relationship Id="rId1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hyperlink" Target="https://webbooks.siemens.com/public/LC/chen/index.htm?n=Part-1-Activity-Fields,C.-Anti-Money-Laundering-(AML),1.-AML-Red-Flags" TargetMode="External"/><Relationship Id="rId21" Type="http://schemas.openxmlformats.org/officeDocument/2006/relationships/hyperlink" Target="https://webbooks.siemens.com/public/LC/chen/index.htm?n=Part-1-Activity-Fields,E.-Human-Rights,6.-Toolbox,6.6.-Risk-factors/areas" TargetMode="External"/><Relationship Id="rId34" Type="http://schemas.openxmlformats.org/officeDocument/2006/relationships/hyperlink" Target="https://circulars.siemens.com/content/circulars/ca/_layouts/querplex/circularapplication/documents/CircularDownload.aspx?ID=SC_182.pdf" TargetMode="External"/><Relationship Id="rId42" Type="http://schemas.openxmlformats.org/officeDocument/2006/relationships/hyperlink" Target="https://findit.compliance.siemens.com/content/10000101/Compliance/LC_CO/LC_CO_DF/findIT_LC_CO_DF_9125.pdf" TargetMode="External"/><Relationship Id="rId47" Type="http://schemas.openxmlformats.org/officeDocument/2006/relationships/hyperlink" Target="https://soc.siemens.cloud/profile/Z000FA6G"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ntranet.for.siemens.com/wll/0103/en/Pages/pbe-loa.aspx" TargetMode="External"/><Relationship Id="rId17" Type="http://schemas.openxmlformats.org/officeDocument/2006/relationships/hyperlink" Target="https://intranet.for.siemens.com/wll/0103/en/Pages/pbe-pm-guide.aspx" TargetMode="External"/><Relationship Id="rId25" Type="http://schemas.openxmlformats.org/officeDocument/2006/relationships/image" Target="media/image3.png"/><Relationship Id="rId33" Type="http://schemas.openxmlformats.org/officeDocument/2006/relationships/hyperlink" Target="https://webbooks.siemens.com/public/LC/chen/index.htm?n=Part-2-Business-Perspective,H.-Compliance-in-Business-Processes-and-Projects,1.-Compliance-in-Project-Business,1.2.-Compliance-in-project-sales,1.2.1.-Projects-in-scope-for-LoA-CRE" TargetMode="External"/><Relationship Id="rId38" Type="http://schemas.openxmlformats.org/officeDocument/2006/relationships/image" Target="media/image8.png"/><Relationship Id="rId46" Type="http://schemas.openxmlformats.org/officeDocument/2006/relationships/hyperlink" Target="https://intranet.for.siemens.com/cms/059/en/about/org/Pages/compliance_organization.aspx" TargetMode="External"/><Relationship Id="rId2" Type="http://schemas.openxmlformats.org/officeDocument/2006/relationships/customXml" Target="../customXml/item2.xml"/><Relationship Id="rId16" Type="http://schemas.openxmlformats.org/officeDocument/2006/relationships/hyperlink" Target="https://loa.cf.siemens.de/loa/faces/jsf/home.xhtml" TargetMode="External"/><Relationship Id="rId20" Type="http://schemas.openxmlformats.org/officeDocument/2006/relationships/hyperlink" Target="https://webbooks.siemens.com/public/LC/chen/index.htm?n=Part-1-Activity-Fields,C.-Anti-Money-Laundering-(AML),1.-AML-Red-Flags" TargetMode="External"/><Relationship Id="rId29" Type="http://schemas.openxmlformats.org/officeDocument/2006/relationships/hyperlink" Target="https://findit.compliance.siemens.com/content/10000101/Compliance/LC_CO/LC_CO_STR/findIT_LC_CO_STR_6394.xlsx" TargetMode="External"/><Relationship Id="rId41" Type="http://schemas.openxmlformats.org/officeDocument/2006/relationships/hyperlink" Target="https://webbooks.siemens.com/public/LC/chen/index.htm?n=Part-1-Activity-Fields,C.-Anti-Money-Laundering-(AML),1.-AML-Red-Flag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for.siemens.com/wll/0103/en/Pages/pbe-pm-guide.aspx" TargetMode="External"/><Relationship Id="rId24" Type="http://schemas.openxmlformats.org/officeDocument/2006/relationships/hyperlink" Target="https://findit.compliance.siemens.com/content/10000102/Compliance/LC_CO/LC_CO_PT_CO_CiP/findIT_LC_CO_PT_CO_CiP_2654.pdf"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hyperlink" Target="https://findit.compliance.siemens.com/content/10000102/Compliance/LC_CO/LC_CO_PT_CO_CiP/findIT_LC_CO_PT_CO_CiP_2654.pdf" TargetMode="External"/><Relationship Id="rId45" Type="http://schemas.openxmlformats.org/officeDocument/2006/relationships/hyperlink" Target="https://webbooks.siemens.com/public/LC/chen/index.htm?n=Part-2-Business-Perspective,H.-Compliance-in-Business-Processes-and-Projects,1.-Compliance-in-Project-Business,1.3.-Compliance-in-project-execution,1.3.1.-Projects-in-scope" TargetMode="External"/><Relationship Id="rId53"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ebbooks.siemens.com/public/LC/chen/index.htm?n=Part-1-Activity-Fields,E.-Human-Rights" TargetMode="External"/><Relationship Id="rId23" Type="http://schemas.openxmlformats.org/officeDocument/2006/relationships/hyperlink" Target="https://loa.cf.siemens.de/loa" TargetMode="External"/><Relationship Id="rId28" Type="http://schemas.openxmlformats.org/officeDocument/2006/relationships/hyperlink" Target="https://findit.compliance.siemens.com/content/10000101/Compliance/LC_CO/LC_CO_STR_RM/findIT_LC_CO_STR_RM_8266.pdf" TargetMode="External"/><Relationship Id="rId36" Type="http://schemas.openxmlformats.org/officeDocument/2006/relationships/image" Target="media/image6.png"/><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intranet.for.siemens.com/cms/059/en/processes/publications/Pages/compliance_project-management.aspx" TargetMode="External"/><Relationship Id="rId31" Type="http://schemas.openxmlformats.org/officeDocument/2006/relationships/hyperlink" Target="https://findit.compliance.siemens.com/content/10000101/Compliance/LC_CO/LC_CO_STR/findIT_LC_CO_STR_6394.xlsx" TargetMode="External"/><Relationship Id="rId44" Type="http://schemas.openxmlformats.org/officeDocument/2006/relationships/hyperlink" Target="https://findit.compliance.siemens.com/content/10000101/Compliance/LC_CO/LC_CO_DF/findIT_LC_CO_DF_9124.pdf"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books.siemens.com/public/LC/chen/index.htm?n=Part-1-Activity-Fields,C.-Anti-Money-Laundering-(AML)" TargetMode="External"/><Relationship Id="rId22" Type="http://schemas.openxmlformats.org/officeDocument/2006/relationships/image" Target="media/image2.png"/><Relationship Id="rId27" Type="http://schemas.openxmlformats.org/officeDocument/2006/relationships/hyperlink" Target="https://webbooks.siemens.com/public/LC/chen/index.htm?n=Part-1-Activity-Fields,A.-Anti-Corruption,3.-Cooperation-with-Business-Partners" TargetMode="External"/><Relationship Id="rId30" Type="http://schemas.openxmlformats.org/officeDocument/2006/relationships/hyperlink" Target="https://findit.compliance.siemens.com/content/10000101/Compliance/LC_CO/LC_CO_STR/findIT_LC_CO_STR_6394.xlsx" TargetMode="External"/><Relationship Id="rId35" Type="http://schemas.openxmlformats.org/officeDocument/2006/relationships/hyperlink" Target="https://circulars.siemens.com/content/circulars/ca/_layouts/querplex/circularapplication/documents/CircularDownload.aspx?ID=SC_182.pdf" TargetMode="External"/><Relationship Id="rId43" Type="http://schemas.openxmlformats.org/officeDocument/2006/relationships/hyperlink" Target="https://findit.compliance.siemens.com/content/10000101/Compliance/LC_CO/LC_CO_DF/findIT_LC_CO_DF_9127.xlsx"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webbooks.siemens.com/public/LC/chen/index.htm?n=Part-1-Activity-Fields,A.-Anti-Corruption,3.-Cooperation-with-Business-Partners,3.2.-Business-Partner-Categorization" TargetMode="External"/><Relationship Id="rId2" Type="http://schemas.openxmlformats.org/officeDocument/2006/relationships/hyperlink" Target="https://circulars.siemens.com/content/circulars/ca/_layouts/querplex/circularapplication/documents/CircularDownload.aspx?ID=SC_182.pdf" TargetMode="External"/><Relationship Id="rId1" Type="http://schemas.openxmlformats.org/officeDocument/2006/relationships/hyperlink" Target="https://circulars.siemens.com/content/circulars/ca/_layouts/querplex/circularapplication/documents/CircularDownload.aspx?ID=SC_182.pdf" TargetMode="External"/><Relationship Id="rId5" Type="http://schemas.openxmlformats.org/officeDocument/2006/relationships/hyperlink" Target="https://findit.compliance.siemens.com/content/10000101/Compliance/LC_CO/LC_CO_STR_RM/findIT_LC_CO_STR_RM_8266.pdf" TargetMode="External"/><Relationship Id="rId4" Type="http://schemas.openxmlformats.org/officeDocument/2006/relationships/hyperlink" Target="https://findit.compliance.siemens.com/content/10000102/Compliance/LC_CO/LC_CO_PT_CO_CiP/findIT_LC_CO_PT_CO_CiP_2654.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96</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H. Compliance in Business Processes and Projects</TermName>
          <TermId xmlns="http://schemas.microsoft.com/office/infopath/2007/PartnerControls">1973ca93-017d-444e-9a75-c9da93f4a188</TermId>
        </TermInfo>
      </Terms>
    </nb766c42a6d34ad7b224884871f9394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0C188C-CFF3-47C5-AA2A-6CE8CC1FB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C410B-8DA4-4E57-8D14-A0D69B388DE0}">
  <ds:schemaRef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http://purl.org/dc/terms/"/>
    <ds:schemaRef ds:uri="6ee1f5f8-4a5f-4619-969f-c34e20667274"/>
    <ds:schemaRef ds:uri="http://www.w3.org/XML/1998/namespace"/>
    <ds:schemaRef ds:uri="http://purl.org/dc/dcmitype/"/>
  </ds:schemaRefs>
</ds:datastoreItem>
</file>

<file path=customXml/itemProps3.xml><?xml version="1.0" encoding="utf-8"?>
<ds:datastoreItem xmlns:ds="http://schemas.openxmlformats.org/officeDocument/2006/customXml" ds:itemID="{3C53FD79-ED0E-44CC-9294-895773EA7C90}">
  <ds:schemaRefs>
    <ds:schemaRef ds:uri="http://schemas.openxmlformats.org/officeDocument/2006/bibliography"/>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19</Pages>
  <Words>3648</Words>
  <Characters>22983</Characters>
  <Application>Microsoft Office Word</Application>
  <DocSecurity>0</DocSecurity>
  <Lines>191</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33</cp:revision>
  <cp:lastPrinted>2015-08-31T13:30:00Z</cp:lastPrinted>
  <dcterms:created xsi:type="dcterms:W3CDTF">2020-08-27T08:57:00Z</dcterms:created>
  <dcterms:modified xsi:type="dcterms:W3CDTF">2021-03-31T08:04:00Z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96;#H. Compliance in Business Processes and Projects|1973ca93-017d-444e-9a75-c9da93f4a188</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2021-03-31T08:04:04Z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f62c5971-fc84-45ac-b610-60a116a7c4e9</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