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3DE098" w14:textId="2B334BC1" w:rsidR="00C778A5" w:rsidRDefault="001068A3">
      <w:pPr>
        <w:rPr>
          <w:rFonts w:ascii="Times New Roman" w:hAnsi="Times New Roman" w:cs="Times New Roman"/>
          <w:color w:val="879BAA" w:themeColor="text2"/>
          <w:sz w:val="52"/>
        </w:rPr>
      </w:pPr>
      <w:bookmarkStart w:id="0" w:name="_Ref462314903"/>
      <w:r>
        <w:rPr>
          <w:rFonts w:ascii="Times New Roman" w:hAnsi="Times New Roman" w:cs="Times New Roman"/>
          <w:color w:val="879BAA" w:themeColor="text2"/>
          <w:sz w:val="52"/>
        </w:rPr>
        <w:t>8</w:t>
      </w:r>
      <w:r w:rsidR="00FD2E9B">
        <w:rPr>
          <w:rFonts w:ascii="Times New Roman" w:hAnsi="Times New Roman" w:cs="Times New Roman"/>
          <w:color w:val="879BAA" w:themeColor="text2"/>
          <w:sz w:val="52"/>
        </w:rPr>
        <w:t>. Compliance Due Diligences</w:t>
      </w:r>
      <w:r w:rsidR="00D8139D">
        <w:rPr>
          <w:rFonts w:ascii="Times New Roman" w:hAnsi="Times New Roman" w:cs="Times New Roman"/>
          <w:color w:val="879BAA" w:themeColor="text2"/>
          <w:sz w:val="52"/>
        </w:rPr>
        <w:t xml:space="preserve"> and </w:t>
      </w:r>
      <w:r w:rsidR="00FE7C79">
        <w:rPr>
          <w:rFonts w:ascii="Times New Roman" w:hAnsi="Times New Roman" w:cs="Times New Roman"/>
          <w:color w:val="879BAA" w:themeColor="text2"/>
          <w:sz w:val="52"/>
        </w:rPr>
        <w:t>A</w:t>
      </w:r>
      <w:r w:rsidR="00D8139D">
        <w:rPr>
          <w:rFonts w:ascii="Times New Roman" w:hAnsi="Times New Roman" w:cs="Times New Roman"/>
          <w:color w:val="879BAA" w:themeColor="text2"/>
          <w:sz w:val="52"/>
        </w:rPr>
        <w:t>pprovals</w:t>
      </w:r>
    </w:p>
    <w:p w14:paraId="0C6E8133" w14:textId="12659998" w:rsidR="00584807" w:rsidRDefault="00584807">
      <w:r w:rsidRPr="00AC5506">
        <w:t xml:space="preserve">The most important aspect </w:t>
      </w:r>
      <w:r w:rsidR="00AC5506" w:rsidRPr="00AC5506">
        <w:t xml:space="preserve">in all Compliance matters </w:t>
      </w:r>
      <w:r w:rsidRPr="00AC5506">
        <w:t>is to follow our principles</w:t>
      </w:r>
      <w:r w:rsidR="00AC5506" w:rsidRPr="00AC5506">
        <w:t xml:space="preserve">. The focus lies on everyone’s judgement and self-responsibility. However, Compliance prevention also </w:t>
      </w:r>
      <w:r w:rsidRPr="00AC5506">
        <w:t>require</w:t>
      </w:r>
      <w:r w:rsidR="00AC5506" w:rsidRPr="00AC5506">
        <w:t>s</w:t>
      </w:r>
      <w:r w:rsidRPr="00AC5506">
        <w:t xml:space="preserve"> </w:t>
      </w:r>
      <w:r w:rsidR="00AC5506" w:rsidRPr="00AC5506">
        <w:t>additional processes and</w:t>
      </w:r>
      <w:r w:rsidRPr="00AC5506">
        <w:t xml:space="preserve"> measures; due diligences and approvals are the most frequent ones.</w:t>
      </w:r>
      <w:r w:rsidR="00A20ED2">
        <w:t xml:space="preserve"> Please also refer to </w:t>
      </w:r>
      <w:hyperlink r:id="rId11" w:history="1">
        <w:r w:rsidR="00A20ED2" w:rsidRPr="00733A27">
          <w:rPr>
            <w:rStyle w:val="Hyperlink"/>
          </w:rPr>
          <w:t>S</w:t>
        </w:r>
        <w:r w:rsidR="0061245B">
          <w:rPr>
            <w:rStyle w:val="Hyperlink"/>
          </w:rPr>
          <w:t xml:space="preserve">iemens </w:t>
        </w:r>
        <w:r w:rsidR="00A20ED2" w:rsidRPr="00733A27">
          <w:rPr>
            <w:rStyle w:val="Hyperlink"/>
          </w:rPr>
          <w:t>C</w:t>
        </w:r>
        <w:r w:rsidR="0061245B">
          <w:rPr>
            <w:rStyle w:val="Hyperlink"/>
          </w:rPr>
          <w:t>ircular No.</w:t>
        </w:r>
        <w:r w:rsidR="00A20ED2" w:rsidRPr="00733A27">
          <w:rPr>
            <w:rStyle w:val="Hyperlink"/>
          </w:rPr>
          <w:t xml:space="preserve"> 226</w:t>
        </w:r>
      </w:hyperlink>
      <w:r w:rsidR="00A20ED2" w:rsidRPr="00733A27">
        <w:t xml:space="preserve"> for an overview of all other major Compliance related obligations.</w:t>
      </w:r>
    </w:p>
    <w:p w14:paraId="4BAAF26D" w14:textId="1C5E17F3" w:rsidR="00584807" w:rsidRDefault="00312823" w:rsidP="00584807">
      <w:pPr>
        <w:pStyle w:val="Untertitel"/>
      </w:pPr>
      <w:r>
        <w:t xml:space="preserve">Compliance </w:t>
      </w:r>
      <w:r w:rsidR="00584807">
        <w:t>Due Diligences</w:t>
      </w:r>
    </w:p>
    <w:p w14:paraId="7C3DE099" w14:textId="7D42A6A0" w:rsidR="00C778A5" w:rsidRDefault="00FD2E9B">
      <w:r>
        <w:t>The prevention of Compliance incidents has an overall similarity throughout the different Compliance topics: the need for transparency. Only a sufficient transparenc</w:t>
      </w:r>
      <w:r w:rsidR="00FE7C79">
        <w:t>y</w:t>
      </w:r>
      <w:r>
        <w:t xml:space="preserve"> puts Siemens in the position to assess the risks connected with a third party or a transaction. Therefore, the common approach for most Compliance topics is the performance of some kind of “due diligence”.</w:t>
      </w:r>
    </w:p>
    <w:p w14:paraId="7C3DE09A" w14:textId="77777777" w:rsidR="00C778A5" w:rsidRDefault="00FD2E9B" w:rsidP="00D8139D">
      <w:bookmarkStart w:id="1" w:name="_Toc456708447"/>
      <w:bookmarkEnd w:id="0"/>
      <w:r>
        <w:t>The link between processes for Business Partner, Anti-Money-Laundering and Human Rights will be a common Due Diligence Tool in the future. But also Export Control requires inter alia checks of the end-user and the end-use of the Siemens product.</w:t>
      </w:r>
    </w:p>
    <w:p w14:paraId="32D36160" w14:textId="08D80DD0" w:rsidR="00D8139D" w:rsidRDefault="00584807" w:rsidP="00584807">
      <w:pPr>
        <w:pStyle w:val="Untertitel"/>
      </w:pPr>
      <w:r>
        <w:t>Approvals</w:t>
      </w:r>
    </w:p>
    <w:p w14:paraId="0099016B" w14:textId="280F9AC4" w:rsidR="00584807" w:rsidRDefault="003E4735" w:rsidP="003E4735">
      <w:r>
        <w:t>Approvals are additional safeguards to involve a second opinion and to set a certain standard for the justification of a certain intended behavior or action.</w:t>
      </w:r>
      <w:r w:rsidR="00487452">
        <w:t xml:space="preserve"> They are often integrated in due diligence processes but may also appear separately</w:t>
      </w:r>
      <w:r w:rsidR="00D531E5">
        <w:t xml:space="preserve">, e.g. </w:t>
      </w:r>
      <w:proofErr w:type="gramStart"/>
      <w:r w:rsidR="00D531E5">
        <w:t>in the area of</w:t>
      </w:r>
      <w:proofErr w:type="gramEnd"/>
      <w:r w:rsidR="00D531E5">
        <w:t xml:space="preserve"> Gifts and Hospitality.</w:t>
      </w:r>
    </w:p>
    <w:p w14:paraId="1CECB53F" w14:textId="23B57351" w:rsidR="00E50178" w:rsidRPr="00CE3DE8" w:rsidRDefault="00E50178" w:rsidP="00E50178">
      <w:pPr>
        <w:pStyle w:val="Untertitel"/>
        <w:rPr>
          <w:color w:val="FF0000"/>
        </w:rPr>
      </w:pPr>
      <w:r w:rsidRPr="00CE3DE8">
        <w:rPr>
          <w:color w:val="FF0000"/>
        </w:rPr>
        <w:t>Information only</w:t>
      </w:r>
    </w:p>
    <w:p w14:paraId="79B12BDD" w14:textId="72E0EFD9" w:rsidR="00E50178" w:rsidRPr="00CE3DE8" w:rsidRDefault="00E50178" w:rsidP="00E50178">
      <w:pPr>
        <w:rPr>
          <w:color w:val="FF0000"/>
        </w:rPr>
      </w:pPr>
      <w:r w:rsidRPr="00CE3DE8">
        <w:rPr>
          <w:color w:val="FF0000"/>
        </w:rPr>
        <w:t>Please not that this chapter is merely a non-binding summary of due diligence and approval content of other chapters of this handbook. In case of deviations, the regulations of the respective topic chapter prevail.</w:t>
      </w:r>
    </w:p>
    <w:p w14:paraId="7D3FD0C0" w14:textId="68249A22" w:rsidR="00D8139D" w:rsidRDefault="001068A3" w:rsidP="00D8139D">
      <w:pPr>
        <w:pStyle w:val="berschrift2"/>
      </w:pPr>
      <w:r>
        <w:t>8.</w:t>
      </w:r>
      <w:r w:rsidR="00584807">
        <w:t>1</w:t>
      </w:r>
      <w:r w:rsidR="00D8139D">
        <w:t xml:space="preserve">. </w:t>
      </w:r>
      <w:r w:rsidR="00312823">
        <w:t xml:space="preserve">Compliance </w:t>
      </w:r>
      <w:r w:rsidR="00D8139D">
        <w:t>Due Diligences</w:t>
      </w:r>
    </w:p>
    <w:p w14:paraId="4006AAC5" w14:textId="3A2E037E" w:rsidR="00D8139D" w:rsidRPr="00D8139D" w:rsidRDefault="001D3D27" w:rsidP="00D8139D">
      <w:r>
        <w:t xml:space="preserve">Below you can find an overview of the most important </w:t>
      </w:r>
      <w:r w:rsidR="00312823">
        <w:t xml:space="preserve">Compliance </w:t>
      </w:r>
      <w:r>
        <w:t>due diligence processes. Please keep in mind that the binding content regarding those processes is contained in the respective chapter of the corresponding Compliance Activity Field.</w:t>
      </w:r>
    </w:p>
    <w:p w14:paraId="7C3DE09B" w14:textId="1CDC4761" w:rsidR="00C778A5" w:rsidRPr="003B645B" w:rsidRDefault="00FD2E9B" w:rsidP="002D7CA6">
      <w:pPr>
        <w:pStyle w:val="HighlightboxGreyBulletpoints"/>
        <w:numPr>
          <w:ilvl w:val="0"/>
          <w:numId w:val="3"/>
        </w:numPr>
        <w:rPr>
          <w:rFonts w:cs="Arial"/>
        </w:rPr>
      </w:pPr>
      <w:bookmarkStart w:id="2" w:name="_Ref464052864"/>
      <w:bookmarkEnd w:id="1"/>
      <w:r w:rsidRPr="003B645B">
        <w:rPr>
          <w:rFonts w:cs="Arial"/>
        </w:rPr>
        <w:t>Business Partner</w:t>
      </w:r>
    </w:p>
    <w:p w14:paraId="055AD8A2" w14:textId="4CBE8812" w:rsidR="00E457F7" w:rsidRDefault="00E457F7" w:rsidP="00E457F7">
      <w:pPr>
        <w:ind w:left="360"/>
      </w:pPr>
      <w:r>
        <w:t xml:space="preserve">A </w:t>
      </w:r>
      <w:r w:rsidR="00312823" w:rsidRPr="00312823">
        <w:rPr>
          <w:b/>
          <w:bCs/>
        </w:rPr>
        <w:t xml:space="preserve">Business Partner </w:t>
      </w:r>
      <w:r w:rsidRPr="00312823">
        <w:rPr>
          <w:b/>
          <w:bCs/>
        </w:rPr>
        <w:t>Compliance</w:t>
      </w:r>
      <w:r w:rsidRPr="00084599">
        <w:rPr>
          <w:b/>
        </w:rPr>
        <w:t xml:space="preserve"> Due </w:t>
      </w:r>
      <w:r w:rsidRPr="008643CF">
        <w:rPr>
          <w:b/>
        </w:rPr>
        <w:t xml:space="preserve">Diligence </w:t>
      </w:r>
      <w:r w:rsidRPr="008643CF">
        <w:t>(</w:t>
      </w:r>
      <w:r w:rsidR="00EB378C" w:rsidRPr="008643CF">
        <w:t xml:space="preserve">Chapter </w:t>
      </w:r>
      <w:hyperlink r:id="rId12" w:history="1">
        <w:r w:rsidR="006C1DB8" w:rsidRPr="008643CF">
          <w:rPr>
            <w:rStyle w:val="Hyperlink"/>
          </w:rPr>
          <w:t xml:space="preserve">A </w:t>
        </w:r>
        <w:r w:rsidR="00EB378C" w:rsidRPr="008643CF">
          <w:rPr>
            <w:rStyle w:val="Hyperlink"/>
          </w:rPr>
          <w:t>4</w:t>
        </w:r>
        <w:r w:rsidR="006C1DB8" w:rsidRPr="008643CF">
          <w:rPr>
            <w:rStyle w:val="Hyperlink"/>
          </w:rPr>
          <w:t>.</w:t>
        </w:r>
        <w:r w:rsidR="008643CF" w:rsidRPr="008643CF">
          <w:rPr>
            <w:rStyle w:val="Hyperlink"/>
          </w:rPr>
          <w:t>A.4</w:t>
        </w:r>
      </w:hyperlink>
      <w:r w:rsidR="008643CF" w:rsidRPr="008643CF">
        <w:rPr>
          <w:rStyle w:val="Hyperlink"/>
        </w:rPr>
        <w:t>.</w:t>
      </w:r>
      <w:r w:rsidRPr="008643CF">
        <w:t xml:space="preserve">) has to be initiated in the </w:t>
      </w:r>
      <w:hyperlink r:id="rId13" w:history="1">
        <w:r w:rsidRPr="008643CF">
          <w:rPr>
            <w:rStyle w:val="Hyperlink"/>
          </w:rPr>
          <w:t>CDD Tool</w:t>
        </w:r>
      </w:hyperlink>
      <w:r w:rsidRPr="008643CF">
        <w:t xml:space="preserve"> by anyone intending to make business with the following types and certain </w:t>
      </w:r>
      <w:r w:rsidRPr="008643CF">
        <w:rPr>
          <w:b/>
        </w:rPr>
        <w:t>contract provisions</w:t>
      </w:r>
      <w:r w:rsidRPr="008643CF">
        <w:t xml:space="preserve"> (</w:t>
      </w:r>
      <w:hyperlink r:id="rId14" w:history="1">
        <w:r w:rsidR="00EB378C" w:rsidRPr="008643CF">
          <w:rPr>
            <w:rStyle w:val="Hyperlink"/>
          </w:rPr>
          <w:t xml:space="preserve">Chapter </w:t>
        </w:r>
        <w:r w:rsidR="006C1DB8" w:rsidRPr="008643CF">
          <w:rPr>
            <w:rStyle w:val="Hyperlink"/>
          </w:rPr>
          <w:t xml:space="preserve">A </w:t>
        </w:r>
        <w:r w:rsidR="00EB378C" w:rsidRPr="008643CF">
          <w:rPr>
            <w:rStyle w:val="Hyperlink"/>
          </w:rPr>
          <w:t>4</w:t>
        </w:r>
        <w:r w:rsidR="006C1DB8" w:rsidRPr="008643CF">
          <w:rPr>
            <w:rStyle w:val="Hyperlink"/>
          </w:rPr>
          <w:t>.</w:t>
        </w:r>
        <w:r w:rsidR="008643CF" w:rsidRPr="008643CF">
          <w:rPr>
            <w:rStyle w:val="Hyperlink"/>
          </w:rPr>
          <w:t>B.5.</w:t>
        </w:r>
        <w:r w:rsidRPr="008643CF">
          <w:rPr>
            <w:rStyle w:val="Hyperlink"/>
          </w:rPr>
          <w:t>)</w:t>
        </w:r>
      </w:hyperlink>
      <w:r w:rsidRPr="008643CF">
        <w:t xml:space="preserve"> need to be included in a contract with them:</w:t>
      </w:r>
    </w:p>
    <w:p w14:paraId="1452FFB4" w14:textId="77777777" w:rsidR="00E457F7" w:rsidRPr="008E382D" w:rsidRDefault="00E457F7" w:rsidP="00E457F7">
      <w:pPr>
        <w:pStyle w:val="Listenabsatz"/>
        <w:numPr>
          <w:ilvl w:val="0"/>
          <w:numId w:val="43"/>
        </w:numPr>
        <w:rPr>
          <w:b/>
        </w:rPr>
      </w:pPr>
      <w:r w:rsidRPr="008E382D">
        <w:rPr>
          <w:b/>
        </w:rPr>
        <w:t xml:space="preserve">Intermediaries </w:t>
      </w:r>
    </w:p>
    <w:p w14:paraId="4F2863DF" w14:textId="0FAC27DF" w:rsidR="00E457F7" w:rsidRPr="00822C01" w:rsidRDefault="00E457F7" w:rsidP="008E382D">
      <w:pPr>
        <w:pStyle w:val="Listenabsatz"/>
        <w:numPr>
          <w:ilvl w:val="1"/>
          <w:numId w:val="43"/>
        </w:numPr>
      </w:pPr>
      <w:r w:rsidRPr="00E457F7">
        <w:rPr>
          <w:b/>
        </w:rPr>
        <w:t>Sales-related Intermediaries</w:t>
      </w:r>
      <w:r>
        <w:t xml:space="preserve">, e.g. Sales Agents, Business </w:t>
      </w:r>
      <w:proofErr w:type="gramStart"/>
      <w:r>
        <w:t>Consultants</w:t>
      </w:r>
      <w:r w:rsidR="008E382D">
        <w:t>;</w:t>
      </w:r>
      <w:proofErr w:type="gramEnd"/>
      <w:r>
        <w:t xml:space="preserve"> </w:t>
      </w:r>
    </w:p>
    <w:p w14:paraId="5B8C46CA" w14:textId="3CEDD852" w:rsidR="00E457F7" w:rsidRPr="00822C01" w:rsidRDefault="00E457F7" w:rsidP="008E382D">
      <w:pPr>
        <w:pStyle w:val="Listenabsatz"/>
        <w:numPr>
          <w:ilvl w:val="1"/>
          <w:numId w:val="43"/>
        </w:numPr>
      </w:pPr>
      <w:r w:rsidRPr="00E457F7">
        <w:rPr>
          <w:b/>
        </w:rPr>
        <w:t>Non-sales related Intermediaries</w:t>
      </w:r>
      <w:r w:rsidRPr="00822C01">
        <w:t>, incl. Lobbyists and Customs Agents</w:t>
      </w:r>
      <w:r>
        <w:t>.</w:t>
      </w:r>
    </w:p>
    <w:p w14:paraId="2F8498FD" w14:textId="77777777" w:rsidR="00E457F7" w:rsidRPr="008E382D" w:rsidRDefault="00E457F7" w:rsidP="00E457F7">
      <w:pPr>
        <w:pStyle w:val="Listenabsatz"/>
        <w:numPr>
          <w:ilvl w:val="0"/>
          <w:numId w:val="43"/>
        </w:numPr>
        <w:rPr>
          <w:b/>
        </w:rPr>
      </w:pPr>
      <w:r w:rsidRPr="008E382D">
        <w:rPr>
          <w:b/>
        </w:rPr>
        <w:t xml:space="preserve">Resellers with Red Flags </w:t>
      </w:r>
    </w:p>
    <w:p w14:paraId="0CEDE114" w14:textId="5EA6887D" w:rsidR="00E457F7" w:rsidRPr="00822C01" w:rsidRDefault="00E457F7" w:rsidP="008E382D">
      <w:pPr>
        <w:pStyle w:val="Listenabsatz"/>
        <w:numPr>
          <w:ilvl w:val="1"/>
          <w:numId w:val="43"/>
        </w:numPr>
      </w:pPr>
      <w:r w:rsidRPr="00E457F7">
        <w:rPr>
          <w:b/>
        </w:rPr>
        <w:lastRenderedPageBreak/>
        <w:t>Value-add Reseller</w:t>
      </w:r>
      <w:r w:rsidRPr="00822C01">
        <w:t xml:space="preserve">, e.g. EPC, OEM / System </w:t>
      </w:r>
      <w:proofErr w:type="gramStart"/>
      <w:r w:rsidRPr="00822C01">
        <w:t>Integrator</w:t>
      </w:r>
      <w:r>
        <w:t>;</w:t>
      </w:r>
      <w:proofErr w:type="gramEnd"/>
    </w:p>
    <w:p w14:paraId="1CE07477" w14:textId="68A78C7D" w:rsidR="00E457F7" w:rsidRDefault="00E457F7" w:rsidP="008E382D">
      <w:pPr>
        <w:pStyle w:val="Listenabsatz"/>
        <w:numPr>
          <w:ilvl w:val="1"/>
          <w:numId w:val="43"/>
        </w:numPr>
      </w:pPr>
      <w:r w:rsidRPr="00E457F7">
        <w:rPr>
          <w:b/>
        </w:rPr>
        <w:t>Distributor / other Reseller</w:t>
      </w:r>
      <w:r>
        <w:t>.</w:t>
      </w:r>
    </w:p>
    <w:p w14:paraId="69E0B58C" w14:textId="77777777" w:rsidR="00E457F7" w:rsidRPr="00153D60" w:rsidRDefault="00E457F7" w:rsidP="008E382D">
      <w:pPr>
        <w:pStyle w:val="Listenabsatz"/>
        <w:numPr>
          <w:ilvl w:val="1"/>
          <w:numId w:val="43"/>
        </w:numPr>
      </w:pPr>
      <w:r w:rsidRPr="00153D60">
        <w:t xml:space="preserve">For </w:t>
      </w:r>
      <w:r>
        <w:t xml:space="preserve">these </w:t>
      </w:r>
      <w:r w:rsidRPr="00153D60">
        <w:t xml:space="preserve">Resellers, a Compliance Due Diligence or the use of certain contract provisions is only mandatory in case of one of the following </w:t>
      </w:r>
      <w:r w:rsidRPr="00E457F7">
        <w:rPr>
          <w:b/>
        </w:rPr>
        <w:t>Red Flags</w:t>
      </w:r>
      <w:r w:rsidRPr="00153D60">
        <w:t>:</w:t>
      </w:r>
    </w:p>
    <w:p w14:paraId="6CA19E2A" w14:textId="7E92DE2B" w:rsidR="00E457F7" w:rsidRPr="00E457F7" w:rsidRDefault="00E457F7" w:rsidP="008E382D">
      <w:pPr>
        <w:pStyle w:val="Listenabsatz"/>
        <w:numPr>
          <w:ilvl w:val="2"/>
          <w:numId w:val="43"/>
        </w:numPr>
        <w:rPr>
          <w:szCs w:val="20"/>
        </w:rPr>
      </w:pPr>
      <w:r w:rsidRPr="008752F5">
        <w:t>The use of the specific Reseller is required by a t</w:t>
      </w:r>
      <w:r w:rsidR="008E382D">
        <w:t xml:space="preserve">hird party, e.g. an end </w:t>
      </w:r>
      <w:proofErr w:type="gramStart"/>
      <w:r w:rsidR="008E382D">
        <w:t>customer</w:t>
      </w:r>
      <w:r w:rsidRPr="008752F5">
        <w:t>;</w:t>
      </w:r>
      <w:proofErr w:type="gramEnd"/>
    </w:p>
    <w:p w14:paraId="0F3D9717" w14:textId="6C381141" w:rsidR="00E457F7" w:rsidRPr="00E457F7" w:rsidRDefault="00E457F7" w:rsidP="008E382D">
      <w:pPr>
        <w:pStyle w:val="Listenabsatz"/>
        <w:numPr>
          <w:ilvl w:val="2"/>
          <w:numId w:val="43"/>
        </w:numPr>
        <w:rPr>
          <w:szCs w:val="20"/>
        </w:rPr>
      </w:pPr>
      <w:r w:rsidRPr="008752F5">
        <w:t xml:space="preserve">The Reseller receives an unusual financial benefit or business term from </w:t>
      </w:r>
      <w:proofErr w:type="gramStart"/>
      <w:r w:rsidRPr="008752F5">
        <w:t>Siemens</w:t>
      </w:r>
      <w:r w:rsidR="008E382D">
        <w:t>;</w:t>
      </w:r>
      <w:proofErr w:type="gramEnd"/>
    </w:p>
    <w:p w14:paraId="48D9FB23" w14:textId="5B3CEC27" w:rsidR="00E457F7" w:rsidRPr="00E457F7" w:rsidRDefault="00E457F7" w:rsidP="008E382D">
      <w:pPr>
        <w:pStyle w:val="Listenabsatz"/>
        <w:numPr>
          <w:ilvl w:val="2"/>
          <w:numId w:val="43"/>
        </w:numPr>
        <w:rPr>
          <w:szCs w:val="20"/>
        </w:rPr>
      </w:pPr>
      <w:r w:rsidRPr="008752F5">
        <w:t xml:space="preserve">The Reseller places another third party between himself and his customer without plausible </w:t>
      </w:r>
      <w:proofErr w:type="gramStart"/>
      <w:r w:rsidRPr="008752F5">
        <w:t>cause;</w:t>
      </w:r>
      <w:proofErr w:type="gramEnd"/>
    </w:p>
    <w:p w14:paraId="6D8446E1" w14:textId="75AA58D9" w:rsidR="00E457F7" w:rsidRPr="008752F5" w:rsidRDefault="00E457F7" w:rsidP="008E382D">
      <w:pPr>
        <w:pStyle w:val="Listenabsatz"/>
        <w:numPr>
          <w:ilvl w:val="2"/>
          <w:numId w:val="43"/>
        </w:numPr>
      </w:pPr>
      <w:r w:rsidRPr="008752F5">
        <w:t>The Reseller raises integrity concerns based on information from a reliable source.</w:t>
      </w:r>
    </w:p>
    <w:p w14:paraId="60170D37" w14:textId="034C566C" w:rsidR="00E457F7" w:rsidRPr="008E382D" w:rsidRDefault="00E457F7" w:rsidP="00E457F7">
      <w:pPr>
        <w:pStyle w:val="Listenabsatz"/>
        <w:numPr>
          <w:ilvl w:val="0"/>
          <w:numId w:val="43"/>
        </w:numPr>
        <w:rPr>
          <w:b/>
        </w:rPr>
      </w:pPr>
      <w:r w:rsidRPr="008E382D">
        <w:rPr>
          <w:b/>
          <w:lang w:eastAsia="de-DE"/>
        </w:rPr>
        <w:t>C</w:t>
      </w:r>
      <w:r w:rsidR="008E382D" w:rsidRPr="008E382D">
        <w:rPr>
          <w:b/>
          <w:lang w:eastAsia="de-DE"/>
        </w:rPr>
        <w:t>ooperation/Consortium Partners</w:t>
      </w:r>
    </w:p>
    <w:p w14:paraId="348D52A2" w14:textId="179D3475" w:rsidR="0004616E" w:rsidRDefault="0004616E" w:rsidP="00A07C18">
      <w:pPr>
        <w:pStyle w:val="HighlightboxGreyBulletpoints"/>
        <w:numPr>
          <w:ilvl w:val="0"/>
          <w:numId w:val="3"/>
        </w:numPr>
        <w:rPr>
          <w:rFonts w:cs="Arial"/>
        </w:rPr>
      </w:pPr>
      <w:r>
        <w:rPr>
          <w:rFonts w:cs="Arial"/>
        </w:rPr>
        <w:t>Compliance in Projects</w:t>
      </w:r>
    </w:p>
    <w:p w14:paraId="04F22FF1" w14:textId="005237AA" w:rsidR="0004616E" w:rsidRDefault="0004616E" w:rsidP="0004616E">
      <w:pPr>
        <w:ind w:left="360"/>
        <w:rPr>
          <w:rFonts w:cs="Arial"/>
        </w:rPr>
      </w:pPr>
      <w:r>
        <w:rPr>
          <w:rFonts w:cs="Arial"/>
        </w:rPr>
        <w:t xml:space="preserve">A Compliance </w:t>
      </w:r>
      <w:r w:rsidR="00312823">
        <w:rPr>
          <w:rFonts w:cs="Arial"/>
        </w:rPr>
        <w:t xml:space="preserve">Risk Assessment incl. a Compliance Due Diligence </w:t>
      </w:r>
      <w:r>
        <w:rPr>
          <w:rFonts w:cs="Arial"/>
        </w:rPr>
        <w:t xml:space="preserve">has to be conducted in </w:t>
      </w:r>
      <w:hyperlink r:id="rId15" w:history="1">
        <w:r>
          <w:rPr>
            <w:rStyle w:val="Hyperlink"/>
            <w:rFonts w:cs="Arial"/>
          </w:rPr>
          <w:t>project sales</w:t>
        </w:r>
      </w:hyperlink>
      <w:r>
        <w:rPr>
          <w:rFonts w:cs="Arial"/>
        </w:rPr>
        <w:t xml:space="preserve"> (</w:t>
      </w:r>
      <w:r w:rsidR="00EB378C">
        <w:rPr>
          <w:rFonts w:cs="Arial"/>
        </w:rPr>
        <w:t xml:space="preserve">Chapter </w:t>
      </w:r>
      <w:r>
        <w:rPr>
          <w:rFonts w:cs="Arial"/>
        </w:rPr>
        <w:t xml:space="preserve">H 1.2.1.) and </w:t>
      </w:r>
      <w:hyperlink r:id="rId16" w:history="1">
        <w:r>
          <w:rPr>
            <w:rStyle w:val="Hyperlink"/>
            <w:rFonts w:cs="Arial"/>
          </w:rPr>
          <w:t>project execution</w:t>
        </w:r>
      </w:hyperlink>
      <w:r>
        <w:rPr>
          <w:rFonts w:cs="Arial"/>
        </w:rPr>
        <w:t xml:space="preserve"> (</w:t>
      </w:r>
      <w:r w:rsidR="00EB378C">
        <w:rPr>
          <w:rFonts w:cs="Arial"/>
        </w:rPr>
        <w:t xml:space="preserve">Chapter </w:t>
      </w:r>
      <w:r>
        <w:rPr>
          <w:rFonts w:cs="Arial"/>
        </w:rPr>
        <w:t xml:space="preserve">H 1.3.1.) if certain trigger criteria are fulfilled. </w:t>
      </w:r>
    </w:p>
    <w:p w14:paraId="7C3DE09F" w14:textId="12111633" w:rsidR="00C778A5" w:rsidRPr="003B645B" w:rsidRDefault="00FD2E9B" w:rsidP="00A07C18">
      <w:pPr>
        <w:pStyle w:val="HighlightboxGreyBulletpoints"/>
        <w:numPr>
          <w:ilvl w:val="0"/>
          <w:numId w:val="3"/>
        </w:numPr>
        <w:rPr>
          <w:rFonts w:cs="Arial"/>
        </w:rPr>
      </w:pPr>
      <w:r w:rsidRPr="003B645B">
        <w:rPr>
          <w:rFonts w:cs="Arial"/>
        </w:rPr>
        <w:t>Anti-Money-Laundering</w:t>
      </w:r>
    </w:p>
    <w:p w14:paraId="33940E9E" w14:textId="13B27941" w:rsidR="00AC2FF9" w:rsidRDefault="00AC2FF9" w:rsidP="00AC2FF9">
      <w:pPr>
        <w:ind w:left="360"/>
      </w:pPr>
      <w:r w:rsidRPr="008643CF">
        <w:t>In case of an indication of money laundering or terrorism financing (</w:t>
      </w:r>
      <w:r w:rsidRPr="008643CF">
        <w:rPr>
          <w:rFonts w:ascii="Calibri" w:hAnsi="Calibri" w:cs="Calibri"/>
        </w:rPr>
        <w:t>“</w:t>
      </w:r>
      <w:r w:rsidRPr="008643CF">
        <w:rPr>
          <w:b/>
          <w:bCs/>
        </w:rPr>
        <w:t>AML Red Flag</w:t>
      </w:r>
      <w:r w:rsidRPr="008643CF">
        <w:rPr>
          <w:rFonts w:ascii="Calibri" w:hAnsi="Calibri" w:cs="Calibri"/>
        </w:rPr>
        <w:t>”</w:t>
      </w:r>
      <w:r w:rsidRPr="008643CF">
        <w:t xml:space="preserve">, </w:t>
      </w:r>
      <w:hyperlink r:id="rId17" w:history="1">
        <w:r w:rsidRPr="008643CF">
          <w:rPr>
            <w:rStyle w:val="Hyperlink"/>
            <w:rFonts w:cs="Arial"/>
          </w:rPr>
          <w:t>Chapter C.1.)</w:t>
        </w:r>
      </w:hyperlink>
      <w:r w:rsidRPr="008643CF">
        <w:rPr>
          <w:rStyle w:val="Hyperlink"/>
          <w:rFonts w:cs="Arial"/>
        </w:rPr>
        <w:t xml:space="preserve"> </w:t>
      </w:r>
      <w:r w:rsidRPr="008643CF">
        <w:t>in</w:t>
      </w:r>
      <w:r>
        <w:t xml:space="preserve"> relation to a Counterpart, its Business Model, the Transaction / Financing e.g. </w:t>
      </w:r>
    </w:p>
    <w:p w14:paraId="52018D94" w14:textId="77777777" w:rsidR="00AC2FF9" w:rsidRPr="00AC2FF9" w:rsidRDefault="00AC2FF9" w:rsidP="00AC2FF9">
      <w:pPr>
        <w:ind w:left="360"/>
        <w:rPr>
          <w:b/>
          <w:bCs/>
        </w:rPr>
      </w:pPr>
      <w:r>
        <w:t>•</w:t>
      </w:r>
      <w:r>
        <w:tab/>
      </w:r>
      <w:r w:rsidRPr="00AC2FF9">
        <w:rPr>
          <w:b/>
          <w:bCs/>
        </w:rPr>
        <w:t>Unusual or implausible business activities or</w:t>
      </w:r>
    </w:p>
    <w:p w14:paraId="20A139DD" w14:textId="77777777" w:rsidR="00AC2FF9" w:rsidRPr="00AC2FF9" w:rsidRDefault="00AC2FF9" w:rsidP="00AC2FF9">
      <w:pPr>
        <w:ind w:left="360"/>
        <w:rPr>
          <w:b/>
          <w:bCs/>
        </w:rPr>
      </w:pPr>
      <w:r w:rsidRPr="00AC2FF9">
        <w:rPr>
          <w:b/>
          <w:bCs/>
        </w:rPr>
        <w:t>•</w:t>
      </w:r>
      <w:r w:rsidRPr="00AC2FF9">
        <w:rPr>
          <w:b/>
          <w:bCs/>
        </w:rPr>
        <w:tab/>
        <w:t xml:space="preserve">Indications for disguising the source of funds and/or involved persons </w:t>
      </w:r>
    </w:p>
    <w:p w14:paraId="27E59B36" w14:textId="7D4058D5" w:rsidR="00AC2FF9" w:rsidRDefault="00AC2FF9" w:rsidP="00AC2FF9">
      <w:pPr>
        <w:ind w:left="360"/>
      </w:pPr>
      <w:r>
        <w:t xml:space="preserve">or even a concrete suspicion of money laundering or terrorism financing, the responsible Compliance Officer must be informed  and </w:t>
      </w:r>
      <w:r w:rsidRPr="00AC2FF9">
        <w:rPr>
          <w:b/>
          <w:bCs/>
        </w:rPr>
        <w:t xml:space="preserve">an AML-specific Due Diligence (AML DD) </w:t>
      </w:r>
      <w:r w:rsidRPr="00AC2FF9">
        <w:t>must be</w:t>
      </w:r>
      <w:r>
        <w:t xml:space="preserve"> performed (</w:t>
      </w:r>
      <w:hyperlink r:id="rId18" w:history="1">
        <w:r w:rsidRPr="008643CF">
          <w:rPr>
            <w:rStyle w:val="Hyperlink"/>
          </w:rPr>
          <w:t>Chapter C. 2.)</w:t>
        </w:r>
      </w:hyperlink>
      <w:r>
        <w:t xml:space="preserve"> before entering into, or continuing with a business relationship or performing any transaction with a Counterpart.</w:t>
      </w:r>
    </w:p>
    <w:p w14:paraId="286411BA" w14:textId="0CC16B50" w:rsidR="00D642EB" w:rsidRPr="00D642EB" w:rsidRDefault="00D642EB" w:rsidP="00D642EB">
      <w:pPr>
        <w:ind w:left="360"/>
      </w:pPr>
      <w:r w:rsidRPr="00D642EB">
        <w:t>Where required by local / sector specific AML regulations, additional or deviating measures might have to be taken (Chapter C.3.).</w:t>
      </w:r>
    </w:p>
    <w:p w14:paraId="7C3DE0A2" w14:textId="3BDD838C" w:rsidR="00C778A5" w:rsidRPr="003B645B" w:rsidRDefault="00FD2E9B" w:rsidP="00045B5E">
      <w:pPr>
        <w:pStyle w:val="HighlightboxGreyBulletpoints"/>
        <w:numPr>
          <w:ilvl w:val="0"/>
          <w:numId w:val="3"/>
        </w:numPr>
        <w:rPr>
          <w:rFonts w:cs="Arial"/>
        </w:rPr>
      </w:pPr>
      <w:r w:rsidRPr="003B645B">
        <w:rPr>
          <w:rFonts w:cs="Arial"/>
        </w:rPr>
        <w:t>Human Rights</w:t>
      </w:r>
    </w:p>
    <w:p w14:paraId="7C3DE0A4" w14:textId="2A8D6399" w:rsidR="00C778A5" w:rsidRDefault="00FD2E9B" w:rsidP="003B645B">
      <w:pPr>
        <w:ind w:left="360"/>
      </w:pPr>
      <w:r>
        <w:rPr>
          <w:rFonts w:cs="Arial"/>
          <w:szCs w:val="20"/>
        </w:rPr>
        <w:t xml:space="preserve">A Human Rights due diligence as a module of the assessment of compliance risks within the </w:t>
      </w:r>
      <w:hyperlink r:id="rId19" w:history="1">
        <w:proofErr w:type="spellStart"/>
        <w:r w:rsidR="00CB7CA8" w:rsidRPr="009109D5">
          <w:rPr>
            <w:rStyle w:val="Hyperlink"/>
            <w:rFonts w:cs="Arial"/>
            <w:szCs w:val="20"/>
          </w:rPr>
          <w:t>LoA</w:t>
        </w:r>
        <w:proofErr w:type="spellEnd"/>
        <w:r w:rsidR="00CB7CA8" w:rsidRPr="009109D5">
          <w:rPr>
            <w:rStyle w:val="Hyperlink"/>
            <w:rFonts w:cs="Arial"/>
            <w:szCs w:val="20"/>
          </w:rPr>
          <w:t xml:space="preserve"> process</w:t>
        </w:r>
      </w:hyperlink>
      <w:r w:rsidR="00CB7CA8">
        <w:rPr>
          <w:rFonts w:cs="Arial"/>
          <w:szCs w:val="20"/>
        </w:rPr>
        <w:t xml:space="preserve"> (</w:t>
      </w:r>
      <w:r w:rsidR="00EB378C">
        <w:rPr>
          <w:rFonts w:cs="Arial"/>
          <w:szCs w:val="20"/>
        </w:rPr>
        <w:t xml:space="preserve">Chapter </w:t>
      </w:r>
      <w:r w:rsidR="00CB7CA8">
        <w:rPr>
          <w:rFonts w:cs="Arial"/>
          <w:szCs w:val="20"/>
        </w:rPr>
        <w:t>H. 1.2.1.) has to be performed if certain trigger criteria are fulfilled</w:t>
      </w:r>
      <w:r>
        <w:rPr>
          <w:rFonts w:cs="Arial"/>
          <w:szCs w:val="20"/>
        </w:rPr>
        <w:t>.</w:t>
      </w:r>
      <w:r w:rsidR="00B263A5">
        <w:rPr>
          <w:rFonts w:cs="Arial"/>
          <w:szCs w:val="20"/>
        </w:rPr>
        <w:t xml:space="preserve"> </w:t>
      </w:r>
      <w:r>
        <w:t>Please see</w:t>
      </w:r>
      <w:r w:rsidR="006C1DB8">
        <w:t xml:space="preserve"> chapter </w:t>
      </w:r>
      <w:proofErr w:type="spellStart"/>
      <w:r w:rsidR="00EB378C">
        <w:t>Chapter</w:t>
      </w:r>
      <w:proofErr w:type="spellEnd"/>
      <w:r w:rsidR="00EB378C">
        <w:t xml:space="preserve"> </w:t>
      </w:r>
      <w:hyperlink r:id="rId20" w:history="1">
        <w:r w:rsidR="006C1DB8">
          <w:rPr>
            <w:rStyle w:val="Hyperlink"/>
          </w:rPr>
          <w:t>E 5.</w:t>
        </w:r>
      </w:hyperlink>
      <w:r>
        <w:t xml:space="preserve"> for more details.</w:t>
      </w:r>
    </w:p>
    <w:p w14:paraId="6E5570C2" w14:textId="77729D76" w:rsidR="00CF091F" w:rsidRDefault="00CF091F" w:rsidP="00045B5E">
      <w:pPr>
        <w:pStyle w:val="HighlightboxGreyBulletpoints"/>
        <w:numPr>
          <w:ilvl w:val="0"/>
          <w:numId w:val="3"/>
        </w:numPr>
        <w:rPr>
          <w:rFonts w:cs="Arial"/>
        </w:rPr>
      </w:pPr>
      <w:r>
        <w:rPr>
          <w:rFonts w:cs="Arial"/>
        </w:rPr>
        <w:t>Procurement</w:t>
      </w:r>
    </w:p>
    <w:p w14:paraId="030FA4BE" w14:textId="02ACD6A6" w:rsidR="00CF091F" w:rsidRPr="00CF091F" w:rsidRDefault="00CF091F" w:rsidP="00CF091F">
      <w:pPr>
        <w:ind w:left="360"/>
      </w:pPr>
      <w:r>
        <w:rPr>
          <w:rFonts w:cs="Arial"/>
          <w:color w:val="333333"/>
          <w:spacing w:val="-5"/>
        </w:rPr>
        <w:t xml:space="preserve">The incorporated </w:t>
      </w:r>
      <w:r w:rsidRPr="008643CF">
        <w:rPr>
          <w:rFonts w:cs="Arial"/>
          <w:color w:val="333333"/>
          <w:spacing w:val="-5"/>
        </w:rPr>
        <w:t xml:space="preserve">compliance check in the supplier registration of SCM STAR/PEGA SMDM on global layer level consists of the </w:t>
      </w:r>
      <w:r w:rsidRPr="008643CF">
        <w:rPr>
          <w:rFonts w:cs="Arial"/>
          <w:spacing w:val="-5"/>
        </w:rPr>
        <w:t>Business Partner (BP) check</w:t>
      </w:r>
      <w:r w:rsidRPr="008643CF">
        <w:rPr>
          <w:rFonts w:cs="Arial"/>
          <w:color w:val="333333"/>
          <w:spacing w:val="-5"/>
        </w:rPr>
        <w:t xml:space="preserve"> </w:t>
      </w:r>
      <w:r w:rsidR="00BA33C2" w:rsidRPr="008643CF">
        <w:rPr>
          <w:rFonts w:cs="Arial"/>
          <w:color w:val="333333"/>
          <w:spacing w:val="-5"/>
        </w:rPr>
        <w:t>(</w:t>
      </w:r>
      <w:r w:rsidR="00EB378C" w:rsidRPr="008643CF">
        <w:rPr>
          <w:rFonts w:cs="Arial"/>
          <w:color w:val="333333"/>
          <w:spacing w:val="-5"/>
        </w:rPr>
        <w:t>Chapter</w:t>
      </w:r>
      <w:r w:rsidR="00EB378C">
        <w:rPr>
          <w:rFonts w:cs="Arial"/>
          <w:color w:val="333333"/>
          <w:spacing w:val="-5"/>
        </w:rPr>
        <w:t xml:space="preserve"> </w:t>
      </w:r>
      <w:hyperlink r:id="rId21" w:history="1">
        <w:r w:rsidR="008643CF" w:rsidRPr="008643CF">
          <w:rPr>
            <w:rStyle w:val="Hyperlink"/>
          </w:rPr>
          <w:t>A 4.A.4</w:t>
        </w:r>
      </w:hyperlink>
      <w:r w:rsidR="008643CF" w:rsidRPr="008643CF">
        <w:rPr>
          <w:rStyle w:val="Hyperlink"/>
        </w:rPr>
        <w:t>.</w:t>
      </w:r>
      <w:r w:rsidR="008643CF" w:rsidRPr="008643CF">
        <w:t xml:space="preserve">) </w:t>
      </w:r>
      <w:r w:rsidR="00EB378C">
        <w:rPr>
          <w:rFonts w:cs="Arial"/>
          <w:color w:val="333333"/>
          <w:spacing w:val="-5"/>
        </w:rPr>
        <w:t xml:space="preserve">and an assessment of an AML risk </w:t>
      </w:r>
      <w:r w:rsidR="008643CF">
        <w:t>(</w:t>
      </w:r>
      <w:hyperlink r:id="rId22" w:history="1">
        <w:r w:rsidR="008643CF" w:rsidRPr="008643CF">
          <w:rPr>
            <w:rStyle w:val="Hyperlink"/>
          </w:rPr>
          <w:t>Chapter C. 2.)</w:t>
        </w:r>
      </w:hyperlink>
      <w:r w:rsidR="008643CF">
        <w:t>.</w:t>
      </w:r>
    </w:p>
    <w:p w14:paraId="7C3DE0A5" w14:textId="78D068E7" w:rsidR="00C778A5" w:rsidRPr="003B645B" w:rsidRDefault="00FD2E9B" w:rsidP="00045B5E">
      <w:pPr>
        <w:pStyle w:val="HighlightboxGreyBulletpoints"/>
        <w:numPr>
          <w:ilvl w:val="0"/>
          <w:numId w:val="3"/>
        </w:numPr>
        <w:rPr>
          <w:rFonts w:cs="Arial"/>
        </w:rPr>
      </w:pPr>
      <w:r w:rsidRPr="003B645B">
        <w:rPr>
          <w:rFonts w:cs="Arial"/>
        </w:rPr>
        <w:t>Export Control</w:t>
      </w:r>
    </w:p>
    <w:p w14:paraId="7C3DE0A6" w14:textId="77777777" w:rsidR="00C778A5" w:rsidRDefault="00FD2E9B" w:rsidP="00045B5E">
      <w:pPr>
        <w:ind w:left="360"/>
      </w:pPr>
      <w:r>
        <w:t>The company application DAMEX must be used to evaluate what restrictions are applicable for a business transaction:</w:t>
      </w:r>
    </w:p>
    <w:p w14:paraId="7C3DE0A7" w14:textId="77777777" w:rsidR="00C778A5" w:rsidRPr="00045B5E" w:rsidRDefault="00FD2E9B" w:rsidP="00045B5E">
      <w:pPr>
        <w:pStyle w:val="Listenabsatz"/>
        <w:numPr>
          <w:ilvl w:val="0"/>
          <w:numId w:val="36"/>
        </w:numPr>
        <w:rPr>
          <w:rFonts w:cs="Arial"/>
        </w:rPr>
      </w:pPr>
      <w:r w:rsidRPr="00045B5E">
        <w:rPr>
          <w:rFonts w:cs="Arial"/>
        </w:rPr>
        <w:t xml:space="preserve">DAMEX-E (End-Use Check) </w:t>
      </w:r>
    </w:p>
    <w:p w14:paraId="7C3DE0A8" w14:textId="77777777" w:rsidR="00C778A5" w:rsidRDefault="00FD2E9B" w:rsidP="00045B5E">
      <w:pPr>
        <w:ind w:left="1080"/>
      </w:pPr>
      <w:r>
        <w:t>Questions about ultimate destination, end use and other warning indicators. Military and nuclear use, deliveries to certain persons, companies and organizations and certain services, such as technical support, may be subject to restrictions in the form of prohibitions and compulsory licensing. </w:t>
      </w:r>
    </w:p>
    <w:p w14:paraId="7C3DE0A9" w14:textId="77777777" w:rsidR="00C778A5" w:rsidRPr="00045B5E" w:rsidRDefault="00FD2E9B" w:rsidP="00045B5E">
      <w:pPr>
        <w:pStyle w:val="Listenabsatz"/>
        <w:numPr>
          <w:ilvl w:val="0"/>
          <w:numId w:val="36"/>
        </w:numPr>
        <w:rPr>
          <w:rFonts w:cs="Arial"/>
        </w:rPr>
      </w:pPr>
      <w:r w:rsidRPr="00045B5E">
        <w:rPr>
          <w:rFonts w:cs="Arial"/>
        </w:rPr>
        <w:lastRenderedPageBreak/>
        <w:t xml:space="preserve">DAMEX-P (Product-Specific Check) </w:t>
      </w:r>
    </w:p>
    <w:p w14:paraId="7C3DE0AA" w14:textId="77777777" w:rsidR="00C778A5" w:rsidRDefault="00FD2E9B" w:rsidP="00045B5E">
      <w:pPr>
        <w:ind w:left="1080"/>
      </w:pPr>
      <w:r>
        <w:t xml:space="preserve">Goods-related check at item level determining a possible license requirement fort the export of the respective item (commodity, software, technology) </w:t>
      </w:r>
    </w:p>
    <w:p w14:paraId="7C3DE0AB" w14:textId="77777777" w:rsidR="00C778A5" w:rsidRPr="00045B5E" w:rsidRDefault="00FD2E9B" w:rsidP="00045B5E">
      <w:pPr>
        <w:pStyle w:val="Listenabsatz"/>
        <w:numPr>
          <w:ilvl w:val="0"/>
          <w:numId w:val="36"/>
        </w:numPr>
        <w:rPr>
          <w:rFonts w:cs="Arial"/>
        </w:rPr>
      </w:pPr>
      <w:r w:rsidRPr="00045B5E">
        <w:rPr>
          <w:rFonts w:cs="Arial"/>
        </w:rPr>
        <w:t xml:space="preserve">DAMEX-SPS (Sanctioned Parties Screening) </w:t>
      </w:r>
    </w:p>
    <w:p w14:paraId="7C3DE0AC" w14:textId="77777777" w:rsidR="00C778A5" w:rsidRDefault="00FD2E9B" w:rsidP="00045B5E">
      <w:pPr>
        <w:ind w:left="360" w:firstLine="720"/>
      </w:pPr>
      <w:r>
        <w:t xml:space="preserve">Contains various lists of sanctions of the respective national, European and US authorities. </w:t>
      </w:r>
    </w:p>
    <w:p w14:paraId="7C3DE0AD" w14:textId="49858C45" w:rsidR="00C778A5" w:rsidRDefault="00FD2E9B" w:rsidP="00045B5E">
      <w:pPr>
        <w:ind w:firstLine="360"/>
      </w:pPr>
      <w:r>
        <w:t xml:space="preserve">Please see Chapter </w:t>
      </w:r>
      <w:hyperlink r:id="rId23" w:history="1">
        <w:r>
          <w:rPr>
            <w:rStyle w:val="Hyperlink"/>
          </w:rPr>
          <w:t>F. Export Control</w:t>
        </w:r>
      </w:hyperlink>
      <w:r>
        <w:t xml:space="preserve"> and the </w:t>
      </w:r>
      <w:hyperlink r:id="rId24" w:history="1">
        <w:r>
          <w:rPr>
            <w:rStyle w:val="Hyperlink"/>
            <w:rFonts w:cs="Arial"/>
            <w:szCs w:val="20"/>
          </w:rPr>
          <w:t>Internal Control Program Export Control (ICP EX)</w:t>
        </w:r>
      </w:hyperlink>
      <w:r>
        <w:rPr>
          <w:rFonts w:cs="Arial"/>
          <w:color w:val="333333"/>
          <w:szCs w:val="20"/>
        </w:rPr>
        <w:t xml:space="preserve"> </w:t>
      </w:r>
      <w:r>
        <w:t>for details.</w:t>
      </w:r>
      <w:bookmarkEnd w:id="2"/>
    </w:p>
    <w:p w14:paraId="1295E4D6" w14:textId="77777777" w:rsidR="00E50178" w:rsidRPr="00315F37" w:rsidRDefault="00E50178" w:rsidP="00E50178">
      <w:pPr>
        <w:pStyle w:val="Untertitel"/>
        <w:rPr>
          <w:color w:val="FF0000"/>
        </w:rPr>
      </w:pPr>
      <w:r w:rsidRPr="00315F37">
        <w:rPr>
          <w:color w:val="FF0000"/>
        </w:rPr>
        <w:t>Information only</w:t>
      </w:r>
    </w:p>
    <w:p w14:paraId="5F065FCB" w14:textId="6435AB2A" w:rsidR="00E50178" w:rsidRPr="00E50178" w:rsidRDefault="00E50178" w:rsidP="00CE3DE8">
      <w:r w:rsidRPr="00315F37">
        <w:rPr>
          <w:color w:val="FF0000"/>
        </w:rPr>
        <w:t>Please not that this chapter is merely a non-binding summary of due diligence and approval content of other chapters of this handbook. In case of deviations, the regulations of the respective topic chapter prevail.</w:t>
      </w:r>
    </w:p>
    <w:p w14:paraId="771D0228" w14:textId="358B55D0" w:rsidR="00584807" w:rsidRDefault="001068A3" w:rsidP="00584807">
      <w:pPr>
        <w:pStyle w:val="berschrift2"/>
      </w:pPr>
      <w:r>
        <w:t>8.</w:t>
      </w:r>
      <w:r w:rsidR="00584807">
        <w:t>2. Approvals</w:t>
      </w:r>
    </w:p>
    <w:p w14:paraId="40255AD5" w14:textId="2F6E04E4" w:rsidR="00373E5F" w:rsidRPr="00D8139D" w:rsidRDefault="00373E5F" w:rsidP="00373E5F">
      <w:r>
        <w:t>Below you can find an overview of the most important approvals outside of due diligence processes. Please keep in mind that the binding content regarding those processes is contained in the respective chapter of the corresponding Compliance Activity Field.</w:t>
      </w:r>
    </w:p>
    <w:p w14:paraId="61ED8E68" w14:textId="61A0035F" w:rsidR="00A07C18" w:rsidRDefault="00A07C18" w:rsidP="00A07C18">
      <w:pPr>
        <w:pStyle w:val="HighlightboxGreyBulletpoints"/>
        <w:numPr>
          <w:ilvl w:val="0"/>
          <w:numId w:val="3"/>
        </w:numPr>
      </w:pPr>
      <w:r>
        <w:t xml:space="preserve">Gifts &amp; </w:t>
      </w:r>
      <w:r w:rsidRPr="00EA3893">
        <w:t>Hospitality (</w:t>
      </w:r>
      <w:r w:rsidR="00EB378C" w:rsidRPr="00EB378C">
        <w:rPr>
          <w:rStyle w:val="Hyperlink"/>
        </w:rPr>
        <w:t xml:space="preserve">Chapter </w:t>
      </w:r>
      <w:hyperlink r:id="rId25" w:history="1">
        <w:r w:rsidR="00EA3893">
          <w:rPr>
            <w:rStyle w:val="Hyperlink"/>
          </w:rPr>
          <w:t>A 1.</w:t>
        </w:r>
      </w:hyperlink>
      <w:r w:rsidRPr="00EA3893">
        <w:t>)</w:t>
      </w:r>
    </w:p>
    <w:p w14:paraId="321070C5" w14:textId="3DCABB78" w:rsidR="00A07C18" w:rsidRDefault="00A07C18" w:rsidP="00A07C18">
      <w:pPr>
        <w:ind w:left="360"/>
      </w:pPr>
      <w:r w:rsidRPr="00E334C1">
        <w:t xml:space="preserve">In addition to our </w:t>
      </w:r>
      <w:r w:rsidRPr="00A07C18">
        <w:t>general principles</w:t>
      </w:r>
      <w:r w:rsidR="00650A0A">
        <w:t>:</w:t>
      </w:r>
    </w:p>
    <w:p w14:paraId="0C98F35F" w14:textId="60C58C5F" w:rsidR="00650A0A" w:rsidRPr="00650A0A" w:rsidRDefault="00650A0A" w:rsidP="00650A0A">
      <w:pPr>
        <w:pStyle w:val="Listenabsatz"/>
        <w:numPr>
          <w:ilvl w:val="0"/>
          <w:numId w:val="36"/>
        </w:numPr>
        <w:rPr>
          <w:rFonts w:cs="Arial"/>
        </w:rPr>
      </w:pPr>
      <w:r>
        <w:rPr>
          <w:rFonts w:cs="Arial"/>
        </w:rPr>
        <w:t xml:space="preserve">A </w:t>
      </w:r>
      <w:r w:rsidRPr="00AD1D1C">
        <w:rPr>
          <w:rFonts w:cs="Arial"/>
        </w:rPr>
        <w:t xml:space="preserve">prior </w:t>
      </w:r>
      <w:hyperlink w:anchor="_1.3._Approval_for" w:history="1">
        <w:proofErr w:type="spellStart"/>
        <w:r w:rsidRPr="00650A0A">
          <w:t>SpoDoM</w:t>
        </w:r>
        <w:proofErr w:type="spellEnd"/>
        <w:r w:rsidRPr="00650A0A">
          <w:t>-Approval</w:t>
        </w:r>
      </w:hyperlink>
      <w:r>
        <w:rPr>
          <w:rFonts w:cs="Arial"/>
        </w:rPr>
        <w:t xml:space="preserve"> </w:t>
      </w:r>
      <w:r w:rsidRPr="00AD1D1C">
        <w:rPr>
          <w:rFonts w:cs="Arial"/>
        </w:rPr>
        <w:t>is required for</w:t>
      </w:r>
      <w:r>
        <w:rPr>
          <w:rFonts w:cs="Arial"/>
        </w:rPr>
        <w:t xml:space="preserve"> </w:t>
      </w:r>
      <w:r w:rsidRPr="00650A0A">
        <w:rPr>
          <w:rFonts w:cs="Arial"/>
        </w:rPr>
        <w:t>offering or granting</w:t>
      </w:r>
      <w:r>
        <w:rPr>
          <w:rFonts w:cs="Arial"/>
        </w:rPr>
        <w:t xml:space="preserve"> </w:t>
      </w:r>
      <w:r w:rsidRPr="006A7450">
        <w:rPr>
          <w:rFonts w:cs="Arial"/>
        </w:rPr>
        <w:t>invitations to</w:t>
      </w:r>
      <w:r w:rsidRPr="00650A0A">
        <w:rPr>
          <w:rFonts w:cs="Arial"/>
        </w:rPr>
        <w:t xml:space="preserve"> </w:t>
      </w:r>
      <w:hyperlink w:anchor="_1.2.2._Entertainment_Events*" w:history="1">
        <w:r w:rsidRPr="00650A0A">
          <w:rPr>
            <w:rFonts w:cs="Arial"/>
          </w:rPr>
          <w:t>Entertainment Events</w:t>
        </w:r>
      </w:hyperlink>
      <w:r w:rsidRPr="00650A0A">
        <w:rPr>
          <w:rFonts w:cs="Arial"/>
        </w:rPr>
        <w:t>,</w:t>
      </w:r>
      <w:r w:rsidRPr="006A7450">
        <w:rPr>
          <w:rFonts w:cs="Arial"/>
        </w:rPr>
        <w:t xml:space="preserve"> reimbursement of </w:t>
      </w:r>
      <w:hyperlink w:anchor="_1.2.3._Travel_and" w:history="1">
        <w:r w:rsidRPr="00650A0A">
          <w:rPr>
            <w:rFonts w:cs="Arial"/>
          </w:rPr>
          <w:t>Lodging or Non-Local Travel Costs</w:t>
        </w:r>
      </w:hyperlink>
      <w:r w:rsidRPr="00650A0A">
        <w:rPr>
          <w:rFonts w:cs="Arial"/>
        </w:rPr>
        <w:t xml:space="preserve">, </w:t>
      </w:r>
      <w:r w:rsidRPr="006A7450">
        <w:rPr>
          <w:rFonts w:cs="Arial"/>
        </w:rPr>
        <w:t xml:space="preserve">or </w:t>
      </w:r>
      <w:r w:rsidRPr="00650A0A">
        <w:rPr>
          <w:rFonts w:cs="Arial"/>
        </w:rPr>
        <w:t>Other Contributions without Consideration</w:t>
      </w:r>
    </w:p>
    <w:p w14:paraId="62BD3257" w14:textId="77777777" w:rsidR="00650A0A" w:rsidRPr="00650A0A" w:rsidRDefault="00650A0A" w:rsidP="00650A0A">
      <w:pPr>
        <w:pStyle w:val="Listenabsatz"/>
        <w:numPr>
          <w:ilvl w:val="1"/>
          <w:numId w:val="36"/>
        </w:numPr>
        <w:rPr>
          <w:rFonts w:cs="Arial"/>
        </w:rPr>
      </w:pPr>
      <w:r w:rsidRPr="00650A0A">
        <w:rPr>
          <w:rFonts w:cs="Arial"/>
        </w:rPr>
        <w:t>to Government Officials and their Related Parties, Government Entities, Healthcare Providers, members of a purchasing department or beneficiaries that are involved in important business decisions</w:t>
      </w:r>
      <w:r w:rsidRPr="00AD1D1C">
        <w:rPr>
          <w:rFonts w:cs="Arial"/>
        </w:rPr>
        <w:t xml:space="preserve"> </w:t>
      </w:r>
      <w:r>
        <w:rPr>
          <w:rFonts w:cs="Arial"/>
        </w:rPr>
        <w:t>(</w:t>
      </w:r>
      <w:hyperlink w:anchor="_1.3._Process_and" w:history="1">
        <w:r w:rsidRPr="00650A0A">
          <w:t>Risk Groups</w:t>
        </w:r>
      </w:hyperlink>
      <w:r w:rsidRPr="00E334C1">
        <w:rPr>
          <w:rFonts w:cs="Arial"/>
        </w:rPr>
        <w:t>)</w:t>
      </w:r>
      <w:r>
        <w:rPr>
          <w:rFonts w:cs="Arial"/>
        </w:rPr>
        <w:t>,</w:t>
      </w:r>
    </w:p>
    <w:p w14:paraId="0F41219A" w14:textId="77777777" w:rsidR="00650A0A" w:rsidRPr="00650A0A" w:rsidRDefault="00650A0A" w:rsidP="00650A0A">
      <w:pPr>
        <w:pStyle w:val="Listenabsatz"/>
        <w:numPr>
          <w:ilvl w:val="1"/>
          <w:numId w:val="36"/>
        </w:numPr>
        <w:rPr>
          <w:rFonts w:cs="Arial"/>
        </w:rPr>
      </w:pPr>
      <w:r>
        <w:rPr>
          <w:rFonts w:cs="Arial"/>
        </w:rPr>
        <w:t>if</w:t>
      </w:r>
      <w:r w:rsidRPr="00AD1D1C">
        <w:rPr>
          <w:rFonts w:cs="Arial"/>
        </w:rPr>
        <w:t xml:space="preserve"> no </w:t>
      </w:r>
      <w:hyperlink w:anchor="_1.3._Process_and" w:history="1">
        <w:r w:rsidRPr="00650A0A">
          <w:t>exception</w:t>
        </w:r>
      </w:hyperlink>
      <w:r>
        <w:rPr>
          <w:rFonts w:cs="Arial"/>
        </w:rPr>
        <w:t xml:space="preserve"> applies</w:t>
      </w:r>
      <w:r w:rsidRPr="00AD1D1C">
        <w:rPr>
          <w:rFonts w:cs="Arial"/>
        </w:rPr>
        <w:t>.</w:t>
      </w:r>
    </w:p>
    <w:p w14:paraId="50B2DD4C" w14:textId="77777777" w:rsidR="00650A0A" w:rsidRPr="00650A0A" w:rsidRDefault="00650A0A" w:rsidP="00650A0A">
      <w:pPr>
        <w:pStyle w:val="Listenabsatz"/>
        <w:numPr>
          <w:ilvl w:val="0"/>
          <w:numId w:val="36"/>
        </w:numPr>
        <w:rPr>
          <w:rFonts w:cs="Arial"/>
        </w:rPr>
      </w:pPr>
      <w:r w:rsidRPr="00650A0A">
        <w:rPr>
          <w:rFonts w:cs="Arial"/>
        </w:rPr>
        <w:t xml:space="preserve">No </w:t>
      </w:r>
      <w:proofErr w:type="spellStart"/>
      <w:r w:rsidRPr="00650A0A">
        <w:rPr>
          <w:rFonts w:cs="Arial"/>
        </w:rPr>
        <w:t>SpoDoM</w:t>
      </w:r>
      <w:proofErr w:type="spellEnd"/>
      <w:r w:rsidRPr="00650A0A">
        <w:rPr>
          <w:rFonts w:cs="Arial"/>
        </w:rPr>
        <w:t>-Approval</w:t>
      </w:r>
      <w:r>
        <w:rPr>
          <w:rFonts w:cs="Arial"/>
        </w:rPr>
        <w:t xml:space="preserve"> is required for </w:t>
      </w:r>
      <w:r w:rsidRPr="00650A0A">
        <w:rPr>
          <w:rFonts w:cs="Arial"/>
        </w:rPr>
        <w:t>offering or granting</w:t>
      </w:r>
      <w:r>
        <w:rPr>
          <w:rFonts w:cs="Arial"/>
        </w:rPr>
        <w:t xml:space="preserve"> </w:t>
      </w:r>
      <w:hyperlink w:anchor="_1.2.1._Gifts_and" w:history="1">
        <w:r w:rsidRPr="00650A0A">
          <w:t>Gifts and Meals</w:t>
        </w:r>
      </w:hyperlink>
      <w:r>
        <w:rPr>
          <w:rFonts w:cs="Arial"/>
        </w:rPr>
        <w:t xml:space="preserve">, reimbursement of </w:t>
      </w:r>
      <w:hyperlink w:anchor="LocalTravel" w:history="1">
        <w:r w:rsidRPr="00650A0A">
          <w:t>Local Travel Costs</w:t>
        </w:r>
      </w:hyperlink>
      <w:r>
        <w:rPr>
          <w:rFonts w:cs="Arial"/>
        </w:rPr>
        <w:t xml:space="preserve">, or for </w:t>
      </w:r>
      <w:r w:rsidRPr="00650A0A">
        <w:rPr>
          <w:rFonts w:cs="Arial"/>
        </w:rPr>
        <w:t xml:space="preserve">accepting </w:t>
      </w:r>
      <w:hyperlink w:anchor="_1.2._Types_of" w:history="1">
        <w:r w:rsidRPr="00650A0A">
          <w:t>Benefits</w:t>
        </w:r>
      </w:hyperlink>
      <w:r>
        <w:rPr>
          <w:rFonts w:cs="Arial"/>
        </w:rPr>
        <w:t>.</w:t>
      </w:r>
    </w:p>
    <w:p w14:paraId="46783513" w14:textId="27505500" w:rsidR="00650A0A" w:rsidRDefault="008643CF" w:rsidP="00650A0A">
      <w:pPr>
        <w:pStyle w:val="Listenabsatz"/>
        <w:numPr>
          <w:ilvl w:val="0"/>
          <w:numId w:val="36"/>
        </w:numPr>
        <w:rPr>
          <w:rFonts w:cs="Arial"/>
        </w:rPr>
      </w:pPr>
      <w:hyperlink w:anchor="_1.2.1._Gifts_and" w:history="1">
        <w:r w:rsidR="00650A0A" w:rsidRPr="00650A0A">
          <w:t>G</w:t>
        </w:r>
        <w:r w:rsidR="00650A0A" w:rsidRPr="00650A0A">
          <w:rPr>
            <w:rFonts w:cs="Arial"/>
          </w:rPr>
          <w:t>ifts of money</w:t>
        </w:r>
      </w:hyperlink>
      <w:r w:rsidR="00650A0A" w:rsidRPr="00650A0A">
        <w:rPr>
          <w:rFonts w:cs="Arial"/>
        </w:rPr>
        <w:t xml:space="preserve"> are prohibited unless a prior written approval of the Compliance Officer is granted.</w:t>
      </w:r>
    </w:p>
    <w:p w14:paraId="4FD9BAB0" w14:textId="0C023979" w:rsidR="002A46C3" w:rsidRDefault="002A46C3" w:rsidP="002A46C3">
      <w:pPr>
        <w:pStyle w:val="Listenabsatz"/>
        <w:ind w:left="1080"/>
        <w:rPr>
          <w:rFonts w:cs="Arial"/>
        </w:rPr>
      </w:pPr>
    </w:p>
    <w:p w14:paraId="21BFB621" w14:textId="77777777" w:rsidR="002A46C3" w:rsidRPr="009903D5" w:rsidRDefault="002A46C3" w:rsidP="002A46C3">
      <w:pPr>
        <w:pStyle w:val="HighlightboxGreyBulletpoints"/>
        <w:numPr>
          <w:ilvl w:val="0"/>
          <w:numId w:val="3"/>
        </w:numPr>
      </w:pPr>
      <w:proofErr w:type="spellStart"/>
      <w:r w:rsidRPr="009903D5">
        <w:t>SpoDoM</w:t>
      </w:r>
      <w:proofErr w:type="spellEnd"/>
      <w:r w:rsidRPr="009903D5">
        <w:t xml:space="preserve"> (</w:t>
      </w:r>
      <w:r w:rsidRPr="00EB378C">
        <w:rPr>
          <w:rStyle w:val="Hyperlink"/>
        </w:rPr>
        <w:t xml:space="preserve">Chapter </w:t>
      </w:r>
      <w:hyperlink r:id="rId26" w:history="1">
        <w:r>
          <w:rPr>
            <w:rStyle w:val="Hyperlink"/>
          </w:rPr>
          <w:t>A 2.</w:t>
        </w:r>
      </w:hyperlink>
      <w:r w:rsidRPr="00EB378C">
        <w:rPr>
          <w:rStyle w:val="Hyperlink"/>
        </w:rPr>
        <w:t>)</w:t>
      </w:r>
    </w:p>
    <w:p w14:paraId="4C638A5B" w14:textId="5D7D14D8" w:rsidR="002A46C3" w:rsidRDefault="002A46C3" w:rsidP="002A46C3">
      <w:pPr>
        <w:ind w:left="360"/>
      </w:pPr>
      <w:r>
        <w:t xml:space="preserve">To bundle </w:t>
      </w:r>
      <w:r>
        <w:rPr>
          <w:rFonts w:cs="Arial"/>
          <w:color w:val="333333"/>
          <w:spacing w:val="-5"/>
        </w:rPr>
        <w:t xml:space="preserve">Sponsoring Activities, Donations, Charitable Contributions and Memberships </w:t>
      </w:r>
      <w:r>
        <w:t xml:space="preserve">in line with the relevant strategic objectives, to create transparency, to ensure compliance with all applicable statutory regulations and to strengthen control over the associated costs, Siemens has implemented the </w:t>
      </w:r>
      <w:proofErr w:type="spellStart"/>
      <w:r>
        <w:t>SpoDoM</w:t>
      </w:r>
      <w:proofErr w:type="spellEnd"/>
      <w:r>
        <w:t xml:space="preserve"> tool for registering and approving the activities.</w:t>
      </w:r>
    </w:p>
    <w:p w14:paraId="5B223C21" w14:textId="058E2CCA" w:rsidR="00A23491" w:rsidRDefault="00A23491" w:rsidP="00A23491">
      <w:pPr>
        <w:pStyle w:val="HighlightboxGreyBulletpoints"/>
        <w:numPr>
          <w:ilvl w:val="0"/>
          <w:numId w:val="3"/>
        </w:numPr>
      </w:pPr>
      <w:r>
        <w:t>Investments in third-party companies (</w:t>
      </w:r>
      <w:hyperlink r:id="rId27" w:history="1">
        <w:r w:rsidRPr="00A23491">
          <w:rPr>
            <w:rStyle w:val="Hyperlink"/>
          </w:rPr>
          <w:t>Chapter A.</w:t>
        </w:r>
        <w:r w:rsidR="008643CF">
          <w:rPr>
            <w:rStyle w:val="Hyperlink"/>
          </w:rPr>
          <w:t>5</w:t>
        </w:r>
        <w:r w:rsidRPr="00A23491">
          <w:rPr>
            <w:rStyle w:val="Hyperlink"/>
          </w:rPr>
          <w:t>.</w:t>
        </w:r>
        <w:r w:rsidR="001015A1">
          <w:rPr>
            <w:rStyle w:val="Hyperlink"/>
          </w:rPr>
          <w:t>1.</w:t>
        </w:r>
        <w:r w:rsidRPr="00A23491">
          <w:rPr>
            <w:rStyle w:val="Hyperlink"/>
          </w:rPr>
          <w:t>3</w:t>
        </w:r>
      </w:hyperlink>
      <w:r>
        <w:t>)</w:t>
      </w:r>
    </w:p>
    <w:p w14:paraId="4B69A876" w14:textId="77777777" w:rsidR="00A23491" w:rsidRPr="00A23491" w:rsidRDefault="00A23491" w:rsidP="00A23491">
      <w:pPr>
        <w:pStyle w:val="HighlightboxGreyBulletpoints"/>
        <w:ind w:left="360"/>
        <w:rPr>
          <w:b w:val="0"/>
          <w:color w:val="auto"/>
          <w:szCs w:val="22"/>
        </w:rPr>
      </w:pPr>
      <w:r w:rsidRPr="00A23491">
        <w:rPr>
          <w:b w:val="0"/>
          <w:color w:val="auto"/>
          <w:szCs w:val="22"/>
        </w:rPr>
        <w:t>Conflicts of interest can also arise in the case of direct or indirect investments in third-party companies or other forms of influence on a company. Such investments may require Siemens`</w:t>
      </w:r>
      <w:r>
        <w:rPr>
          <w:b w:val="0"/>
          <w:color w:val="auto"/>
          <w:szCs w:val="22"/>
        </w:rPr>
        <w:t xml:space="preserve"> </w:t>
      </w:r>
      <w:r w:rsidRPr="00A23491">
        <w:rPr>
          <w:b w:val="0"/>
          <w:color w:val="auto"/>
          <w:szCs w:val="22"/>
        </w:rPr>
        <w:t xml:space="preserve">approval. </w:t>
      </w:r>
    </w:p>
    <w:p w14:paraId="229577D0" w14:textId="77777777" w:rsidR="00A23491" w:rsidRPr="00A23491" w:rsidRDefault="00A23491" w:rsidP="00A23491">
      <w:pPr>
        <w:pStyle w:val="KeinAbsatzformat"/>
        <w:rPr>
          <w:lang w:val="en-US"/>
        </w:rPr>
      </w:pPr>
    </w:p>
    <w:p w14:paraId="4DFF0913" w14:textId="098E30BD" w:rsidR="001B26A3" w:rsidRDefault="001B26A3" w:rsidP="001B26A3">
      <w:pPr>
        <w:pStyle w:val="HighlightboxGreyBulletpoints"/>
        <w:numPr>
          <w:ilvl w:val="0"/>
          <w:numId w:val="3"/>
        </w:numPr>
      </w:pPr>
      <w:r>
        <w:t>Procurement</w:t>
      </w:r>
      <w:r w:rsidR="00EB378C">
        <w:t xml:space="preserve"> (</w:t>
      </w:r>
      <w:hyperlink r:id="rId28" w:history="1">
        <w:r w:rsidR="00EB378C" w:rsidRPr="00EB378C">
          <w:rPr>
            <w:rStyle w:val="Hyperlink"/>
          </w:rPr>
          <w:t>Chapter H.2.)</w:t>
        </w:r>
      </w:hyperlink>
    </w:p>
    <w:p w14:paraId="5117ECD5" w14:textId="542B94D7" w:rsidR="00FA6137" w:rsidRDefault="00F646B1" w:rsidP="001B26A3">
      <w:pPr>
        <w:ind w:left="360"/>
      </w:pPr>
      <w:r w:rsidRPr="001B26A3">
        <w:t xml:space="preserve">In case a supplier insists on changes/deletions to the </w:t>
      </w:r>
      <w:r w:rsidRPr="001B26A3">
        <w:rPr>
          <w:b/>
        </w:rPr>
        <w:t>Corporate Responsibility contract clause/declaration or to the Code of Conduct,</w:t>
      </w:r>
      <w:r w:rsidRPr="001B26A3">
        <w:t xml:space="preserve"> exceptions can be granted according to the Escalation Process</w:t>
      </w:r>
      <w:r w:rsidR="00AE23EA">
        <w:t>.</w:t>
      </w:r>
      <w:r w:rsidRPr="001B26A3">
        <w:t xml:space="preserve"> The Compliance Officer is part of the approval process for exceptions according to </w:t>
      </w:r>
      <w:r w:rsidRPr="008643CF">
        <w:t xml:space="preserve">the </w:t>
      </w:r>
      <w:hyperlink r:id="rId29" w:history="1">
        <w:r w:rsidR="001B26A3" w:rsidRPr="008643CF">
          <w:rPr>
            <w:rStyle w:val="Hyperlink"/>
          </w:rPr>
          <w:t>Escalation Proces</w:t>
        </w:r>
        <w:r w:rsidR="00655279" w:rsidRPr="008643CF">
          <w:rPr>
            <w:rStyle w:val="Hyperlink"/>
          </w:rPr>
          <w:t>s</w:t>
        </w:r>
        <w:r w:rsidR="001B26A3" w:rsidRPr="008643CF">
          <w:rPr>
            <w:rStyle w:val="Hyperlink"/>
          </w:rPr>
          <w:t xml:space="preserve"> (</w:t>
        </w:r>
        <w:r w:rsidR="00AE23EA" w:rsidRPr="008643CF">
          <w:rPr>
            <w:rStyle w:val="Hyperlink"/>
          </w:rPr>
          <w:t xml:space="preserve">Chapter </w:t>
        </w:r>
        <w:r w:rsidR="001B26A3" w:rsidRPr="008643CF">
          <w:rPr>
            <w:rStyle w:val="Hyperlink"/>
          </w:rPr>
          <w:t>H. 2.2.</w:t>
        </w:r>
        <w:r w:rsidR="00EB378C" w:rsidRPr="008643CF">
          <w:rPr>
            <w:rStyle w:val="Hyperlink"/>
          </w:rPr>
          <w:t>2</w:t>
        </w:r>
        <w:r w:rsidR="001B26A3" w:rsidRPr="008643CF">
          <w:rPr>
            <w:rStyle w:val="Hyperlink"/>
          </w:rPr>
          <w:t>).</w:t>
        </w:r>
      </w:hyperlink>
    </w:p>
    <w:p w14:paraId="3E38D713" w14:textId="77777777" w:rsidR="00F2715F" w:rsidRDefault="00F2715F" w:rsidP="00F2715F">
      <w:pPr>
        <w:pStyle w:val="HighlightboxGreyBulletpoints"/>
        <w:ind w:left="360"/>
      </w:pPr>
      <w:bookmarkStart w:id="3" w:name="_Hlk532457096"/>
    </w:p>
    <w:p w14:paraId="021427A1" w14:textId="5D362754" w:rsidR="0033241D" w:rsidRDefault="0016311F" w:rsidP="0033241D">
      <w:pPr>
        <w:pStyle w:val="HighlightboxGreyBulletpoints"/>
        <w:numPr>
          <w:ilvl w:val="0"/>
          <w:numId w:val="3"/>
        </w:numPr>
      </w:pPr>
      <w:r>
        <w:t>Further approvals to be included</w:t>
      </w:r>
    </w:p>
    <w:bookmarkEnd w:id="3"/>
    <w:p w14:paraId="65911FFA" w14:textId="79F455B4" w:rsidR="005B69B1" w:rsidRDefault="005B69B1" w:rsidP="005B69B1">
      <w:pPr>
        <w:pStyle w:val="KeinAbsatzformat"/>
        <w:rPr>
          <w:lang w:val="en-US"/>
        </w:rPr>
      </w:pPr>
    </w:p>
    <w:p w14:paraId="732EADE1" w14:textId="77777777" w:rsidR="00E50178" w:rsidRPr="00315F37" w:rsidRDefault="00E50178" w:rsidP="00E50178">
      <w:pPr>
        <w:pStyle w:val="Untertitel"/>
        <w:rPr>
          <w:color w:val="FF0000"/>
        </w:rPr>
      </w:pPr>
      <w:r w:rsidRPr="00315F37">
        <w:rPr>
          <w:color w:val="FF0000"/>
        </w:rPr>
        <w:t>Information only</w:t>
      </w:r>
    </w:p>
    <w:p w14:paraId="76994813" w14:textId="28DCCFA1" w:rsidR="005B69B1" w:rsidRDefault="00E50178" w:rsidP="00F96736">
      <w:r w:rsidRPr="00315F37">
        <w:rPr>
          <w:color w:val="FF0000"/>
        </w:rPr>
        <w:t xml:space="preserve">Please not that this chapter is merely a non-binding summary of due diligence and approval content of other chapters of this </w:t>
      </w:r>
      <w:r w:rsidR="002F1EFD">
        <w:rPr>
          <w:color w:val="FF0000"/>
        </w:rPr>
        <w:t>Compliance H</w:t>
      </w:r>
      <w:r w:rsidRPr="00315F37">
        <w:rPr>
          <w:color w:val="FF0000"/>
        </w:rPr>
        <w:t>andbook. In case of deviations, the regulations of the respective topic chapter prevail.</w:t>
      </w:r>
    </w:p>
    <w:p w14:paraId="3BB2722F" w14:textId="5B86D00B" w:rsidR="00F96736" w:rsidRDefault="00AE23EA" w:rsidP="00F96736">
      <w:pPr>
        <w:pStyle w:val="berschrift2"/>
      </w:pPr>
      <w:r>
        <w:t>8.3</w:t>
      </w:r>
      <w:r w:rsidR="00F96736">
        <w:t>. History of changes</w:t>
      </w:r>
    </w:p>
    <w:tbl>
      <w:tblPr>
        <w:tblStyle w:val="Tabellenraster"/>
        <w:tblW w:w="0" w:type="auto"/>
        <w:tblInd w:w="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2520"/>
        <w:gridCol w:w="5324"/>
      </w:tblGrid>
      <w:tr w:rsidR="00F96736" w14:paraId="04CA6996" w14:textId="77777777" w:rsidTr="00F87460">
        <w:tc>
          <w:tcPr>
            <w:tcW w:w="1795" w:type="dxa"/>
            <w:shd w:val="clear" w:color="auto" w:fill="879BAA" w:themeFill="text2"/>
          </w:tcPr>
          <w:p w14:paraId="47D34459" w14:textId="77777777" w:rsidR="00F96736" w:rsidRDefault="00F96736" w:rsidP="00F87460">
            <w:pPr>
              <w:rPr>
                <w:b/>
                <w:color w:val="auto"/>
              </w:rPr>
            </w:pPr>
            <w:r>
              <w:rPr>
                <w:b/>
                <w:color w:val="auto"/>
              </w:rPr>
              <w:t xml:space="preserve">Date </w:t>
            </w:r>
          </w:p>
        </w:tc>
        <w:tc>
          <w:tcPr>
            <w:tcW w:w="2520" w:type="dxa"/>
            <w:shd w:val="clear" w:color="auto" w:fill="879BAA" w:themeFill="text2"/>
          </w:tcPr>
          <w:p w14:paraId="0EF1EAEB" w14:textId="77777777" w:rsidR="00F96736" w:rsidRDefault="00F96736" w:rsidP="00F87460">
            <w:pPr>
              <w:rPr>
                <w:b/>
                <w:color w:val="auto"/>
              </w:rPr>
            </w:pPr>
            <w:r>
              <w:rPr>
                <w:b/>
                <w:color w:val="auto"/>
              </w:rPr>
              <w:t>Author</w:t>
            </w:r>
          </w:p>
        </w:tc>
        <w:tc>
          <w:tcPr>
            <w:tcW w:w="5324" w:type="dxa"/>
            <w:shd w:val="clear" w:color="auto" w:fill="879BAA" w:themeFill="text2"/>
          </w:tcPr>
          <w:p w14:paraId="71CDF204" w14:textId="77777777" w:rsidR="00F96736" w:rsidRDefault="00F96736" w:rsidP="00F87460">
            <w:pPr>
              <w:rPr>
                <w:b/>
                <w:color w:val="auto"/>
              </w:rPr>
            </w:pPr>
            <w:r>
              <w:rPr>
                <w:b/>
                <w:color w:val="auto"/>
              </w:rPr>
              <w:t>Major changes of binding content</w:t>
            </w:r>
          </w:p>
        </w:tc>
      </w:tr>
      <w:tr w:rsidR="00F96736" w:rsidRPr="00497C01" w14:paraId="22265EAB" w14:textId="77777777" w:rsidTr="00F87460">
        <w:tc>
          <w:tcPr>
            <w:tcW w:w="1795" w:type="dxa"/>
          </w:tcPr>
          <w:p w14:paraId="1AC3DAD8" w14:textId="77777777" w:rsidR="00F96736" w:rsidRDefault="00F96736" w:rsidP="00F87460">
            <w:r>
              <w:t>Oct. 1, 2020</w:t>
            </w:r>
          </w:p>
        </w:tc>
        <w:tc>
          <w:tcPr>
            <w:tcW w:w="2520" w:type="dxa"/>
          </w:tcPr>
          <w:p w14:paraId="66AF5B52" w14:textId="77777777" w:rsidR="00F96736" w:rsidRDefault="00F96736" w:rsidP="00F87460">
            <w:pPr>
              <w:rPr>
                <w:lang w:val="de-DE"/>
              </w:rPr>
            </w:pPr>
            <w:r>
              <w:rPr>
                <w:lang w:val="de-DE"/>
              </w:rPr>
              <w:t>Yvonne Hamm-Düppe</w:t>
            </w:r>
          </w:p>
          <w:p w14:paraId="704F443C" w14:textId="3AF6939D" w:rsidR="00F96736" w:rsidRPr="001979B2" w:rsidRDefault="00F96736" w:rsidP="00F87460">
            <w:pPr>
              <w:rPr>
                <w:lang w:val="de-DE"/>
              </w:rPr>
            </w:pPr>
          </w:p>
        </w:tc>
        <w:tc>
          <w:tcPr>
            <w:tcW w:w="5324" w:type="dxa"/>
          </w:tcPr>
          <w:p w14:paraId="7CF6430F" w14:textId="77777777" w:rsidR="00F96736" w:rsidRDefault="00F96736" w:rsidP="00F87460">
            <w:r>
              <w:t>Structural change from former Part 2 G. to Part 2, chapter H.8.</w:t>
            </w:r>
          </w:p>
          <w:p w14:paraId="2BF99DC5" w14:textId="568C5AFE" w:rsidR="00F96736" w:rsidRDefault="00F96736" w:rsidP="00F87460">
            <w:r>
              <w:t xml:space="preserve">Chapter 8.2. Investments in third-party </w:t>
            </w:r>
            <w:proofErr w:type="gramStart"/>
            <w:r>
              <w:t>companies</w:t>
            </w:r>
            <w:proofErr w:type="gramEnd"/>
            <w:r>
              <w:t xml:space="preserve"> approval added</w:t>
            </w:r>
          </w:p>
        </w:tc>
      </w:tr>
    </w:tbl>
    <w:p w14:paraId="350A8044" w14:textId="77777777" w:rsidR="00F96736" w:rsidRPr="00D02251" w:rsidRDefault="00F96736" w:rsidP="00F96736"/>
    <w:p w14:paraId="6EE788BE" w14:textId="627315F0" w:rsidR="00F96736" w:rsidRDefault="00F96736" w:rsidP="00F96736">
      <w:pPr>
        <w:pStyle w:val="berschrift2"/>
      </w:pPr>
      <w:r>
        <w:t>8.4. Contacts</w:t>
      </w:r>
    </w:p>
    <w:p w14:paraId="4375CB46" w14:textId="77777777" w:rsidR="00F96736" w:rsidRPr="00951D33" w:rsidRDefault="00F96736" w:rsidP="00F96736">
      <w:pPr>
        <w:pStyle w:val="HighlightboxGreyBulletpoints"/>
        <w:numPr>
          <w:ilvl w:val="0"/>
          <w:numId w:val="3"/>
        </w:numPr>
      </w:pPr>
      <w:r w:rsidRPr="00951D33">
        <w:t xml:space="preserve">Compliance Officer </w:t>
      </w:r>
    </w:p>
    <w:p w14:paraId="190405CA" w14:textId="77777777" w:rsidR="00F96736" w:rsidRPr="00951D33" w:rsidRDefault="00F96736" w:rsidP="00F96736">
      <w:pPr>
        <w:ind w:left="360"/>
      </w:pPr>
      <w:r w:rsidRPr="00951D33">
        <w:t xml:space="preserve">The Compliance Officer responsible for your unit can be found through the following </w:t>
      </w:r>
      <w:hyperlink r:id="rId30" w:history="1">
        <w:r w:rsidRPr="000E18BF">
          <w:rPr>
            <w:rStyle w:val="Hyperlink"/>
          </w:rPr>
          <w:t>link</w:t>
        </w:r>
      </w:hyperlink>
      <w:r w:rsidRPr="00951D33">
        <w:t>.</w:t>
      </w:r>
    </w:p>
    <w:p w14:paraId="4A5EC331" w14:textId="77777777" w:rsidR="00F96736" w:rsidRPr="00951D33" w:rsidRDefault="00F96736" w:rsidP="00F96736">
      <w:pPr>
        <w:pStyle w:val="HighlightboxGreyBulletpoints"/>
        <w:numPr>
          <w:ilvl w:val="0"/>
          <w:numId w:val="3"/>
        </w:numPr>
      </w:pPr>
      <w:r w:rsidRPr="00951D33">
        <w:t>Corporate Governance Owner</w:t>
      </w:r>
    </w:p>
    <w:p w14:paraId="45F1A657" w14:textId="77777777" w:rsidR="00F96736" w:rsidRPr="00D02251" w:rsidRDefault="008643CF" w:rsidP="00F96736">
      <w:pPr>
        <w:ind w:firstLine="360"/>
      </w:pPr>
      <w:hyperlink r:id="rId31" w:history="1">
        <w:r w:rsidR="00F96736" w:rsidRPr="00D52D40">
          <w:rPr>
            <w:rStyle w:val="Hyperlink"/>
          </w:rPr>
          <w:t>Yvonne Hamm-Düppe</w:t>
        </w:r>
      </w:hyperlink>
      <w:r w:rsidR="00F96736" w:rsidRPr="00893FBA">
        <w:t xml:space="preserve"> (LC CO </w:t>
      </w:r>
      <w:r w:rsidR="00F96736" w:rsidRPr="000C06E5">
        <w:t>RFC LF</w:t>
      </w:r>
      <w:r w:rsidR="00F96736">
        <w:t>)</w:t>
      </w:r>
    </w:p>
    <w:p w14:paraId="1F5C3719" w14:textId="62872AD9" w:rsidR="00AE23EA" w:rsidRPr="005B69B1" w:rsidRDefault="00AE23EA" w:rsidP="00F96736">
      <w:pPr>
        <w:pStyle w:val="berschrift2"/>
      </w:pPr>
    </w:p>
    <w:sectPr w:rsidR="00AE23EA" w:rsidRPr="005B69B1">
      <w:headerReference w:type="even" r:id="rId32"/>
      <w:headerReference w:type="default" r:id="rId33"/>
      <w:footerReference w:type="even" r:id="rId34"/>
      <w:footerReference w:type="default" r:id="rId35"/>
      <w:headerReference w:type="first" r:id="rId36"/>
      <w:footerReference w:type="first" r:id="rId37"/>
      <w:pgSz w:w="12240" w:h="15840" w:code="1"/>
      <w:pgMar w:top="1871" w:right="1021" w:bottom="1474" w:left="1134" w:header="2"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D1E7CE" w14:textId="77777777" w:rsidR="00650A0A" w:rsidRDefault="00650A0A">
      <w:pPr>
        <w:spacing w:after="0" w:line="240" w:lineRule="auto"/>
      </w:pPr>
      <w:r>
        <w:separator/>
      </w:r>
    </w:p>
  </w:endnote>
  <w:endnote w:type="continuationSeparator" w:id="0">
    <w:p w14:paraId="79BE230A" w14:textId="77777777" w:rsidR="00650A0A" w:rsidRDefault="00650A0A">
      <w:pPr>
        <w:spacing w:after="0" w:line="240" w:lineRule="auto"/>
      </w:pPr>
      <w:r>
        <w:continuationSeparator/>
      </w:r>
    </w:p>
  </w:endnote>
  <w:endnote w:type="continuationNotice" w:id="1">
    <w:p w14:paraId="2C1185B8" w14:textId="77777777" w:rsidR="00452C44" w:rsidRDefault="00452C4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inionPro-Regular">
    <w:altName w:val="Calibri"/>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E3BD61" w14:textId="77777777" w:rsidR="001068A3" w:rsidRDefault="001068A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3DE0BD" w14:textId="77777777" w:rsidR="00650A0A" w:rsidRDefault="00650A0A">
    <w:pPr>
      <w:pStyle w:val="Fuzeile"/>
    </w:pPr>
    <w:r>
      <w:t>Restricted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EBB8D4" w14:textId="77777777" w:rsidR="001068A3" w:rsidRDefault="001068A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F84430" w14:textId="77777777" w:rsidR="00650A0A" w:rsidRDefault="00650A0A">
      <w:pPr>
        <w:spacing w:after="0" w:line="240" w:lineRule="auto"/>
      </w:pPr>
      <w:r>
        <w:separator/>
      </w:r>
    </w:p>
  </w:footnote>
  <w:footnote w:type="continuationSeparator" w:id="0">
    <w:p w14:paraId="1C238682" w14:textId="77777777" w:rsidR="00650A0A" w:rsidRDefault="00650A0A">
      <w:pPr>
        <w:spacing w:after="0" w:line="240" w:lineRule="auto"/>
      </w:pPr>
      <w:r>
        <w:continuationSeparator/>
      </w:r>
    </w:p>
  </w:footnote>
  <w:footnote w:type="continuationNotice" w:id="1">
    <w:p w14:paraId="69EF9495" w14:textId="77777777" w:rsidR="00452C44" w:rsidRDefault="00452C4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A9B142" w14:textId="77777777" w:rsidR="001068A3" w:rsidRDefault="001068A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Head"/>
      <w:tblW w:w="12569" w:type="dxa"/>
      <w:tblInd w:w="-1134" w:type="dxa"/>
      <w:tblCellMar>
        <w:top w:w="0" w:type="dxa"/>
        <w:bottom w:w="0" w:type="dxa"/>
      </w:tblCellMar>
      <w:tblLook w:val="04A0" w:firstRow="1" w:lastRow="0" w:firstColumn="1" w:lastColumn="0" w:noHBand="0" w:noVBand="1"/>
    </w:tblPr>
    <w:tblGrid>
      <w:gridCol w:w="1020"/>
      <w:gridCol w:w="624"/>
      <w:gridCol w:w="9752"/>
      <w:gridCol w:w="1173"/>
    </w:tblGrid>
    <w:tr w:rsidR="00650A0A" w14:paraId="7C3DE0B6" w14:textId="77777777" w:rsidTr="00C778A5">
      <w:trPr>
        <w:cnfStyle w:val="100000000000" w:firstRow="1" w:lastRow="0" w:firstColumn="0" w:lastColumn="0" w:oddVBand="0" w:evenVBand="0" w:oddHBand="0" w:evenHBand="0" w:firstRowFirstColumn="0" w:firstRowLastColumn="0" w:lastRowFirstColumn="0" w:lastRowLastColumn="0"/>
        <w:trHeight w:hRule="exact" w:val="567"/>
      </w:trPr>
      <w:tc>
        <w:tcPr>
          <w:tcW w:w="1020" w:type="dxa"/>
        </w:tcPr>
        <w:p w14:paraId="7C3DE0B2" w14:textId="77777777" w:rsidR="00650A0A" w:rsidRDefault="00650A0A">
          <w:pPr>
            <w:pStyle w:val="Kopfzeile"/>
            <w:ind w:left="-426"/>
          </w:pPr>
          <w:r>
            <w:t>z</w:t>
          </w:r>
        </w:p>
      </w:tc>
      <w:tc>
        <w:tcPr>
          <w:tcW w:w="624" w:type="dxa"/>
        </w:tcPr>
        <w:p w14:paraId="7C3DE0B3" w14:textId="77777777" w:rsidR="00650A0A" w:rsidRDefault="00650A0A">
          <w:pPr>
            <w:pStyle w:val="Kopfzeile"/>
            <w:ind w:left="-641"/>
          </w:pPr>
        </w:p>
      </w:tc>
      <w:tc>
        <w:tcPr>
          <w:tcW w:w="9752" w:type="dxa"/>
        </w:tcPr>
        <w:p w14:paraId="7C3DE0B4" w14:textId="77777777" w:rsidR="00650A0A" w:rsidRDefault="00650A0A">
          <w:pPr>
            <w:pStyle w:val="Kopfzeile"/>
          </w:pPr>
        </w:p>
      </w:tc>
      <w:tc>
        <w:tcPr>
          <w:tcW w:w="1173" w:type="dxa"/>
        </w:tcPr>
        <w:p w14:paraId="7C3DE0B5" w14:textId="77777777" w:rsidR="00650A0A" w:rsidRDefault="00650A0A">
          <w:pPr>
            <w:pStyle w:val="Kopfzeile"/>
          </w:pPr>
        </w:p>
      </w:tc>
    </w:tr>
    <w:tr w:rsidR="00650A0A" w14:paraId="7C3DE0BB" w14:textId="77777777" w:rsidTr="00C778A5">
      <w:trPr>
        <w:cantSplit/>
        <w:trHeight w:hRule="exact" w:val="575"/>
      </w:trPr>
      <w:tc>
        <w:tcPr>
          <w:tcW w:w="1020" w:type="dxa"/>
        </w:tcPr>
        <w:p w14:paraId="7C3DE0B7" w14:textId="77777777" w:rsidR="00650A0A" w:rsidRDefault="00650A0A">
          <w:pPr>
            <w:pStyle w:val="Fuzeile"/>
          </w:pPr>
        </w:p>
      </w:tc>
      <w:tc>
        <w:tcPr>
          <w:tcW w:w="624" w:type="dxa"/>
          <w:vAlign w:val="bottom"/>
        </w:tcPr>
        <w:p w14:paraId="7C3DE0B8" w14:textId="77777777" w:rsidR="00650A0A" w:rsidRDefault="00650A0A">
          <w:pPr>
            <w:pStyle w:val="Fuzeile"/>
            <w:jc w:val="center"/>
          </w:pPr>
          <w:r>
            <w:rPr>
              <w:noProof/>
              <w:lang w:val="de-DE" w:eastAsia="de-DE"/>
            </w:rPr>
            <w:drawing>
              <wp:inline distT="0" distB="0" distL="0" distR="0" wp14:anchorId="7C3DE0BE" wp14:editId="7C3DE0BF">
                <wp:extent cx="346710" cy="305061"/>
                <wp:effectExtent l="19050" t="0" r="0" b="0"/>
                <wp:docPr id="5" name="Bild 2" descr="C:\Users\TONSC00A\AppData\Local\Microsoft\Windows\Temporary Internet Files\Content.Word\Icon_Legal_Handbook_Schriftrol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NSC00A\AppData\Local\Microsoft\Windows\Temporary Internet Files\Content.Word\Icon_Legal_Handbook_Schriftrolle.png"/>
                        <pic:cNvPicPr>
                          <a:picLocks noChangeAspect="1" noChangeArrowheads="1"/>
                        </pic:cNvPicPr>
                      </pic:nvPicPr>
                      <pic:blipFill>
                        <a:blip r:embed="rId1"/>
                        <a:srcRect/>
                        <a:stretch>
                          <a:fillRect/>
                        </a:stretch>
                      </pic:blipFill>
                      <pic:spPr bwMode="auto">
                        <a:xfrm>
                          <a:off x="0" y="0"/>
                          <a:ext cx="347763" cy="305987"/>
                        </a:xfrm>
                        <a:prstGeom prst="rect">
                          <a:avLst/>
                        </a:prstGeom>
                        <a:noFill/>
                        <a:ln w="9525">
                          <a:noFill/>
                          <a:miter lim="800000"/>
                          <a:headEnd/>
                          <a:tailEnd/>
                        </a:ln>
                      </pic:spPr>
                    </pic:pic>
                  </a:graphicData>
                </a:graphic>
              </wp:inline>
            </w:drawing>
          </w:r>
        </w:p>
      </w:tc>
      <w:tc>
        <w:tcPr>
          <w:tcW w:w="9752" w:type="dxa"/>
        </w:tcPr>
        <w:p w14:paraId="7C3DE0B9" w14:textId="66740B8B" w:rsidR="00650A0A" w:rsidRDefault="00650A0A">
          <w:pPr>
            <w:pStyle w:val="Header"/>
          </w:pPr>
          <w:r>
            <w:t xml:space="preserve">Compliance Handbook | Part 2 | </w:t>
          </w:r>
          <w:r w:rsidR="001068A3">
            <w:t>H. Compliance in Business Processes and Projects 8. Compliance Due Diligences and Approvals</w:t>
          </w:r>
        </w:p>
      </w:tc>
      <w:tc>
        <w:tcPr>
          <w:tcW w:w="1173" w:type="dxa"/>
        </w:tcPr>
        <w:p w14:paraId="7C3DE0BA" w14:textId="77777777" w:rsidR="00650A0A" w:rsidRDefault="00650A0A">
          <w:pPr>
            <w:pStyle w:val="Header"/>
          </w:pPr>
        </w:p>
      </w:tc>
    </w:tr>
  </w:tbl>
  <w:p w14:paraId="7C3DE0BC" w14:textId="77777777" w:rsidR="00650A0A" w:rsidRDefault="00650A0A">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A33FBF" w14:textId="77777777" w:rsidR="001068A3" w:rsidRDefault="001068A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4724B"/>
    <w:multiLevelType w:val="hybridMultilevel"/>
    <w:tmpl w:val="C944C974"/>
    <w:lvl w:ilvl="0" w:tplc="9B8CD03E">
      <w:start w:val="1"/>
      <w:numFmt w:val="bullet"/>
      <w:lvlText w:val=""/>
      <w:lvlJc w:val="left"/>
      <w:pPr>
        <w:ind w:left="1080" w:hanging="360"/>
      </w:pPr>
      <w:rPr>
        <w:rFonts w:ascii="Symbol" w:hAnsi="Symbol" w:hint="default"/>
        <w:color w:val="BECDD7" w:themeColor="background2"/>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0F56155B"/>
    <w:multiLevelType w:val="hybridMultilevel"/>
    <w:tmpl w:val="060AFF3A"/>
    <w:lvl w:ilvl="0" w:tplc="6EF05930">
      <w:start w:val="1"/>
      <w:numFmt w:val="lowerLetter"/>
      <w:pStyle w:val="eManualAufzhlunga"/>
      <w:lvlText w:val="%1)"/>
      <w:lvlJc w:val="left"/>
      <w:pPr>
        <w:tabs>
          <w:tab w:val="num" w:pos="1004"/>
        </w:tabs>
        <w:ind w:left="1004" w:hanging="436"/>
      </w:pPr>
      <w:rPr>
        <w:rFonts w:hint="default"/>
      </w:rPr>
    </w:lvl>
    <w:lvl w:ilvl="1" w:tplc="04070003" w:tentative="1">
      <w:start w:val="1"/>
      <w:numFmt w:val="lowerLetter"/>
      <w:lvlText w:val="%2."/>
      <w:lvlJc w:val="left"/>
      <w:pPr>
        <w:tabs>
          <w:tab w:val="num" w:pos="1724"/>
        </w:tabs>
        <w:ind w:left="1724" w:hanging="360"/>
      </w:pPr>
    </w:lvl>
    <w:lvl w:ilvl="2" w:tplc="04070005" w:tentative="1">
      <w:start w:val="1"/>
      <w:numFmt w:val="lowerRoman"/>
      <w:lvlText w:val="%3."/>
      <w:lvlJc w:val="right"/>
      <w:pPr>
        <w:tabs>
          <w:tab w:val="num" w:pos="2444"/>
        </w:tabs>
        <w:ind w:left="2444" w:hanging="180"/>
      </w:pPr>
    </w:lvl>
    <w:lvl w:ilvl="3" w:tplc="04070001" w:tentative="1">
      <w:start w:val="1"/>
      <w:numFmt w:val="decimal"/>
      <w:lvlText w:val="%4."/>
      <w:lvlJc w:val="left"/>
      <w:pPr>
        <w:tabs>
          <w:tab w:val="num" w:pos="3164"/>
        </w:tabs>
        <w:ind w:left="3164" w:hanging="360"/>
      </w:pPr>
    </w:lvl>
    <w:lvl w:ilvl="4" w:tplc="04070003" w:tentative="1">
      <w:start w:val="1"/>
      <w:numFmt w:val="lowerLetter"/>
      <w:lvlText w:val="%5."/>
      <w:lvlJc w:val="left"/>
      <w:pPr>
        <w:tabs>
          <w:tab w:val="num" w:pos="3884"/>
        </w:tabs>
        <w:ind w:left="3884" w:hanging="360"/>
      </w:pPr>
    </w:lvl>
    <w:lvl w:ilvl="5" w:tplc="04070005" w:tentative="1">
      <w:start w:val="1"/>
      <w:numFmt w:val="lowerRoman"/>
      <w:lvlText w:val="%6."/>
      <w:lvlJc w:val="right"/>
      <w:pPr>
        <w:tabs>
          <w:tab w:val="num" w:pos="4604"/>
        </w:tabs>
        <w:ind w:left="4604" w:hanging="180"/>
      </w:pPr>
    </w:lvl>
    <w:lvl w:ilvl="6" w:tplc="04070001" w:tentative="1">
      <w:start w:val="1"/>
      <w:numFmt w:val="decimal"/>
      <w:lvlText w:val="%7."/>
      <w:lvlJc w:val="left"/>
      <w:pPr>
        <w:tabs>
          <w:tab w:val="num" w:pos="5324"/>
        </w:tabs>
        <w:ind w:left="5324" w:hanging="360"/>
      </w:pPr>
    </w:lvl>
    <w:lvl w:ilvl="7" w:tplc="04070003" w:tentative="1">
      <w:start w:val="1"/>
      <w:numFmt w:val="lowerLetter"/>
      <w:lvlText w:val="%8."/>
      <w:lvlJc w:val="left"/>
      <w:pPr>
        <w:tabs>
          <w:tab w:val="num" w:pos="6044"/>
        </w:tabs>
        <w:ind w:left="6044" w:hanging="360"/>
      </w:pPr>
    </w:lvl>
    <w:lvl w:ilvl="8" w:tplc="04070005" w:tentative="1">
      <w:start w:val="1"/>
      <w:numFmt w:val="lowerRoman"/>
      <w:lvlText w:val="%9."/>
      <w:lvlJc w:val="right"/>
      <w:pPr>
        <w:tabs>
          <w:tab w:val="num" w:pos="6764"/>
        </w:tabs>
        <w:ind w:left="6764" w:hanging="180"/>
      </w:pPr>
    </w:lvl>
  </w:abstractNum>
  <w:abstractNum w:abstractNumId="2" w15:restartNumberingAfterBreak="0">
    <w:nsid w:val="11F04B90"/>
    <w:multiLevelType w:val="multilevel"/>
    <w:tmpl w:val="D5C8EBA6"/>
    <w:lvl w:ilvl="0">
      <w:start w:val="1"/>
      <w:numFmt w:val="decimal"/>
      <w:pStyle w:val="Numbers"/>
      <w:lvlText w:val="%1."/>
      <w:lvlJc w:val="left"/>
      <w:pPr>
        <w:ind w:left="720" w:hanging="360"/>
      </w:pPr>
    </w:lvl>
    <w:lvl w:ilvl="1">
      <w:start w:val="4"/>
      <w:numFmt w:val="decimal"/>
      <w:isLgl/>
      <w:lvlText w:val="%1.%2"/>
      <w:lvlJc w:val="left"/>
      <w:pPr>
        <w:ind w:left="1350" w:hanging="990"/>
      </w:pPr>
      <w:rPr>
        <w:rFonts w:hint="default"/>
      </w:rPr>
    </w:lvl>
    <w:lvl w:ilvl="2">
      <w:start w:val="1"/>
      <w:numFmt w:val="decimal"/>
      <w:isLgl/>
      <w:lvlText w:val="%1.%2.%3"/>
      <w:lvlJc w:val="left"/>
      <w:pPr>
        <w:ind w:left="1350" w:hanging="990"/>
      </w:pPr>
      <w:rPr>
        <w:rFonts w:hint="default"/>
      </w:rPr>
    </w:lvl>
    <w:lvl w:ilvl="3">
      <w:start w:val="2"/>
      <w:numFmt w:val="decimal"/>
      <w:isLgl/>
      <w:lvlText w:val="%1.%2.%3.%4"/>
      <w:lvlJc w:val="left"/>
      <w:pPr>
        <w:ind w:left="1350" w:hanging="990"/>
      </w:pPr>
      <w:rPr>
        <w:rFonts w:hint="default"/>
      </w:rPr>
    </w:lvl>
    <w:lvl w:ilvl="4">
      <w:start w:val="2"/>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6D7590B"/>
    <w:multiLevelType w:val="hybridMultilevel"/>
    <w:tmpl w:val="DC427490"/>
    <w:lvl w:ilvl="0" w:tplc="AA366A64">
      <w:numFmt w:val="bullet"/>
      <w:lvlText w:val="•"/>
      <w:lvlJc w:val="left"/>
      <w:pPr>
        <w:ind w:left="1080" w:hanging="72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7857F67"/>
    <w:multiLevelType w:val="hybridMultilevel"/>
    <w:tmpl w:val="5824EF12"/>
    <w:lvl w:ilvl="0" w:tplc="9B8CD03E">
      <w:start w:val="1"/>
      <w:numFmt w:val="bullet"/>
      <w:pStyle w:val="CopyBulletpoints"/>
      <w:lvlText w:val=""/>
      <w:lvlJc w:val="left"/>
      <w:pPr>
        <w:ind w:left="360" w:hanging="360"/>
      </w:pPr>
      <w:rPr>
        <w:rFonts w:ascii="Symbol" w:hAnsi="Symbol" w:hint="default"/>
        <w:color w:val="BECDD7" w:themeColor="background2"/>
      </w:rPr>
    </w:lvl>
    <w:lvl w:ilvl="1" w:tplc="931403F6">
      <w:start w:val="1"/>
      <w:numFmt w:val="bullet"/>
      <w:lvlText w:val="o"/>
      <w:lvlJc w:val="left"/>
      <w:pPr>
        <w:ind w:left="1440" w:hanging="360"/>
      </w:pPr>
      <w:rPr>
        <w:rFonts w:ascii="Courier New" w:hAnsi="Courier New" w:cs="Courier New" w:hint="default"/>
      </w:rPr>
    </w:lvl>
    <w:lvl w:ilvl="2" w:tplc="3CB40F0A" w:tentative="1">
      <w:start w:val="1"/>
      <w:numFmt w:val="bullet"/>
      <w:lvlText w:val=""/>
      <w:lvlJc w:val="left"/>
      <w:pPr>
        <w:ind w:left="2160" w:hanging="360"/>
      </w:pPr>
      <w:rPr>
        <w:rFonts w:ascii="Wingdings" w:hAnsi="Wingdings" w:hint="default"/>
      </w:rPr>
    </w:lvl>
    <w:lvl w:ilvl="3" w:tplc="2E7EFE6C" w:tentative="1">
      <w:start w:val="1"/>
      <w:numFmt w:val="bullet"/>
      <w:lvlText w:val=""/>
      <w:lvlJc w:val="left"/>
      <w:pPr>
        <w:ind w:left="2880" w:hanging="360"/>
      </w:pPr>
      <w:rPr>
        <w:rFonts w:ascii="Symbol" w:hAnsi="Symbol" w:hint="default"/>
      </w:rPr>
    </w:lvl>
    <w:lvl w:ilvl="4" w:tplc="0854DFA6" w:tentative="1">
      <w:start w:val="1"/>
      <w:numFmt w:val="bullet"/>
      <w:lvlText w:val="o"/>
      <w:lvlJc w:val="left"/>
      <w:pPr>
        <w:ind w:left="3600" w:hanging="360"/>
      </w:pPr>
      <w:rPr>
        <w:rFonts w:ascii="Courier New" w:hAnsi="Courier New" w:cs="Courier New" w:hint="default"/>
      </w:rPr>
    </w:lvl>
    <w:lvl w:ilvl="5" w:tplc="95E61DAE" w:tentative="1">
      <w:start w:val="1"/>
      <w:numFmt w:val="bullet"/>
      <w:lvlText w:val=""/>
      <w:lvlJc w:val="left"/>
      <w:pPr>
        <w:ind w:left="4320" w:hanging="360"/>
      </w:pPr>
      <w:rPr>
        <w:rFonts w:ascii="Wingdings" w:hAnsi="Wingdings" w:hint="default"/>
      </w:rPr>
    </w:lvl>
    <w:lvl w:ilvl="6" w:tplc="09F67890" w:tentative="1">
      <w:start w:val="1"/>
      <w:numFmt w:val="bullet"/>
      <w:lvlText w:val=""/>
      <w:lvlJc w:val="left"/>
      <w:pPr>
        <w:ind w:left="5040" w:hanging="360"/>
      </w:pPr>
      <w:rPr>
        <w:rFonts w:ascii="Symbol" w:hAnsi="Symbol" w:hint="default"/>
      </w:rPr>
    </w:lvl>
    <w:lvl w:ilvl="7" w:tplc="9C0ABC14" w:tentative="1">
      <w:start w:val="1"/>
      <w:numFmt w:val="bullet"/>
      <w:lvlText w:val="o"/>
      <w:lvlJc w:val="left"/>
      <w:pPr>
        <w:ind w:left="5760" w:hanging="360"/>
      </w:pPr>
      <w:rPr>
        <w:rFonts w:ascii="Courier New" w:hAnsi="Courier New" w:cs="Courier New" w:hint="default"/>
      </w:rPr>
    </w:lvl>
    <w:lvl w:ilvl="8" w:tplc="F5822C54" w:tentative="1">
      <w:start w:val="1"/>
      <w:numFmt w:val="bullet"/>
      <w:lvlText w:val=""/>
      <w:lvlJc w:val="left"/>
      <w:pPr>
        <w:ind w:left="6480" w:hanging="360"/>
      </w:pPr>
      <w:rPr>
        <w:rFonts w:ascii="Wingdings" w:hAnsi="Wingdings" w:hint="default"/>
      </w:rPr>
    </w:lvl>
  </w:abstractNum>
  <w:abstractNum w:abstractNumId="5" w15:restartNumberingAfterBreak="0">
    <w:nsid w:val="25CA62E5"/>
    <w:multiLevelType w:val="hybridMultilevel"/>
    <w:tmpl w:val="5A34F936"/>
    <w:lvl w:ilvl="0" w:tplc="9B8CD03E">
      <w:start w:val="1"/>
      <w:numFmt w:val="bullet"/>
      <w:lvlText w:val=""/>
      <w:lvlJc w:val="left"/>
      <w:pPr>
        <w:tabs>
          <w:tab w:val="num" w:pos="720"/>
        </w:tabs>
        <w:ind w:left="720" w:hanging="360"/>
      </w:pPr>
      <w:rPr>
        <w:rFonts w:ascii="Symbol" w:hAnsi="Symbol" w:hint="default"/>
        <w:color w:val="BECDD7" w:themeColor="background2"/>
      </w:rPr>
    </w:lvl>
    <w:lvl w:ilvl="1" w:tplc="0ABAD93C">
      <w:start w:val="1"/>
      <w:numFmt w:val="bullet"/>
      <w:lvlText w:val=""/>
      <w:lvlJc w:val="left"/>
      <w:pPr>
        <w:tabs>
          <w:tab w:val="num" w:pos="1440"/>
        </w:tabs>
        <w:ind w:left="1440" w:hanging="360"/>
      </w:pPr>
      <w:rPr>
        <w:rFonts w:ascii="Wingdings" w:hAnsi="Wingdings" w:hint="default"/>
      </w:rPr>
    </w:lvl>
    <w:lvl w:ilvl="2" w:tplc="9B8CD03E">
      <w:start w:val="1"/>
      <w:numFmt w:val="bullet"/>
      <w:lvlText w:val=""/>
      <w:lvlJc w:val="left"/>
      <w:pPr>
        <w:tabs>
          <w:tab w:val="num" w:pos="2160"/>
        </w:tabs>
        <w:ind w:left="2160" w:hanging="360"/>
      </w:pPr>
      <w:rPr>
        <w:rFonts w:ascii="Symbol" w:hAnsi="Symbol" w:hint="default"/>
        <w:color w:val="BECDD7" w:themeColor="background2"/>
      </w:rPr>
    </w:lvl>
    <w:lvl w:ilvl="3" w:tplc="CFDCD35A" w:tentative="1">
      <w:start w:val="1"/>
      <w:numFmt w:val="bullet"/>
      <w:lvlText w:val=""/>
      <w:lvlJc w:val="left"/>
      <w:pPr>
        <w:tabs>
          <w:tab w:val="num" w:pos="2880"/>
        </w:tabs>
        <w:ind w:left="2880" w:hanging="360"/>
      </w:pPr>
      <w:rPr>
        <w:rFonts w:ascii="Wingdings" w:hAnsi="Wingdings" w:hint="default"/>
      </w:rPr>
    </w:lvl>
    <w:lvl w:ilvl="4" w:tplc="CF22BFAC" w:tentative="1">
      <w:start w:val="1"/>
      <w:numFmt w:val="bullet"/>
      <w:lvlText w:val=""/>
      <w:lvlJc w:val="left"/>
      <w:pPr>
        <w:tabs>
          <w:tab w:val="num" w:pos="3600"/>
        </w:tabs>
        <w:ind w:left="3600" w:hanging="360"/>
      </w:pPr>
      <w:rPr>
        <w:rFonts w:ascii="Wingdings" w:hAnsi="Wingdings" w:hint="default"/>
      </w:rPr>
    </w:lvl>
    <w:lvl w:ilvl="5" w:tplc="C8422FE4" w:tentative="1">
      <w:start w:val="1"/>
      <w:numFmt w:val="bullet"/>
      <w:lvlText w:val=""/>
      <w:lvlJc w:val="left"/>
      <w:pPr>
        <w:tabs>
          <w:tab w:val="num" w:pos="4320"/>
        </w:tabs>
        <w:ind w:left="4320" w:hanging="360"/>
      </w:pPr>
      <w:rPr>
        <w:rFonts w:ascii="Wingdings" w:hAnsi="Wingdings" w:hint="default"/>
      </w:rPr>
    </w:lvl>
    <w:lvl w:ilvl="6" w:tplc="B79C71AE" w:tentative="1">
      <w:start w:val="1"/>
      <w:numFmt w:val="bullet"/>
      <w:lvlText w:val=""/>
      <w:lvlJc w:val="left"/>
      <w:pPr>
        <w:tabs>
          <w:tab w:val="num" w:pos="5040"/>
        </w:tabs>
        <w:ind w:left="5040" w:hanging="360"/>
      </w:pPr>
      <w:rPr>
        <w:rFonts w:ascii="Wingdings" w:hAnsi="Wingdings" w:hint="default"/>
      </w:rPr>
    </w:lvl>
    <w:lvl w:ilvl="7" w:tplc="7F321A5C" w:tentative="1">
      <w:start w:val="1"/>
      <w:numFmt w:val="bullet"/>
      <w:lvlText w:val=""/>
      <w:lvlJc w:val="left"/>
      <w:pPr>
        <w:tabs>
          <w:tab w:val="num" w:pos="5760"/>
        </w:tabs>
        <w:ind w:left="5760" w:hanging="360"/>
      </w:pPr>
      <w:rPr>
        <w:rFonts w:ascii="Wingdings" w:hAnsi="Wingdings" w:hint="default"/>
      </w:rPr>
    </w:lvl>
    <w:lvl w:ilvl="8" w:tplc="C586321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D345E11"/>
    <w:multiLevelType w:val="hybridMultilevel"/>
    <w:tmpl w:val="07E8AF30"/>
    <w:lvl w:ilvl="0" w:tplc="9B8CD03E">
      <w:start w:val="1"/>
      <w:numFmt w:val="bullet"/>
      <w:lvlText w:val=""/>
      <w:lvlJc w:val="left"/>
      <w:pPr>
        <w:ind w:left="720" w:hanging="360"/>
      </w:pPr>
      <w:rPr>
        <w:rFonts w:ascii="Symbol" w:hAnsi="Symbol" w:hint="default"/>
        <w:color w:val="BECDD7" w:themeColor="background2"/>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75D33C9"/>
    <w:multiLevelType w:val="hybridMultilevel"/>
    <w:tmpl w:val="C6949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E806C1"/>
    <w:multiLevelType w:val="hybridMultilevel"/>
    <w:tmpl w:val="A78C1F44"/>
    <w:lvl w:ilvl="0" w:tplc="04090003">
      <w:start w:val="1"/>
      <w:numFmt w:val="bullet"/>
      <w:lvlText w:val="o"/>
      <w:lvlJc w:val="left"/>
      <w:pPr>
        <w:ind w:left="360" w:hanging="360"/>
      </w:pPr>
      <w:rPr>
        <w:rFonts w:ascii="Courier New" w:hAnsi="Courier New" w:cs="Courier New" w:hint="default"/>
      </w:rPr>
    </w:lvl>
    <w:lvl w:ilvl="1" w:tplc="04070019">
      <w:start w:val="1"/>
      <w:numFmt w:val="bullet"/>
      <w:lvlText w:val="o"/>
      <w:lvlJc w:val="left"/>
      <w:pPr>
        <w:ind w:left="1080" w:hanging="360"/>
      </w:pPr>
      <w:rPr>
        <w:rFonts w:ascii="Courier New" w:hAnsi="Courier New" w:cs="Courier New" w:hint="default"/>
      </w:rPr>
    </w:lvl>
    <w:lvl w:ilvl="2" w:tplc="0407001B">
      <w:start w:val="1"/>
      <w:numFmt w:val="bullet"/>
      <w:lvlText w:val=""/>
      <w:lvlJc w:val="left"/>
      <w:pPr>
        <w:ind w:left="1800" w:hanging="360"/>
      </w:pPr>
      <w:rPr>
        <w:rFonts w:ascii="Wingdings" w:hAnsi="Wingdings" w:hint="default"/>
      </w:rPr>
    </w:lvl>
    <w:lvl w:ilvl="3" w:tplc="0407000F" w:tentative="1">
      <w:start w:val="1"/>
      <w:numFmt w:val="bullet"/>
      <w:lvlText w:val=""/>
      <w:lvlJc w:val="left"/>
      <w:pPr>
        <w:ind w:left="2520" w:hanging="360"/>
      </w:pPr>
      <w:rPr>
        <w:rFonts w:ascii="Symbol" w:hAnsi="Symbol" w:hint="default"/>
      </w:rPr>
    </w:lvl>
    <w:lvl w:ilvl="4" w:tplc="04070019" w:tentative="1">
      <w:start w:val="1"/>
      <w:numFmt w:val="bullet"/>
      <w:lvlText w:val="o"/>
      <w:lvlJc w:val="left"/>
      <w:pPr>
        <w:ind w:left="3240" w:hanging="360"/>
      </w:pPr>
      <w:rPr>
        <w:rFonts w:ascii="Courier New" w:hAnsi="Courier New" w:cs="Courier New" w:hint="default"/>
      </w:rPr>
    </w:lvl>
    <w:lvl w:ilvl="5" w:tplc="0407001B" w:tentative="1">
      <w:start w:val="1"/>
      <w:numFmt w:val="bullet"/>
      <w:lvlText w:val=""/>
      <w:lvlJc w:val="left"/>
      <w:pPr>
        <w:ind w:left="3960" w:hanging="360"/>
      </w:pPr>
      <w:rPr>
        <w:rFonts w:ascii="Wingdings" w:hAnsi="Wingdings" w:hint="default"/>
      </w:rPr>
    </w:lvl>
    <w:lvl w:ilvl="6" w:tplc="0407000F" w:tentative="1">
      <w:start w:val="1"/>
      <w:numFmt w:val="bullet"/>
      <w:lvlText w:val=""/>
      <w:lvlJc w:val="left"/>
      <w:pPr>
        <w:ind w:left="4680" w:hanging="360"/>
      </w:pPr>
      <w:rPr>
        <w:rFonts w:ascii="Symbol" w:hAnsi="Symbol" w:hint="default"/>
      </w:rPr>
    </w:lvl>
    <w:lvl w:ilvl="7" w:tplc="04070019" w:tentative="1">
      <w:start w:val="1"/>
      <w:numFmt w:val="bullet"/>
      <w:lvlText w:val="o"/>
      <w:lvlJc w:val="left"/>
      <w:pPr>
        <w:ind w:left="5400" w:hanging="360"/>
      </w:pPr>
      <w:rPr>
        <w:rFonts w:ascii="Courier New" w:hAnsi="Courier New" w:cs="Courier New" w:hint="default"/>
      </w:rPr>
    </w:lvl>
    <w:lvl w:ilvl="8" w:tplc="0407001B" w:tentative="1">
      <w:start w:val="1"/>
      <w:numFmt w:val="bullet"/>
      <w:lvlText w:val=""/>
      <w:lvlJc w:val="left"/>
      <w:pPr>
        <w:ind w:left="6120" w:hanging="360"/>
      </w:pPr>
      <w:rPr>
        <w:rFonts w:ascii="Wingdings" w:hAnsi="Wingdings" w:hint="default"/>
      </w:rPr>
    </w:lvl>
  </w:abstractNum>
  <w:abstractNum w:abstractNumId="9" w15:restartNumberingAfterBreak="0">
    <w:nsid w:val="3BF975D5"/>
    <w:multiLevelType w:val="hybridMultilevel"/>
    <w:tmpl w:val="62A4C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A001CF"/>
    <w:multiLevelType w:val="hybridMultilevel"/>
    <w:tmpl w:val="3E14EF9A"/>
    <w:lvl w:ilvl="0" w:tplc="A406EF52">
      <w:start w:val="1"/>
      <w:numFmt w:val="upperLetter"/>
      <w:pStyle w:val="berschrift1"/>
      <w:lvlText w:val="%1."/>
      <w:lvlJc w:val="left"/>
      <w:pPr>
        <w:ind w:left="360"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BDAE6A88" w:tentative="1">
      <w:start w:val="1"/>
      <w:numFmt w:val="lowerLetter"/>
      <w:lvlText w:val="%2."/>
      <w:lvlJc w:val="left"/>
      <w:pPr>
        <w:ind w:left="1440" w:hanging="360"/>
      </w:pPr>
    </w:lvl>
    <w:lvl w:ilvl="2" w:tplc="83AAA582" w:tentative="1">
      <w:start w:val="1"/>
      <w:numFmt w:val="lowerRoman"/>
      <w:lvlText w:val="%3."/>
      <w:lvlJc w:val="right"/>
      <w:pPr>
        <w:ind w:left="2160" w:hanging="180"/>
      </w:pPr>
    </w:lvl>
    <w:lvl w:ilvl="3" w:tplc="0E726AE8" w:tentative="1">
      <w:start w:val="1"/>
      <w:numFmt w:val="decimal"/>
      <w:lvlText w:val="%4."/>
      <w:lvlJc w:val="left"/>
      <w:pPr>
        <w:ind w:left="2880" w:hanging="360"/>
      </w:pPr>
    </w:lvl>
    <w:lvl w:ilvl="4" w:tplc="BDC4BAA0" w:tentative="1">
      <w:start w:val="1"/>
      <w:numFmt w:val="lowerLetter"/>
      <w:lvlText w:val="%5."/>
      <w:lvlJc w:val="left"/>
      <w:pPr>
        <w:ind w:left="3600" w:hanging="360"/>
      </w:pPr>
    </w:lvl>
    <w:lvl w:ilvl="5" w:tplc="1F28A842" w:tentative="1">
      <w:start w:val="1"/>
      <w:numFmt w:val="lowerRoman"/>
      <w:lvlText w:val="%6."/>
      <w:lvlJc w:val="right"/>
      <w:pPr>
        <w:ind w:left="4320" w:hanging="180"/>
      </w:pPr>
    </w:lvl>
    <w:lvl w:ilvl="6" w:tplc="5FCEF82A" w:tentative="1">
      <w:start w:val="1"/>
      <w:numFmt w:val="decimal"/>
      <w:lvlText w:val="%7."/>
      <w:lvlJc w:val="left"/>
      <w:pPr>
        <w:ind w:left="5040" w:hanging="360"/>
      </w:pPr>
    </w:lvl>
    <w:lvl w:ilvl="7" w:tplc="EE720D6C" w:tentative="1">
      <w:start w:val="1"/>
      <w:numFmt w:val="lowerLetter"/>
      <w:lvlText w:val="%8."/>
      <w:lvlJc w:val="left"/>
      <w:pPr>
        <w:ind w:left="5760" w:hanging="360"/>
      </w:pPr>
    </w:lvl>
    <w:lvl w:ilvl="8" w:tplc="4BA447DA" w:tentative="1">
      <w:start w:val="1"/>
      <w:numFmt w:val="lowerRoman"/>
      <w:lvlText w:val="%9."/>
      <w:lvlJc w:val="right"/>
      <w:pPr>
        <w:ind w:left="6480" w:hanging="180"/>
      </w:pPr>
    </w:lvl>
  </w:abstractNum>
  <w:abstractNum w:abstractNumId="11" w15:restartNumberingAfterBreak="0">
    <w:nsid w:val="46A56A69"/>
    <w:multiLevelType w:val="hybridMultilevel"/>
    <w:tmpl w:val="FD9A9506"/>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2" w15:restartNumberingAfterBreak="0">
    <w:nsid w:val="47B06CD1"/>
    <w:multiLevelType w:val="hybridMultilevel"/>
    <w:tmpl w:val="E8BE5AF6"/>
    <w:lvl w:ilvl="0" w:tplc="B4ACC7D6">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90058E"/>
    <w:multiLevelType w:val="multilevel"/>
    <w:tmpl w:val="B3B00628"/>
    <w:styleLink w:val="Formatvorlage1"/>
    <w:lvl w:ilvl="0">
      <w:start w:val="1"/>
      <w:numFmt w:val="decimal"/>
      <w:lvlText w:val="%1."/>
      <w:lvlJc w:val="left"/>
      <w:pPr>
        <w:ind w:left="360" w:hanging="360"/>
      </w:pPr>
    </w:lvl>
    <w:lvl w:ilvl="1">
      <w:start w:val="3"/>
      <w:numFmt w:val="decimal"/>
      <w:lvlText w:val="%2.1"/>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3F522F6"/>
    <w:multiLevelType w:val="hybridMultilevel"/>
    <w:tmpl w:val="DD5A6E00"/>
    <w:lvl w:ilvl="0" w:tplc="747E762A">
      <w:start w:val="1"/>
      <w:numFmt w:val="bullet"/>
      <w:lvlText w:val="→"/>
      <w:lvlJc w:val="left"/>
      <w:pPr>
        <w:tabs>
          <w:tab w:val="num" w:pos="720"/>
        </w:tabs>
        <w:ind w:left="720" w:hanging="360"/>
      </w:pPr>
      <w:rPr>
        <w:rFonts w:ascii="Arial" w:hAnsi="Arial" w:hint="default"/>
      </w:rPr>
    </w:lvl>
    <w:lvl w:ilvl="1" w:tplc="97481AD6" w:tentative="1">
      <w:start w:val="1"/>
      <w:numFmt w:val="bullet"/>
      <w:lvlText w:val="→"/>
      <w:lvlJc w:val="left"/>
      <w:pPr>
        <w:tabs>
          <w:tab w:val="num" w:pos="1440"/>
        </w:tabs>
        <w:ind w:left="1440" w:hanging="360"/>
      </w:pPr>
      <w:rPr>
        <w:rFonts w:ascii="Arial" w:hAnsi="Arial" w:hint="default"/>
      </w:rPr>
    </w:lvl>
    <w:lvl w:ilvl="2" w:tplc="F4002918" w:tentative="1">
      <w:start w:val="1"/>
      <w:numFmt w:val="bullet"/>
      <w:lvlText w:val="→"/>
      <w:lvlJc w:val="left"/>
      <w:pPr>
        <w:tabs>
          <w:tab w:val="num" w:pos="2160"/>
        </w:tabs>
        <w:ind w:left="2160" w:hanging="360"/>
      </w:pPr>
      <w:rPr>
        <w:rFonts w:ascii="Arial" w:hAnsi="Arial" w:hint="default"/>
      </w:rPr>
    </w:lvl>
    <w:lvl w:ilvl="3" w:tplc="DC380FD6" w:tentative="1">
      <w:start w:val="1"/>
      <w:numFmt w:val="bullet"/>
      <w:lvlText w:val="→"/>
      <w:lvlJc w:val="left"/>
      <w:pPr>
        <w:tabs>
          <w:tab w:val="num" w:pos="2880"/>
        </w:tabs>
        <w:ind w:left="2880" w:hanging="360"/>
      </w:pPr>
      <w:rPr>
        <w:rFonts w:ascii="Arial" w:hAnsi="Arial" w:hint="default"/>
      </w:rPr>
    </w:lvl>
    <w:lvl w:ilvl="4" w:tplc="FFE829DC" w:tentative="1">
      <w:start w:val="1"/>
      <w:numFmt w:val="bullet"/>
      <w:lvlText w:val="→"/>
      <w:lvlJc w:val="left"/>
      <w:pPr>
        <w:tabs>
          <w:tab w:val="num" w:pos="3600"/>
        </w:tabs>
        <w:ind w:left="3600" w:hanging="360"/>
      </w:pPr>
      <w:rPr>
        <w:rFonts w:ascii="Arial" w:hAnsi="Arial" w:hint="default"/>
      </w:rPr>
    </w:lvl>
    <w:lvl w:ilvl="5" w:tplc="45345DC4" w:tentative="1">
      <w:start w:val="1"/>
      <w:numFmt w:val="bullet"/>
      <w:lvlText w:val="→"/>
      <w:lvlJc w:val="left"/>
      <w:pPr>
        <w:tabs>
          <w:tab w:val="num" w:pos="4320"/>
        </w:tabs>
        <w:ind w:left="4320" w:hanging="360"/>
      </w:pPr>
      <w:rPr>
        <w:rFonts w:ascii="Arial" w:hAnsi="Arial" w:hint="default"/>
      </w:rPr>
    </w:lvl>
    <w:lvl w:ilvl="6" w:tplc="C520DF26" w:tentative="1">
      <w:start w:val="1"/>
      <w:numFmt w:val="bullet"/>
      <w:lvlText w:val="→"/>
      <w:lvlJc w:val="left"/>
      <w:pPr>
        <w:tabs>
          <w:tab w:val="num" w:pos="5040"/>
        </w:tabs>
        <w:ind w:left="5040" w:hanging="360"/>
      </w:pPr>
      <w:rPr>
        <w:rFonts w:ascii="Arial" w:hAnsi="Arial" w:hint="default"/>
      </w:rPr>
    </w:lvl>
    <w:lvl w:ilvl="7" w:tplc="501EED42" w:tentative="1">
      <w:start w:val="1"/>
      <w:numFmt w:val="bullet"/>
      <w:lvlText w:val="→"/>
      <w:lvlJc w:val="left"/>
      <w:pPr>
        <w:tabs>
          <w:tab w:val="num" w:pos="5760"/>
        </w:tabs>
        <w:ind w:left="5760" w:hanging="360"/>
      </w:pPr>
      <w:rPr>
        <w:rFonts w:ascii="Arial" w:hAnsi="Arial" w:hint="default"/>
      </w:rPr>
    </w:lvl>
    <w:lvl w:ilvl="8" w:tplc="A1667526"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C4B6253"/>
    <w:multiLevelType w:val="hybridMultilevel"/>
    <w:tmpl w:val="A69AE9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F3B1D3D"/>
    <w:multiLevelType w:val="hybridMultilevel"/>
    <w:tmpl w:val="CAAA6FB4"/>
    <w:lvl w:ilvl="0" w:tplc="04090003">
      <w:start w:val="1"/>
      <w:numFmt w:val="bullet"/>
      <w:lvlText w:val="o"/>
      <w:lvlJc w:val="left"/>
      <w:pPr>
        <w:ind w:left="1440" w:hanging="360"/>
      </w:pPr>
      <w:rPr>
        <w:rFonts w:ascii="Courier New" w:hAnsi="Courier New" w:cs="Courier New" w:hint="default"/>
        <w:color w:val="BECDD7" w:themeColor="background2"/>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7" w15:restartNumberingAfterBreak="0">
    <w:nsid w:val="63BE45F4"/>
    <w:multiLevelType w:val="hybridMultilevel"/>
    <w:tmpl w:val="D2243924"/>
    <w:lvl w:ilvl="0" w:tplc="8F2ADAE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4D0C5F"/>
    <w:multiLevelType w:val="hybridMultilevel"/>
    <w:tmpl w:val="369C8CF0"/>
    <w:lvl w:ilvl="0" w:tplc="1C36B646">
      <w:numFmt w:val="bullet"/>
      <w:lvlText w:val=""/>
      <w:lvlJc w:val="left"/>
      <w:pPr>
        <w:ind w:left="720" w:hanging="360"/>
      </w:pPr>
      <w:rPr>
        <w:rFonts w:ascii="Wingdings" w:eastAsia="Calibri" w:hAnsi="Wingdings" w:cs="Times New Roman" w:hint="default"/>
      </w:rPr>
    </w:lvl>
    <w:lvl w:ilvl="1" w:tplc="04070003">
      <w:start w:val="1"/>
      <w:numFmt w:val="decimal"/>
      <w:lvlText w:val="%2."/>
      <w:lvlJc w:val="left"/>
      <w:pPr>
        <w:tabs>
          <w:tab w:val="num" w:pos="1440"/>
        </w:tabs>
        <w:ind w:left="1440" w:hanging="360"/>
      </w:p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19" w15:restartNumberingAfterBreak="0">
    <w:nsid w:val="65966B79"/>
    <w:multiLevelType w:val="hybridMultilevel"/>
    <w:tmpl w:val="BEA67D1A"/>
    <w:lvl w:ilvl="0" w:tplc="04070001">
      <w:start w:val="1"/>
      <w:numFmt w:val="bullet"/>
      <w:lvlText w:val=""/>
      <w:lvlJc w:val="left"/>
      <w:pPr>
        <w:ind w:left="1080" w:hanging="360"/>
      </w:pPr>
      <w:rPr>
        <w:rFonts w:ascii="Symbol" w:hAnsi="Symbol"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0" w15:restartNumberingAfterBreak="0">
    <w:nsid w:val="68D17773"/>
    <w:multiLevelType w:val="hybridMultilevel"/>
    <w:tmpl w:val="A5BC8720"/>
    <w:lvl w:ilvl="0" w:tplc="9B8CD03E">
      <w:start w:val="1"/>
      <w:numFmt w:val="bullet"/>
      <w:lvlText w:val=""/>
      <w:lvlJc w:val="left"/>
      <w:pPr>
        <w:ind w:left="1080" w:hanging="360"/>
      </w:pPr>
      <w:rPr>
        <w:rFonts w:ascii="Symbol" w:hAnsi="Symbol" w:hint="default"/>
        <w:color w:val="BECDD7" w:themeColor="background2"/>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1" w15:restartNumberingAfterBreak="0">
    <w:nsid w:val="6BE32009"/>
    <w:multiLevelType w:val="hybridMultilevel"/>
    <w:tmpl w:val="7EEA5C38"/>
    <w:lvl w:ilvl="0" w:tplc="9B8CD03E">
      <w:start w:val="1"/>
      <w:numFmt w:val="bullet"/>
      <w:lvlText w:val=""/>
      <w:lvlJc w:val="left"/>
      <w:pPr>
        <w:ind w:left="1080" w:hanging="360"/>
      </w:pPr>
      <w:rPr>
        <w:rFonts w:ascii="Symbol" w:hAnsi="Symbol" w:hint="default"/>
        <w:color w:val="BECDD7" w:themeColor="background2"/>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2" w15:restartNumberingAfterBreak="0">
    <w:nsid w:val="6EFB6301"/>
    <w:multiLevelType w:val="hybridMultilevel"/>
    <w:tmpl w:val="CCBA7F16"/>
    <w:lvl w:ilvl="0" w:tplc="65CCE03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70E25D42"/>
    <w:multiLevelType w:val="hybridMultilevel"/>
    <w:tmpl w:val="4124815E"/>
    <w:lvl w:ilvl="0" w:tplc="0FC0B704">
      <w:start w:val="1"/>
      <w:numFmt w:val="bullet"/>
      <w:lvlText w:val="▌"/>
      <w:lvlJc w:val="left"/>
      <w:pPr>
        <w:ind w:left="360" w:hanging="360"/>
      </w:pPr>
      <w:rPr>
        <w:rFonts w:ascii="Arial" w:hAnsi="Arial" w:hint="default"/>
      </w:rPr>
    </w:lvl>
    <w:lvl w:ilvl="1" w:tplc="04070019">
      <w:start w:val="1"/>
      <w:numFmt w:val="bullet"/>
      <w:lvlText w:val="o"/>
      <w:lvlJc w:val="left"/>
      <w:pPr>
        <w:ind w:left="1080" w:hanging="360"/>
      </w:pPr>
      <w:rPr>
        <w:rFonts w:ascii="Courier New" w:hAnsi="Courier New" w:cs="Courier New" w:hint="default"/>
      </w:rPr>
    </w:lvl>
    <w:lvl w:ilvl="2" w:tplc="0407001B" w:tentative="1">
      <w:start w:val="1"/>
      <w:numFmt w:val="bullet"/>
      <w:lvlText w:val=""/>
      <w:lvlJc w:val="left"/>
      <w:pPr>
        <w:ind w:left="1800" w:hanging="360"/>
      </w:pPr>
      <w:rPr>
        <w:rFonts w:ascii="Wingdings" w:hAnsi="Wingdings" w:hint="default"/>
      </w:rPr>
    </w:lvl>
    <w:lvl w:ilvl="3" w:tplc="0407000F" w:tentative="1">
      <w:start w:val="1"/>
      <w:numFmt w:val="bullet"/>
      <w:lvlText w:val=""/>
      <w:lvlJc w:val="left"/>
      <w:pPr>
        <w:ind w:left="2520" w:hanging="360"/>
      </w:pPr>
      <w:rPr>
        <w:rFonts w:ascii="Symbol" w:hAnsi="Symbol" w:hint="default"/>
      </w:rPr>
    </w:lvl>
    <w:lvl w:ilvl="4" w:tplc="04070019" w:tentative="1">
      <w:start w:val="1"/>
      <w:numFmt w:val="bullet"/>
      <w:lvlText w:val="o"/>
      <w:lvlJc w:val="left"/>
      <w:pPr>
        <w:ind w:left="3240" w:hanging="360"/>
      </w:pPr>
      <w:rPr>
        <w:rFonts w:ascii="Courier New" w:hAnsi="Courier New" w:cs="Courier New" w:hint="default"/>
      </w:rPr>
    </w:lvl>
    <w:lvl w:ilvl="5" w:tplc="0407001B" w:tentative="1">
      <w:start w:val="1"/>
      <w:numFmt w:val="bullet"/>
      <w:lvlText w:val=""/>
      <w:lvlJc w:val="left"/>
      <w:pPr>
        <w:ind w:left="3960" w:hanging="360"/>
      </w:pPr>
      <w:rPr>
        <w:rFonts w:ascii="Wingdings" w:hAnsi="Wingdings" w:hint="default"/>
      </w:rPr>
    </w:lvl>
    <w:lvl w:ilvl="6" w:tplc="0407000F" w:tentative="1">
      <w:start w:val="1"/>
      <w:numFmt w:val="bullet"/>
      <w:lvlText w:val=""/>
      <w:lvlJc w:val="left"/>
      <w:pPr>
        <w:ind w:left="4680" w:hanging="360"/>
      </w:pPr>
      <w:rPr>
        <w:rFonts w:ascii="Symbol" w:hAnsi="Symbol" w:hint="default"/>
      </w:rPr>
    </w:lvl>
    <w:lvl w:ilvl="7" w:tplc="04070019" w:tentative="1">
      <w:start w:val="1"/>
      <w:numFmt w:val="bullet"/>
      <w:lvlText w:val="o"/>
      <w:lvlJc w:val="left"/>
      <w:pPr>
        <w:ind w:left="5400" w:hanging="360"/>
      </w:pPr>
      <w:rPr>
        <w:rFonts w:ascii="Courier New" w:hAnsi="Courier New" w:cs="Courier New" w:hint="default"/>
      </w:rPr>
    </w:lvl>
    <w:lvl w:ilvl="8" w:tplc="0407001B" w:tentative="1">
      <w:start w:val="1"/>
      <w:numFmt w:val="bullet"/>
      <w:lvlText w:val=""/>
      <w:lvlJc w:val="left"/>
      <w:pPr>
        <w:ind w:left="6120" w:hanging="360"/>
      </w:pPr>
      <w:rPr>
        <w:rFonts w:ascii="Wingdings" w:hAnsi="Wingdings" w:hint="default"/>
      </w:rPr>
    </w:lvl>
  </w:abstractNum>
  <w:abstractNum w:abstractNumId="24" w15:restartNumberingAfterBreak="0">
    <w:nsid w:val="7D7A0D96"/>
    <w:multiLevelType w:val="hybridMultilevel"/>
    <w:tmpl w:val="BF18A36E"/>
    <w:lvl w:ilvl="0" w:tplc="9B8CD03E">
      <w:start w:val="1"/>
      <w:numFmt w:val="bullet"/>
      <w:lvlText w:val=""/>
      <w:lvlJc w:val="left"/>
      <w:pPr>
        <w:ind w:left="1080" w:hanging="360"/>
      </w:pPr>
      <w:rPr>
        <w:rFonts w:ascii="Symbol" w:hAnsi="Symbol" w:hint="default"/>
        <w:color w:val="BECDD7" w:themeColor="background2"/>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F2B69AB"/>
    <w:multiLevelType w:val="hybridMultilevel"/>
    <w:tmpl w:val="27D450E2"/>
    <w:lvl w:ilvl="0" w:tplc="9B8CD03E">
      <w:start w:val="1"/>
      <w:numFmt w:val="bullet"/>
      <w:lvlText w:val=""/>
      <w:lvlJc w:val="left"/>
      <w:pPr>
        <w:ind w:left="720" w:hanging="360"/>
      </w:pPr>
      <w:rPr>
        <w:rFonts w:ascii="Symbol" w:hAnsi="Symbol" w:hint="default"/>
        <w:color w:val="BECDD7" w:themeColor="background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23"/>
  </w:num>
  <w:num w:numId="4">
    <w:abstractNumId w:val="10"/>
  </w:num>
  <w:num w:numId="5">
    <w:abstractNumId w:val="13"/>
  </w:num>
  <w:num w:numId="6">
    <w:abstractNumId w:val="1"/>
  </w:num>
  <w:num w:numId="7">
    <w:abstractNumId w:val="23"/>
  </w:num>
  <w:num w:numId="8">
    <w:abstractNumId w:val="23"/>
  </w:num>
  <w:num w:numId="9">
    <w:abstractNumId w:val="23"/>
  </w:num>
  <w:num w:numId="10">
    <w:abstractNumId w:val="23"/>
  </w:num>
  <w:num w:numId="11">
    <w:abstractNumId w:val="23"/>
  </w:num>
  <w:num w:numId="12">
    <w:abstractNumId w:val="23"/>
  </w:num>
  <w:num w:numId="13">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9"/>
  </w:num>
  <w:num w:numId="16">
    <w:abstractNumId w:val="7"/>
  </w:num>
  <w:num w:numId="17">
    <w:abstractNumId w:val="4"/>
  </w:num>
  <w:num w:numId="18">
    <w:abstractNumId w:val="4"/>
  </w:num>
  <w:num w:numId="19">
    <w:abstractNumId w:val="4"/>
  </w:num>
  <w:num w:numId="20">
    <w:abstractNumId w:val="17"/>
  </w:num>
  <w:num w:numId="21">
    <w:abstractNumId w:val="4"/>
  </w:num>
  <w:num w:numId="22">
    <w:abstractNumId w:val="4"/>
  </w:num>
  <w:num w:numId="23">
    <w:abstractNumId w:val="4"/>
  </w:num>
  <w:num w:numId="24">
    <w:abstractNumId w:val="10"/>
  </w:num>
  <w:num w:numId="25">
    <w:abstractNumId w:val="14"/>
  </w:num>
  <w:num w:numId="26">
    <w:abstractNumId w:val="23"/>
  </w:num>
  <w:num w:numId="27">
    <w:abstractNumId w:val="23"/>
  </w:num>
  <w:num w:numId="28">
    <w:abstractNumId w:val="23"/>
  </w:num>
  <w:num w:numId="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0"/>
  </w:num>
  <w:num w:numId="31">
    <w:abstractNumId w:val="10"/>
  </w:num>
  <w:num w:numId="32">
    <w:abstractNumId w:val="10"/>
  </w:num>
  <w:num w:numId="33">
    <w:abstractNumId w:val="10"/>
  </w:num>
  <w:num w:numId="34">
    <w:abstractNumId w:val="5"/>
  </w:num>
  <w:num w:numId="35">
    <w:abstractNumId w:val="8"/>
  </w:num>
  <w:num w:numId="36">
    <w:abstractNumId w:val="19"/>
  </w:num>
  <w:num w:numId="37">
    <w:abstractNumId w:val="25"/>
  </w:num>
  <w:num w:numId="38">
    <w:abstractNumId w:val="6"/>
  </w:num>
  <w:num w:numId="39">
    <w:abstractNumId w:val="11"/>
  </w:num>
  <w:num w:numId="40">
    <w:abstractNumId w:val="20"/>
  </w:num>
  <w:num w:numId="41">
    <w:abstractNumId w:val="0"/>
  </w:num>
  <w:num w:numId="42">
    <w:abstractNumId w:val="16"/>
  </w:num>
  <w:num w:numId="43">
    <w:abstractNumId w:val="24"/>
  </w:num>
  <w:num w:numId="44">
    <w:abstractNumId w:val="21"/>
  </w:num>
  <w:num w:numId="45">
    <w:abstractNumId w:val="15"/>
  </w:num>
  <w:num w:numId="4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attachedTemplate r:id="rId1"/>
  <w:defaultTabStop w:val="720"/>
  <w:hyphenationZone w:val="425"/>
  <w:characterSpacingControl w:val="doNotCompress"/>
  <w:hdrShapeDefaults>
    <o:shapedefaults v:ext="edit" spidmax="77825"/>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778A5"/>
    <w:rsid w:val="00045B5E"/>
    <w:rsid w:val="0004616E"/>
    <w:rsid w:val="000F608D"/>
    <w:rsid w:val="001015A1"/>
    <w:rsid w:val="001068A3"/>
    <w:rsid w:val="0016311F"/>
    <w:rsid w:val="00167596"/>
    <w:rsid w:val="001B26A3"/>
    <w:rsid w:val="001D3D27"/>
    <w:rsid w:val="001D7661"/>
    <w:rsid w:val="00220453"/>
    <w:rsid w:val="002A46C3"/>
    <w:rsid w:val="002D4FC4"/>
    <w:rsid w:val="002D7CA6"/>
    <w:rsid w:val="002F1EFD"/>
    <w:rsid w:val="00312823"/>
    <w:rsid w:val="0033241D"/>
    <w:rsid w:val="00373E5F"/>
    <w:rsid w:val="003B645B"/>
    <w:rsid w:val="003D5719"/>
    <w:rsid w:val="003E3258"/>
    <w:rsid w:val="003E4735"/>
    <w:rsid w:val="00452C44"/>
    <w:rsid w:val="00487452"/>
    <w:rsid w:val="004B1225"/>
    <w:rsid w:val="004D4092"/>
    <w:rsid w:val="00584807"/>
    <w:rsid w:val="005B69B1"/>
    <w:rsid w:val="0061245B"/>
    <w:rsid w:val="00650A0A"/>
    <w:rsid w:val="00655279"/>
    <w:rsid w:val="006A4972"/>
    <w:rsid w:val="006C1DB8"/>
    <w:rsid w:val="00701C78"/>
    <w:rsid w:val="00733A27"/>
    <w:rsid w:val="007920D1"/>
    <w:rsid w:val="008643CF"/>
    <w:rsid w:val="008E382D"/>
    <w:rsid w:val="009109D5"/>
    <w:rsid w:val="00946D6A"/>
    <w:rsid w:val="009620BE"/>
    <w:rsid w:val="0098464E"/>
    <w:rsid w:val="009903D5"/>
    <w:rsid w:val="0099625E"/>
    <w:rsid w:val="009B305E"/>
    <w:rsid w:val="00A07C18"/>
    <w:rsid w:val="00A20ED2"/>
    <w:rsid w:val="00A23491"/>
    <w:rsid w:val="00AC1725"/>
    <w:rsid w:val="00AC2FF9"/>
    <w:rsid w:val="00AC5506"/>
    <w:rsid w:val="00AD1774"/>
    <w:rsid w:val="00AE23EA"/>
    <w:rsid w:val="00AF2499"/>
    <w:rsid w:val="00B17614"/>
    <w:rsid w:val="00B263A5"/>
    <w:rsid w:val="00B42541"/>
    <w:rsid w:val="00BA33C2"/>
    <w:rsid w:val="00C778A5"/>
    <w:rsid w:val="00CB7CA8"/>
    <w:rsid w:val="00CE3DE8"/>
    <w:rsid w:val="00CF091F"/>
    <w:rsid w:val="00CF0CAE"/>
    <w:rsid w:val="00D526DC"/>
    <w:rsid w:val="00D531E5"/>
    <w:rsid w:val="00D642EB"/>
    <w:rsid w:val="00D8139D"/>
    <w:rsid w:val="00DB747D"/>
    <w:rsid w:val="00E21BF7"/>
    <w:rsid w:val="00E457F7"/>
    <w:rsid w:val="00E50178"/>
    <w:rsid w:val="00E822A6"/>
    <w:rsid w:val="00EA3893"/>
    <w:rsid w:val="00EA6444"/>
    <w:rsid w:val="00EB378C"/>
    <w:rsid w:val="00EC72E9"/>
    <w:rsid w:val="00F15951"/>
    <w:rsid w:val="00F2715F"/>
    <w:rsid w:val="00F646B1"/>
    <w:rsid w:val="00F96736"/>
    <w:rsid w:val="00FA6137"/>
    <w:rsid w:val="00FD2E9B"/>
    <w:rsid w:val="00FE7C7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77825"/>
    <o:shapelayout v:ext="edit">
      <o:idmap v:ext="edit" data="1"/>
    </o:shapelayout>
  </w:shapeDefaults>
  <w:decimalSymbol w:val=","/>
  <w:listSeparator w:val=";"/>
  <w14:docId w14:val="7C3DE098"/>
  <w15:docId w15:val="{99F366F2-5B10-401F-801D-8B23C8AB1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_Copy Arial 10pt"/>
    <w:next w:val="KeinAbsatzformat"/>
    <w:qFormat/>
    <w:rsid w:val="006C1DB8"/>
    <w:pPr>
      <w:spacing w:after="140" w:line="300" w:lineRule="auto"/>
    </w:pPr>
    <w:rPr>
      <w:sz w:val="20"/>
    </w:rPr>
  </w:style>
  <w:style w:type="paragraph" w:styleId="berschrift1">
    <w:name w:val="heading 1"/>
    <w:aliases w:val="_Headline 18 pt"/>
    <w:basedOn w:val="Standard"/>
    <w:next w:val="Standard"/>
    <w:link w:val="berschrift1Zchn"/>
    <w:uiPriority w:val="9"/>
    <w:qFormat/>
    <w:pPr>
      <w:keepNext/>
      <w:keepLines/>
      <w:numPr>
        <w:numId w:val="4"/>
      </w:numPr>
      <w:spacing w:after="600"/>
      <w:outlineLvl w:val="0"/>
    </w:pPr>
    <w:rPr>
      <w:rFonts w:ascii="Times New Roman" w:eastAsiaTheme="majorEastAsia" w:hAnsi="Times New Roman" w:cstheme="majorBidi"/>
      <w:bCs/>
      <w:color w:val="BECDD7" w:themeColor="background2"/>
      <w:sz w:val="52"/>
      <w:szCs w:val="28"/>
    </w:rPr>
  </w:style>
  <w:style w:type="paragraph" w:styleId="berschrift2">
    <w:name w:val="heading 2"/>
    <w:aliases w:val="_Headline Times 30 pt"/>
    <w:next w:val="Standard"/>
    <w:link w:val="berschrift2Zchn"/>
    <w:uiPriority w:val="9"/>
    <w:unhideWhenUsed/>
    <w:qFormat/>
    <w:rsid w:val="006C1DB8"/>
    <w:pPr>
      <w:keepNext/>
      <w:keepLines/>
      <w:spacing w:before="480" w:after="240"/>
      <w:outlineLvl w:val="1"/>
    </w:pPr>
    <w:rPr>
      <w:rFonts w:ascii="Times New Roman" w:eastAsiaTheme="majorEastAsia" w:hAnsi="Times New Roman" w:cstheme="majorBidi"/>
      <w:bCs/>
      <w:color w:val="879BAA" w:themeColor="text2"/>
      <w:sz w:val="48"/>
      <w:szCs w:val="26"/>
    </w:rPr>
  </w:style>
  <w:style w:type="paragraph" w:styleId="berschrift3">
    <w:name w:val="heading 3"/>
    <w:aliases w:val="_Headline 11pt"/>
    <w:next w:val="Standard"/>
    <w:link w:val="berschrift3Zchn"/>
    <w:uiPriority w:val="9"/>
    <w:unhideWhenUsed/>
    <w:qFormat/>
    <w:pPr>
      <w:spacing w:before="200"/>
      <w:outlineLvl w:val="2"/>
    </w:pPr>
    <w:rPr>
      <w:rFonts w:eastAsiaTheme="majorEastAsia" w:cstheme="majorBidi"/>
      <w:b/>
      <w:color w:val="006487" w:themeColor="accent3"/>
      <w:szCs w:val="26"/>
    </w:rPr>
  </w:style>
  <w:style w:type="paragraph" w:styleId="berschrift4">
    <w:name w:val="heading 4"/>
    <w:aliases w:val="_"/>
    <w:basedOn w:val="berschrift3"/>
    <w:next w:val="KeinAbsatzformat"/>
    <w:link w:val="berschrift4Zchn"/>
    <w:uiPriority w:val="9"/>
    <w:unhideWhenUsed/>
    <w:qFormat/>
    <w:pPr>
      <w:outlineLvl w:val="3"/>
    </w:pPr>
    <w:rPr>
      <w:bCs/>
      <w:iCs/>
    </w:rPr>
  </w:style>
  <w:style w:type="paragraph" w:styleId="berschrift5">
    <w:name w:val="heading 5"/>
    <w:basedOn w:val="berschrift3"/>
    <w:next w:val="KeinAbsatzformat"/>
    <w:link w:val="berschrift5Zchn"/>
    <w:uiPriority w:val="9"/>
    <w:unhideWhenUsed/>
    <w:qFormat/>
    <w:pPr>
      <w:keepNext/>
      <w:keepLines/>
      <w:numPr>
        <w:ilvl w:val="4"/>
      </w:numPr>
      <w:tabs>
        <w:tab w:val="left" w:pos="1418"/>
      </w:tabs>
      <w:ind w:left="1418" w:hanging="1418"/>
      <w:jc w:val="both"/>
      <w:outlineLvl w:val="4"/>
    </w:pPr>
  </w:style>
  <w:style w:type="paragraph" w:styleId="berschrift6">
    <w:name w:val="heading 6"/>
    <w:basedOn w:val="berschrift3"/>
    <w:next w:val="KeinAbsatzformat"/>
    <w:link w:val="berschrift6Zchn"/>
    <w:uiPriority w:val="9"/>
    <w:unhideWhenUsed/>
    <w:qFormat/>
    <w:pPr>
      <w:keepNext/>
      <w:keepLines/>
      <w:outlineLvl w:val="5"/>
    </w:pPr>
    <w:rPr>
      <w:iCs/>
    </w:rPr>
  </w:style>
  <w:style w:type="paragraph" w:styleId="berschrift7">
    <w:name w:val="heading 7"/>
    <w:basedOn w:val="Standard"/>
    <w:next w:val="Standard"/>
    <w:link w:val="berschrift7Zchn"/>
    <w:qFormat/>
    <w:pPr>
      <w:keepNext/>
      <w:tabs>
        <w:tab w:val="num" w:pos="1296"/>
      </w:tabs>
      <w:spacing w:after="200" w:line="276" w:lineRule="auto"/>
      <w:ind w:left="1296" w:hanging="1296"/>
      <w:outlineLvl w:val="6"/>
    </w:pPr>
    <w:rPr>
      <w:sz w:val="22"/>
    </w:rPr>
  </w:style>
  <w:style w:type="paragraph" w:styleId="berschrift8">
    <w:name w:val="heading 8"/>
    <w:basedOn w:val="Standard"/>
    <w:next w:val="Standard"/>
    <w:link w:val="berschrift8Zchn"/>
    <w:qFormat/>
    <w:pPr>
      <w:tabs>
        <w:tab w:val="num" w:pos="1440"/>
      </w:tabs>
      <w:spacing w:before="240" w:after="60" w:line="276" w:lineRule="auto"/>
      <w:ind w:left="1440" w:hanging="1440"/>
      <w:outlineLvl w:val="7"/>
    </w:pPr>
    <w:rPr>
      <w:i/>
      <w:iCs/>
      <w:sz w:val="22"/>
      <w:szCs w:val="24"/>
    </w:rPr>
  </w:style>
  <w:style w:type="paragraph" w:styleId="berschrift9">
    <w:name w:val="heading 9"/>
    <w:basedOn w:val="Standard"/>
    <w:next w:val="Standard"/>
    <w:link w:val="berschrift9Zchn"/>
    <w:qFormat/>
    <w:pPr>
      <w:tabs>
        <w:tab w:val="num" w:pos="1584"/>
      </w:tabs>
      <w:spacing w:before="240" w:after="60" w:line="276" w:lineRule="auto"/>
      <w:ind w:left="1584" w:hanging="1584"/>
      <w:outlineLvl w:val="8"/>
    </w:pPr>
    <w:rPr>
      <w:rFonts w:cs="Arial"/>
      <w:sz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_Headline 18 pt Zchn"/>
    <w:basedOn w:val="Absatz-Standardschriftart"/>
    <w:link w:val="berschrift1"/>
    <w:uiPriority w:val="9"/>
    <w:rPr>
      <w:rFonts w:ascii="Times New Roman" w:eastAsiaTheme="majorEastAsia" w:hAnsi="Times New Roman" w:cstheme="majorBidi"/>
      <w:bCs/>
      <w:color w:val="BECDD7" w:themeColor="background2"/>
      <w:sz w:val="52"/>
      <w:szCs w:val="28"/>
    </w:rPr>
  </w:style>
  <w:style w:type="paragraph" w:styleId="KeinLeerraum">
    <w:name w:val="No Spacing"/>
    <w:uiPriority w:val="1"/>
    <w:pPr>
      <w:spacing w:after="0" w:line="240" w:lineRule="auto"/>
    </w:pPr>
    <w:rPr>
      <w:sz w:val="20"/>
    </w:rPr>
  </w:style>
  <w:style w:type="character" w:customStyle="1" w:styleId="berschrift2Zchn">
    <w:name w:val="Überschrift 2 Zchn"/>
    <w:aliases w:val="_Headline Times 30 pt Zchn"/>
    <w:basedOn w:val="Absatz-Standardschriftart"/>
    <w:link w:val="berschrift2"/>
    <w:uiPriority w:val="9"/>
    <w:rsid w:val="006C1DB8"/>
    <w:rPr>
      <w:rFonts w:ascii="Times New Roman" w:eastAsiaTheme="majorEastAsia" w:hAnsi="Times New Roman" w:cstheme="majorBidi"/>
      <w:bCs/>
      <w:color w:val="879BAA" w:themeColor="text2"/>
      <w:sz w:val="48"/>
      <w:szCs w:val="26"/>
    </w:rPr>
  </w:style>
  <w:style w:type="character" w:customStyle="1" w:styleId="berschrift3Zchn">
    <w:name w:val="Überschrift 3 Zchn"/>
    <w:aliases w:val="_Headline 11pt Zchn"/>
    <w:basedOn w:val="Absatz-Standardschriftart"/>
    <w:link w:val="berschrift3"/>
    <w:uiPriority w:val="9"/>
    <w:rPr>
      <w:rFonts w:eastAsiaTheme="majorEastAsia" w:cstheme="majorBidi"/>
      <w:b/>
      <w:color w:val="006487" w:themeColor="accent3"/>
      <w:szCs w:val="26"/>
    </w:rPr>
  </w:style>
  <w:style w:type="character" w:styleId="SchwacheHervorhebung">
    <w:name w:val="Subtle Emphasis"/>
    <w:basedOn w:val="Absatz-Standardschriftart"/>
    <w:uiPriority w:val="19"/>
    <w:qFormat/>
    <w:rPr>
      <w:b/>
      <w:i w:val="0"/>
      <w:iCs/>
      <w:color w:val="000000" w:themeColor="text1"/>
    </w:rPr>
  </w:style>
  <w:style w:type="character" w:styleId="Hervorhebung">
    <w:name w:val="Emphasis"/>
    <w:basedOn w:val="Absatz-Standardschriftart"/>
    <w:uiPriority w:val="20"/>
    <w:qFormat/>
    <w:rPr>
      <w:b/>
      <w:i w:val="0"/>
      <w:iCs/>
    </w:rPr>
  </w:style>
  <w:style w:type="paragraph" w:styleId="Zitat">
    <w:name w:val="Quote"/>
    <w:basedOn w:val="Standard"/>
    <w:next w:val="Standard"/>
    <w:link w:val="ZitatZchn"/>
    <w:uiPriority w:val="29"/>
    <w:rPr>
      <w:i/>
      <w:iCs/>
    </w:rPr>
  </w:style>
  <w:style w:type="character" w:customStyle="1" w:styleId="ZitatZchn">
    <w:name w:val="Zitat Zchn"/>
    <w:basedOn w:val="Absatz-Standardschriftart"/>
    <w:link w:val="Zitat"/>
    <w:uiPriority w:val="29"/>
    <w:rPr>
      <w:i/>
      <w:iCs/>
      <w:sz w:val="20"/>
    </w:rPr>
  </w:style>
  <w:style w:type="character" w:styleId="IntensiveHervorhebung">
    <w:name w:val="Intense Emphasis"/>
    <w:basedOn w:val="Absatz-Standardschriftart"/>
    <w:uiPriority w:val="21"/>
    <w:qFormat/>
    <w:rPr>
      <w:b/>
      <w:bCs/>
      <w:i w:val="0"/>
      <w:iCs/>
      <w:color w:val="879BAA" w:themeColor="text2"/>
    </w:rPr>
  </w:style>
  <w:style w:type="paragraph" w:styleId="IntensivesZitat">
    <w:name w:val="Intense Quote"/>
    <w:basedOn w:val="Standard"/>
    <w:next w:val="Standard"/>
    <w:link w:val="IntensivesZitatZchn"/>
    <w:uiPriority w:val="30"/>
    <w:pPr>
      <w:spacing w:before="200" w:after="280"/>
      <w:ind w:left="936" w:right="936"/>
    </w:pPr>
    <w:rPr>
      <w:b/>
      <w:bCs/>
      <w:i/>
      <w:iCs/>
    </w:rPr>
  </w:style>
  <w:style w:type="character" w:customStyle="1" w:styleId="IntensivesZitatZchn">
    <w:name w:val="Intensives Zitat Zchn"/>
    <w:basedOn w:val="Absatz-Standardschriftart"/>
    <w:link w:val="IntensivesZitat"/>
    <w:uiPriority w:val="30"/>
    <w:rPr>
      <w:b/>
      <w:bCs/>
      <w:i/>
      <w:iCs/>
      <w:sz w:val="20"/>
    </w:rPr>
  </w:style>
  <w:style w:type="paragraph" w:styleId="Titel">
    <w:name w:val="Title"/>
    <w:basedOn w:val="Standard"/>
    <w:next w:val="Standard"/>
    <w:link w:val="TitelZchn"/>
    <w:uiPriority w:val="10"/>
    <w:pPr>
      <w:spacing w:after="300" w:line="240" w:lineRule="auto"/>
      <w:contextualSpacing/>
    </w:pPr>
    <w:rPr>
      <w:rFonts w:ascii="Times New Roman" w:eastAsiaTheme="majorEastAsia" w:hAnsi="Times New Roman" w:cstheme="majorBidi"/>
      <w:color w:val="879BAA" w:themeColor="text2"/>
      <w:spacing w:val="5"/>
      <w:kern w:val="28"/>
      <w:sz w:val="60"/>
      <w:szCs w:val="52"/>
    </w:rPr>
  </w:style>
  <w:style w:type="character" w:customStyle="1" w:styleId="TitelZchn">
    <w:name w:val="Titel Zchn"/>
    <w:basedOn w:val="Absatz-Standardschriftart"/>
    <w:link w:val="Titel"/>
    <w:uiPriority w:val="10"/>
    <w:rPr>
      <w:rFonts w:ascii="Times New Roman" w:eastAsiaTheme="majorEastAsia" w:hAnsi="Times New Roman" w:cstheme="majorBidi"/>
      <w:color w:val="879BAA" w:themeColor="text2"/>
      <w:spacing w:val="5"/>
      <w:kern w:val="28"/>
      <w:sz w:val="60"/>
      <w:szCs w:val="52"/>
    </w:rPr>
  </w:style>
  <w:style w:type="paragraph" w:styleId="Untertitel">
    <w:name w:val="Subtitle"/>
    <w:basedOn w:val="Standard"/>
    <w:next w:val="Standard"/>
    <w:link w:val="UntertitelZchn"/>
    <w:uiPriority w:val="11"/>
    <w:qFormat/>
    <w:pPr>
      <w:numPr>
        <w:ilvl w:val="1"/>
      </w:numPr>
    </w:pPr>
    <w:rPr>
      <w:rFonts w:eastAsiaTheme="majorEastAsia" w:cstheme="majorBidi"/>
      <w:b/>
      <w:iCs/>
      <w:color w:val="879BAA" w:themeColor="text2"/>
      <w:sz w:val="22"/>
    </w:rPr>
  </w:style>
  <w:style w:type="character" w:customStyle="1" w:styleId="UntertitelZchn">
    <w:name w:val="Untertitel Zchn"/>
    <w:basedOn w:val="Absatz-Standardschriftart"/>
    <w:link w:val="Untertitel"/>
    <w:uiPriority w:val="11"/>
    <w:rPr>
      <w:rFonts w:eastAsiaTheme="majorEastAsia" w:cstheme="majorBidi"/>
      <w:b/>
      <w:iCs/>
      <w:color w:val="879BAA" w:themeColor="text2"/>
    </w:rPr>
  </w:style>
  <w:style w:type="paragraph" w:customStyle="1" w:styleId="Footer">
    <w:name w:val="_Footer"/>
    <w:basedOn w:val="KeinAbsatzformat"/>
    <w:next w:val="KeinAbsatzformat"/>
    <w:qFormat/>
    <w:rPr>
      <w:color w:val="879BAA" w:themeColor="text2"/>
      <w:sz w:val="15"/>
    </w:rPr>
  </w:style>
  <w:style w:type="paragraph" w:customStyle="1" w:styleId="KeinAbsatzformat">
    <w:name w:val="[Kein Absatzformat]"/>
    <w:pPr>
      <w:autoSpaceDE w:val="0"/>
      <w:autoSpaceDN w:val="0"/>
      <w:adjustRightInd w:val="0"/>
      <w:spacing w:after="0" w:line="288" w:lineRule="auto"/>
      <w:textAlignment w:val="center"/>
    </w:pPr>
    <w:rPr>
      <w:rFonts w:ascii="MinionPro-Regular" w:hAnsi="MinionPro-Regular" w:cs="MinionPro-Regular"/>
      <w:color w:val="000000"/>
      <w:sz w:val="24"/>
      <w:szCs w:val="24"/>
      <w:lang w:val="de-DE"/>
    </w:rPr>
  </w:style>
  <w:style w:type="character" w:styleId="Kommentarzeichen">
    <w:name w:val="annotation reference"/>
    <w:basedOn w:val="Absatz-Standardschriftart"/>
    <w:uiPriority w:val="99"/>
    <w:unhideWhenUsed/>
    <w:rPr>
      <w:sz w:val="16"/>
      <w:szCs w:val="16"/>
    </w:rPr>
  </w:style>
  <w:style w:type="paragraph" w:styleId="Kommentartext">
    <w:name w:val="annotation text"/>
    <w:basedOn w:val="Standard"/>
    <w:link w:val="KommentartextZchn"/>
    <w:uiPriority w:val="99"/>
    <w:unhideWhenUsed/>
    <w:pPr>
      <w:spacing w:line="240" w:lineRule="auto"/>
    </w:pPr>
    <w:rPr>
      <w:szCs w:val="20"/>
    </w:rPr>
  </w:style>
  <w:style w:type="character" w:customStyle="1" w:styleId="KommentartextZchn">
    <w:name w:val="Kommentartext Zchn"/>
    <w:basedOn w:val="Absatz-Standardschriftart"/>
    <w:link w:val="Kommentartext"/>
    <w:uiPriority w:val="99"/>
    <w:rPr>
      <w:sz w:val="20"/>
      <w:szCs w:val="20"/>
    </w:rPr>
  </w:style>
  <w:style w:type="paragraph" w:styleId="Kommentarthema">
    <w:name w:val="annotation subject"/>
    <w:basedOn w:val="Kommentartext"/>
    <w:next w:val="Kommentartext"/>
    <w:link w:val="KommentarthemaZchn"/>
    <w:uiPriority w:val="99"/>
    <w:semiHidden/>
    <w:unhideWhenUsed/>
    <w:rPr>
      <w:b/>
      <w:bCs/>
    </w:rPr>
  </w:style>
  <w:style w:type="character" w:customStyle="1" w:styleId="KommentarthemaZchn">
    <w:name w:val="Kommentarthema Zchn"/>
    <w:basedOn w:val="KommentartextZchn"/>
    <w:link w:val="Kommentarthema"/>
    <w:uiPriority w:val="99"/>
    <w:semiHidden/>
    <w:rPr>
      <w:b/>
      <w:bCs/>
      <w:sz w:val="20"/>
      <w:szCs w:val="20"/>
    </w:rPr>
  </w:style>
  <w:style w:type="paragraph" w:styleId="Sprechblasentext">
    <w:name w:val="Balloon Text"/>
    <w:basedOn w:val="Standard"/>
    <w:link w:val="SprechblasentextZchn"/>
    <w:uiPriority w:val="99"/>
    <w:semiHidden/>
    <w:unhideWhenUsed/>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table" w:styleId="Tabellenraster">
    <w:name w:val="Table Grid"/>
    <w:aliases w:val="Highlight_Box_Stone 35%"/>
    <w:basedOn w:val="NormaleTabelle"/>
    <w:pPr>
      <w:spacing w:after="0" w:line="240" w:lineRule="auto"/>
    </w:pPr>
    <w:rPr>
      <w:color w:val="006487" w:themeColor="accent3"/>
      <w:sz w:val="20"/>
    </w:rPr>
    <w:tblPr>
      <w:tblCellMar>
        <w:top w:w="340" w:type="dxa"/>
        <w:left w:w="340" w:type="dxa"/>
        <w:bottom w:w="227" w:type="dxa"/>
        <w:right w:w="454" w:type="dxa"/>
      </w:tblCellMar>
    </w:tblPr>
    <w:tcPr>
      <w:shd w:val="clear" w:color="auto" w:fill="F2F5F7" w:themeFill="background2" w:themeFillTint="33"/>
    </w:tcPr>
  </w:style>
  <w:style w:type="character" w:styleId="IntensiverVerweis">
    <w:name w:val="Intense Reference"/>
    <w:basedOn w:val="Absatz-Standardschriftart"/>
    <w:uiPriority w:val="32"/>
    <w:rPr>
      <w:b/>
      <w:bCs/>
      <w:smallCaps/>
      <w:color w:val="D7D7CD" w:themeColor="accent2"/>
      <w:spacing w:val="5"/>
      <w:u w:val="single"/>
    </w:rPr>
  </w:style>
  <w:style w:type="character" w:customStyle="1" w:styleId="berschrift4Zchn">
    <w:name w:val="Überschrift 4 Zchn"/>
    <w:aliases w:val="_ Zchn"/>
    <w:basedOn w:val="Absatz-Standardschriftart"/>
    <w:link w:val="berschrift4"/>
    <w:uiPriority w:val="9"/>
    <w:rPr>
      <w:rFonts w:eastAsiaTheme="majorEastAsia" w:cstheme="majorBidi"/>
      <w:b/>
      <w:bCs/>
      <w:iCs/>
      <w:color w:val="006487" w:themeColor="accent3"/>
      <w:szCs w:val="26"/>
    </w:rPr>
  </w:style>
  <w:style w:type="paragraph" w:customStyle="1" w:styleId="CopyBulletpoints">
    <w:name w:val="_Copy Bulletpoints"/>
    <w:basedOn w:val="Standard"/>
    <w:qFormat/>
    <w:pPr>
      <w:numPr>
        <w:numId w:val="1"/>
      </w:numPr>
      <w:spacing w:after="240"/>
      <w:contextualSpacing/>
    </w:pPr>
    <w:rPr>
      <w:lang w:val="en-GB"/>
    </w:rPr>
  </w:style>
  <w:style w:type="paragraph" w:customStyle="1" w:styleId="Page">
    <w:name w:val="_Page"/>
    <w:next w:val="KeinAbsatzformat"/>
    <w:qFormat/>
    <w:pPr>
      <w:spacing w:after="0"/>
      <w:jc w:val="right"/>
    </w:pPr>
    <w:rPr>
      <w:b/>
      <w:sz w:val="18"/>
      <w:szCs w:val="18"/>
    </w:rPr>
  </w:style>
  <w:style w:type="character" w:styleId="Fett">
    <w:name w:val="Strong"/>
    <w:basedOn w:val="Absatz-Standardschriftart"/>
    <w:uiPriority w:val="22"/>
    <w:qFormat/>
    <w:rPr>
      <w:b/>
      <w:bCs/>
    </w:rPr>
  </w:style>
  <w:style w:type="paragraph" w:styleId="Fuzeile">
    <w:name w:val="footer"/>
    <w:next w:val="KeinAbsatzformat"/>
    <w:link w:val="FuzeileZchn"/>
    <w:uiPriority w:val="99"/>
    <w:unhideWhenUsed/>
    <w:pPr>
      <w:tabs>
        <w:tab w:val="center" w:pos="4536"/>
        <w:tab w:val="right" w:pos="9072"/>
      </w:tabs>
      <w:spacing w:after="0" w:line="360" w:lineRule="auto"/>
    </w:pPr>
    <w:rPr>
      <w:color w:val="879BAA" w:themeColor="text2"/>
      <w:sz w:val="15"/>
    </w:rPr>
  </w:style>
  <w:style w:type="character" w:customStyle="1" w:styleId="FuzeileZchn">
    <w:name w:val="Fußzeile Zchn"/>
    <w:basedOn w:val="Absatz-Standardschriftart"/>
    <w:link w:val="Fuzeile"/>
    <w:uiPriority w:val="99"/>
    <w:rPr>
      <w:color w:val="879BAA" w:themeColor="text2"/>
      <w:sz w:val="15"/>
    </w:rPr>
  </w:style>
  <w:style w:type="paragraph" w:customStyle="1" w:styleId="DoDontHeadline1">
    <w:name w:val="_Do/Don't Headline 1"/>
    <w:next w:val="KeinAbsatzformat"/>
    <w:qFormat/>
    <w:rPr>
      <w:rFonts w:eastAsiaTheme="majorEastAsia" w:cstheme="majorBidi"/>
      <w:b/>
      <w:bCs/>
      <w:noProof/>
      <w:color w:val="006487" w:themeColor="accent3"/>
      <w:szCs w:val="26"/>
      <w:lang w:val="en-GB"/>
    </w:rPr>
  </w:style>
  <w:style w:type="table" w:styleId="HelleSchattierung-Akzent5">
    <w:name w:val="Light Shading Accent 5"/>
    <w:basedOn w:val="NormaleTabelle"/>
    <w:uiPriority w:val="60"/>
    <w:pPr>
      <w:spacing w:after="0" w:line="240" w:lineRule="auto"/>
    </w:pPr>
    <w:rPr>
      <w:color w:val="4A1234" w:themeColor="accent5" w:themeShade="BF"/>
    </w:rPr>
    <w:tblPr>
      <w:tblStyleRowBandSize w:val="1"/>
      <w:tblStyleColBandSize w:val="1"/>
      <w:tblBorders>
        <w:top w:val="single" w:sz="8" w:space="0" w:color="641946" w:themeColor="accent5"/>
        <w:bottom w:val="single" w:sz="8" w:space="0" w:color="641946" w:themeColor="accent5"/>
      </w:tblBorders>
    </w:tblPr>
    <w:tblStylePr w:type="firstRow">
      <w:pPr>
        <w:spacing w:before="0" w:after="0" w:line="240" w:lineRule="auto"/>
      </w:pPr>
      <w:rPr>
        <w:b/>
        <w:bCs/>
      </w:rPr>
      <w:tblPr/>
      <w:tcPr>
        <w:tcBorders>
          <w:top w:val="single" w:sz="8" w:space="0" w:color="641946" w:themeColor="accent5"/>
          <w:left w:val="nil"/>
          <w:bottom w:val="single" w:sz="8" w:space="0" w:color="641946" w:themeColor="accent5"/>
          <w:right w:val="nil"/>
          <w:insideH w:val="nil"/>
          <w:insideV w:val="nil"/>
        </w:tcBorders>
      </w:tcPr>
    </w:tblStylePr>
    <w:tblStylePr w:type="lastRow">
      <w:pPr>
        <w:spacing w:before="0" w:after="0" w:line="240" w:lineRule="auto"/>
      </w:pPr>
      <w:rPr>
        <w:b/>
        <w:bCs/>
      </w:rPr>
      <w:tblPr/>
      <w:tcPr>
        <w:tcBorders>
          <w:top w:val="single" w:sz="8" w:space="0" w:color="641946" w:themeColor="accent5"/>
          <w:left w:val="nil"/>
          <w:bottom w:val="single" w:sz="8" w:space="0" w:color="64194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B2D5" w:themeFill="accent5" w:themeFillTint="3F"/>
      </w:tcPr>
    </w:tblStylePr>
    <w:tblStylePr w:type="band1Horz">
      <w:tblPr/>
      <w:tcPr>
        <w:tcBorders>
          <w:left w:val="nil"/>
          <w:right w:val="nil"/>
          <w:insideH w:val="nil"/>
          <w:insideV w:val="nil"/>
        </w:tcBorders>
        <w:shd w:val="clear" w:color="auto" w:fill="ECB2D5" w:themeFill="accent5" w:themeFillTint="3F"/>
      </w:tcPr>
    </w:tblStylePr>
  </w:style>
  <w:style w:type="paragraph" w:customStyle="1" w:styleId="DoDontHeadline2">
    <w:name w:val="_Do/Don't Headline 2"/>
    <w:basedOn w:val="Standard"/>
    <w:qFormat/>
    <w:pPr>
      <w:contextualSpacing/>
    </w:pPr>
    <w:rPr>
      <w:b/>
      <w:color w:val="FFFFFF" w:themeColor="background1"/>
    </w:rPr>
  </w:style>
  <w:style w:type="paragraph" w:styleId="Listenabsatz">
    <w:name w:val="List Paragraph"/>
    <w:basedOn w:val="Standard"/>
    <w:uiPriority w:val="34"/>
    <w:qFormat/>
    <w:pPr>
      <w:ind w:left="720"/>
      <w:contextualSpacing/>
    </w:pPr>
  </w:style>
  <w:style w:type="paragraph" w:customStyle="1" w:styleId="DoDontCopy">
    <w:name w:val="_Do/Don't Copy"/>
    <w:qFormat/>
    <w:pPr>
      <w:spacing w:after="40"/>
    </w:pPr>
    <w:rPr>
      <w:color w:val="FFFFFF" w:themeColor="background1"/>
      <w:sz w:val="20"/>
    </w:rPr>
  </w:style>
  <w:style w:type="paragraph" w:customStyle="1" w:styleId="HighlightboxGreyBulletpoints">
    <w:name w:val="_Highlightbox_Grey: Bulletpoints"/>
    <w:basedOn w:val="DoDontBulletpoints"/>
    <w:qFormat/>
    <w:pPr>
      <w:spacing w:after="120"/>
    </w:pPr>
    <w:rPr>
      <w:b/>
      <w:color w:val="006487" w:themeColor="accent3"/>
      <w:sz w:val="20"/>
      <w:szCs w:val="20"/>
    </w:rPr>
  </w:style>
  <w:style w:type="paragraph" w:customStyle="1" w:styleId="DoDontBulletpoints">
    <w:name w:val="_Do/Don't Bulletpoints"/>
    <w:basedOn w:val="Standard"/>
    <w:qFormat/>
    <w:pPr>
      <w:spacing w:line="240" w:lineRule="auto"/>
    </w:pPr>
    <w:rPr>
      <w:color w:val="FFFFFF" w:themeColor="background1"/>
      <w:sz w:val="18"/>
    </w:rPr>
  </w:style>
  <w:style w:type="paragraph" w:customStyle="1" w:styleId="HighlightboxGreyHeadlineNaturalBlue">
    <w:name w:val="_Highlightbox_Grey: Headline Natural Blue"/>
    <w:basedOn w:val="Standard"/>
    <w:qFormat/>
    <w:pPr>
      <w:tabs>
        <w:tab w:val="left" w:pos="426"/>
      </w:tabs>
      <w:spacing w:after="120" w:line="240" w:lineRule="auto"/>
    </w:pPr>
    <w:rPr>
      <w:b/>
      <w:color w:val="006487" w:themeColor="accent3"/>
    </w:rPr>
  </w:style>
  <w:style w:type="paragraph" w:customStyle="1" w:styleId="ExamplesCopy">
    <w:name w:val="_Examples Copy"/>
    <w:basedOn w:val="Standard"/>
    <w:pPr>
      <w:tabs>
        <w:tab w:val="left" w:pos="426"/>
      </w:tabs>
      <w:spacing w:after="0" w:line="240" w:lineRule="auto"/>
      <w:ind w:right="227"/>
      <w:contextualSpacing/>
    </w:pPr>
    <w:rPr>
      <w:b/>
      <w:i/>
      <w:color w:val="006487" w:themeColor="accent3"/>
    </w:rPr>
  </w:style>
  <w:style w:type="character" w:styleId="SchwacherVerweis">
    <w:name w:val="Subtle Reference"/>
    <w:basedOn w:val="Absatz-Standardschriftart"/>
    <w:uiPriority w:val="31"/>
    <w:rPr>
      <w:caps w:val="0"/>
      <w:smallCaps w:val="0"/>
      <w:color w:val="BECDD7" w:themeColor="background2"/>
      <w:u w:val="none"/>
    </w:rPr>
  </w:style>
  <w:style w:type="paragraph" w:customStyle="1" w:styleId="HighlightboxGreyCopy">
    <w:name w:val="_Highlightbox_Grey: Copy"/>
    <w:basedOn w:val="HighlightboxGreyHeadlineNaturalBlue"/>
    <w:qFormat/>
    <w:rPr>
      <w:b w:val="0"/>
    </w:rPr>
  </w:style>
  <w:style w:type="character" w:styleId="Buchtitel">
    <w:name w:val="Book Title"/>
    <w:basedOn w:val="Absatz-Standardschriftart"/>
    <w:uiPriority w:val="33"/>
    <w:rPr>
      <w:b w:val="0"/>
      <w:bCs/>
      <w:i/>
      <w:caps w:val="0"/>
      <w:smallCaps w:val="0"/>
      <w:spacing w:val="0"/>
    </w:rPr>
  </w:style>
  <w:style w:type="paragraph" w:customStyle="1" w:styleId="Underlinepictures">
    <w:name w:val="_Underline: pictures"/>
    <w:aliases w:val="graphics,tables"/>
    <w:basedOn w:val="KeinAbsatzformat"/>
    <w:qFormat/>
    <w:pPr>
      <w:spacing w:before="113" w:after="454"/>
      <w:ind w:left="454"/>
    </w:pPr>
    <w:rPr>
      <w:rFonts w:ascii="Arial" w:hAnsi="Arial" w:cs="Arial"/>
      <w:i/>
      <w:sz w:val="18"/>
      <w:szCs w:val="18"/>
    </w:rPr>
  </w:style>
  <w:style w:type="character" w:customStyle="1" w:styleId="Naturalblue">
    <w:name w:val="_Natural blue"/>
    <w:basedOn w:val="Absatz-Standardschriftart"/>
    <w:uiPriority w:val="1"/>
    <w:qFormat/>
    <w:rPr>
      <w:color w:val="006487" w:themeColor="accent3"/>
    </w:rPr>
  </w:style>
  <w:style w:type="paragraph" w:customStyle="1" w:styleId="Numbers">
    <w:name w:val="_Numbers"/>
    <w:basedOn w:val="Standard"/>
    <w:qFormat/>
    <w:pPr>
      <w:numPr>
        <w:numId w:val="2"/>
      </w:numPr>
      <w:tabs>
        <w:tab w:val="left" w:pos="426"/>
      </w:tabs>
      <w:ind w:left="442" w:hanging="357"/>
      <w:contextualSpacing/>
    </w:pPr>
    <w:rPr>
      <w:rFonts w:cs="Arial"/>
    </w:rPr>
  </w:style>
  <w:style w:type="paragraph" w:styleId="Kopfzeile">
    <w:name w:val="header"/>
    <w:basedOn w:val="Standard"/>
    <w:link w:val="KopfzeileZchn"/>
    <w:uiPriority w:val="99"/>
    <w:unhideWhenUsed/>
    <w:pPr>
      <w:tabs>
        <w:tab w:val="center" w:pos="4536"/>
        <w:tab w:val="right" w:pos="9072"/>
      </w:tabs>
      <w:spacing w:after="0" w:line="240" w:lineRule="auto"/>
    </w:pPr>
    <w:rPr>
      <w:sz w:val="15"/>
    </w:rPr>
  </w:style>
  <w:style w:type="character" w:customStyle="1" w:styleId="KopfzeileZchn">
    <w:name w:val="Kopfzeile Zchn"/>
    <w:basedOn w:val="Absatz-Standardschriftart"/>
    <w:link w:val="Kopfzeile"/>
    <w:uiPriority w:val="99"/>
    <w:rPr>
      <w:sz w:val="15"/>
    </w:rPr>
  </w:style>
  <w:style w:type="paragraph" w:customStyle="1" w:styleId="Header">
    <w:name w:val="_Header"/>
    <w:next w:val="KeinAbsatzformat"/>
    <w:qFormat/>
    <w:rPr>
      <w:sz w:val="15"/>
    </w:rPr>
  </w:style>
  <w:style w:type="table" w:customStyle="1" w:styleId="HelleSchattierung-Akzent11">
    <w:name w:val="Helle Schattierung - Akzent 11"/>
    <w:basedOn w:val="NormaleTabelle"/>
    <w:uiPriority w:val="60"/>
    <w:pPr>
      <w:spacing w:after="0" w:line="240" w:lineRule="auto"/>
    </w:pPr>
    <w:rPr>
      <w:color w:val="84846B" w:themeColor="accent1" w:themeShade="BF"/>
    </w:rPr>
    <w:tblPr>
      <w:tblStyleRowBandSize w:val="1"/>
      <w:tblStyleColBandSize w:val="1"/>
      <w:tblBorders>
        <w:top w:val="single" w:sz="8" w:space="0" w:color="AAAA96" w:themeColor="accent1"/>
        <w:bottom w:val="single" w:sz="8" w:space="0" w:color="AAAA96" w:themeColor="accent1"/>
      </w:tblBorders>
    </w:tblPr>
    <w:tblStylePr w:type="firstRow">
      <w:pPr>
        <w:spacing w:before="0" w:after="0" w:line="240" w:lineRule="auto"/>
      </w:pPr>
      <w:rPr>
        <w:b/>
        <w:bCs/>
      </w:rPr>
      <w:tblPr/>
      <w:tcPr>
        <w:tcBorders>
          <w:top w:val="single" w:sz="8" w:space="0" w:color="AAAA96" w:themeColor="accent1"/>
          <w:left w:val="nil"/>
          <w:bottom w:val="single" w:sz="8" w:space="0" w:color="AAAA96" w:themeColor="accent1"/>
          <w:right w:val="nil"/>
          <w:insideH w:val="nil"/>
          <w:insideV w:val="nil"/>
        </w:tcBorders>
      </w:tcPr>
    </w:tblStylePr>
    <w:tblStylePr w:type="lastRow">
      <w:pPr>
        <w:spacing w:before="0" w:after="0" w:line="240" w:lineRule="auto"/>
      </w:pPr>
      <w:rPr>
        <w:b/>
        <w:bCs/>
      </w:rPr>
      <w:tblPr/>
      <w:tcPr>
        <w:tcBorders>
          <w:top w:val="single" w:sz="8" w:space="0" w:color="AAAA96" w:themeColor="accent1"/>
          <w:left w:val="nil"/>
          <w:bottom w:val="single" w:sz="8" w:space="0" w:color="AAAA9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EAE5" w:themeFill="accent1" w:themeFillTint="3F"/>
      </w:tcPr>
    </w:tblStylePr>
    <w:tblStylePr w:type="band1Horz">
      <w:tblPr/>
      <w:tcPr>
        <w:tcBorders>
          <w:left w:val="nil"/>
          <w:right w:val="nil"/>
          <w:insideH w:val="nil"/>
          <w:insideV w:val="nil"/>
        </w:tcBorders>
        <w:shd w:val="clear" w:color="auto" w:fill="EAEAE5" w:themeFill="accent1" w:themeFillTint="3F"/>
      </w:tcPr>
    </w:tblStylePr>
  </w:style>
  <w:style w:type="table" w:styleId="HelleListe-Akzent3">
    <w:name w:val="Light List Accent 3"/>
    <w:basedOn w:val="NormaleTabelle"/>
    <w:uiPriority w:val="61"/>
    <w:pPr>
      <w:spacing w:after="0" w:line="240" w:lineRule="auto"/>
    </w:pPr>
    <w:tblPr>
      <w:tblStyleRowBandSize w:val="1"/>
      <w:tblStyleColBandSize w:val="1"/>
      <w:tblBorders>
        <w:top w:val="single" w:sz="8" w:space="0" w:color="006487" w:themeColor="accent3"/>
        <w:left w:val="single" w:sz="8" w:space="0" w:color="006487" w:themeColor="accent3"/>
        <w:bottom w:val="single" w:sz="8" w:space="0" w:color="006487" w:themeColor="accent3"/>
        <w:right w:val="single" w:sz="8" w:space="0" w:color="006487" w:themeColor="accent3"/>
      </w:tblBorders>
    </w:tblPr>
    <w:tblStylePr w:type="firstRow">
      <w:pPr>
        <w:spacing w:before="0" w:after="0" w:line="240" w:lineRule="auto"/>
      </w:pPr>
      <w:rPr>
        <w:b/>
        <w:bCs/>
        <w:color w:val="FFFFFF" w:themeColor="background1"/>
      </w:rPr>
      <w:tblPr/>
      <w:tcPr>
        <w:shd w:val="clear" w:color="auto" w:fill="006487" w:themeFill="accent3"/>
      </w:tcPr>
    </w:tblStylePr>
    <w:tblStylePr w:type="lastRow">
      <w:pPr>
        <w:spacing w:before="0" w:after="0" w:line="240" w:lineRule="auto"/>
      </w:pPr>
      <w:rPr>
        <w:b/>
        <w:bCs/>
      </w:rPr>
      <w:tblPr/>
      <w:tcPr>
        <w:tcBorders>
          <w:top w:val="double" w:sz="6" w:space="0" w:color="006487" w:themeColor="accent3"/>
          <w:left w:val="single" w:sz="8" w:space="0" w:color="006487" w:themeColor="accent3"/>
          <w:bottom w:val="single" w:sz="8" w:space="0" w:color="006487" w:themeColor="accent3"/>
          <w:right w:val="single" w:sz="8" w:space="0" w:color="006487" w:themeColor="accent3"/>
        </w:tcBorders>
      </w:tcPr>
    </w:tblStylePr>
    <w:tblStylePr w:type="firstCol">
      <w:rPr>
        <w:b/>
        <w:bCs/>
      </w:rPr>
    </w:tblStylePr>
    <w:tblStylePr w:type="lastCol">
      <w:rPr>
        <w:b/>
        <w:bCs/>
      </w:rPr>
    </w:tblStylePr>
    <w:tblStylePr w:type="band1Vert">
      <w:tblPr/>
      <w:tcPr>
        <w:tcBorders>
          <w:top w:val="single" w:sz="8" w:space="0" w:color="006487" w:themeColor="accent3"/>
          <w:left w:val="single" w:sz="8" w:space="0" w:color="006487" w:themeColor="accent3"/>
          <w:bottom w:val="single" w:sz="8" w:space="0" w:color="006487" w:themeColor="accent3"/>
          <w:right w:val="single" w:sz="8" w:space="0" w:color="006487" w:themeColor="accent3"/>
        </w:tcBorders>
      </w:tcPr>
    </w:tblStylePr>
    <w:tblStylePr w:type="band1Horz">
      <w:tblPr/>
      <w:tcPr>
        <w:tcBorders>
          <w:top w:val="single" w:sz="8" w:space="0" w:color="006487" w:themeColor="accent3"/>
          <w:left w:val="single" w:sz="8" w:space="0" w:color="006487" w:themeColor="accent3"/>
          <w:bottom w:val="single" w:sz="8" w:space="0" w:color="006487" w:themeColor="accent3"/>
          <w:right w:val="single" w:sz="8" w:space="0" w:color="006487" w:themeColor="accent3"/>
        </w:tcBorders>
      </w:tcPr>
    </w:tblStylePr>
  </w:style>
  <w:style w:type="table" w:customStyle="1" w:styleId="Head">
    <w:name w:val="Head"/>
    <w:basedOn w:val="NormaleTabelle"/>
    <w:uiPriority w:val="99"/>
    <w:pPr>
      <w:spacing w:after="0" w:line="240" w:lineRule="auto"/>
    </w:pPr>
    <w:rPr>
      <w:sz w:val="15"/>
    </w:rPr>
    <w:tblPr>
      <w:tblCellMar>
        <w:top w:w="85" w:type="dxa"/>
        <w:left w:w="0" w:type="dxa"/>
        <w:bottom w:w="91" w:type="dxa"/>
        <w:right w:w="0" w:type="dxa"/>
      </w:tblCellMar>
    </w:tblPr>
    <w:tcPr>
      <w:shd w:val="clear" w:color="auto" w:fill="F2F5F7" w:themeFill="background2" w:themeFillTint="33"/>
      <w:vAlign w:val="center"/>
    </w:tcPr>
    <w:tblStylePr w:type="firstRow">
      <w:tblPr/>
      <w:tcPr>
        <w:tcBorders>
          <w:top w:val="nil"/>
          <w:left w:val="nil"/>
          <w:bottom w:val="nil"/>
          <w:right w:val="nil"/>
          <w:insideH w:val="nil"/>
          <w:insideV w:val="nil"/>
          <w:tl2br w:val="nil"/>
          <w:tr2bl w:val="nil"/>
        </w:tcBorders>
        <w:shd w:val="clear" w:color="auto" w:fill="879BAA" w:themeFill="text2"/>
      </w:tcPr>
    </w:tblStylePr>
  </w:style>
  <w:style w:type="table" w:styleId="HelleListe-Akzent2">
    <w:name w:val="Light List Accent 2"/>
    <w:basedOn w:val="NormaleTabelle"/>
    <w:uiPriority w:val="61"/>
    <w:pPr>
      <w:spacing w:after="0" w:line="240" w:lineRule="auto"/>
    </w:pPr>
    <w:tblPr>
      <w:tblStyleRowBandSize w:val="1"/>
      <w:tblStyleColBandSize w:val="1"/>
      <w:tblBorders>
        <w:top w:val="single" w:sz="8" w:space="0" w:color="D7D7CD" w:themeColor="accent2"/>
        <w:left w:val="single" w:sz="8" w:space="0" w:color="D7D7CD" w:themeColor="accent2"/>
        <w:bottom w:val="single" w:sz="8" w:space="0" w:color="D7D7CD" w:themeColor="accent2"/>
        <w:right w:val="single" w:sz="8" w:space="0" w:color="D7D7CD" w:themeColor="accent2"/>
      </w:tblBorders>
    </w:tblPr>
    <w:tblStylePr w:type="firstRow">
      <w:pPr>
        <w:spacing w:before="0" w:after="0" w:line="240" w:lineRule="auto"/>
      </w:pPr>
      <w:rPr>
        <w:b/>
        <w:bCs/>
        <w:color w:val="FFFFFF" w:themeColor="background1"/>
      </w:rPr>
      <w:tblPr/>
      <w:tcPr>
        <w:shd w:val="clear" w:color="auto" w:fill="D7D7CD" w:themeFill="accent2"/>
      </w:tcPr>
    </w:tblStylePr>
    <w:tblStylePr w:type="lastRow">
      <w:pPr>
        <w:spacing w:before="0" w:after="0" w:line="240" w:lineRule="auto"/>
      </w:pPr>
      <w:rPr>
        <w:b/>
        <w:bCs/>
      </w:rPr>
      <w:tblPr/>
      <w:tcPr>
        <w:tcBorders>
          <w:top w:val="double" w:sz="6" w:space="0" w:color="D7D7CD" w:themeColor="accent2"/>
          <w:left w:val="single" w:sz="8" w:space="0" w:color="D7D7CD" w:themeColor="accent2"/>
          <w:bottom w:val="single" w:sz="8" w:space="0" w:color="D7D7CD" w:themeColor="accent2"/>
          <w:right w:val="single" w:sz="8" w:space="0" w:color="D7D7CD" w:themeColor="accent2"/>
        </w:tcBorders>
      </w:tcPr>
    </w:tblStylePr>
    <w:tblStylePr w:type="firstCol">
      <w:rPr>
        <w:b/>
        <w:bCs/>
      </w:rPr>
    </w:tblStylePr>
    <w:tblStylePr w:type="lastCol">
      <w:rPr>
        <w:b/>
        <w:bCs/>
      </w:rPr>
    </w:tblStylePr>
    <w:tblStylePr w:type="band1Vert">
      <w:tblPr/>
      <w:tcPr>
        <w:tcBorders>
          <w:top w:val="single" w:sz="8" w:space="0" w:color="D7D7CD" w:themeColor="accent2"/>
          <w:left w:val="single" w:sz="8" w:space="0" w:color="D7D7CD" w:themeColor="accent2"/>
          <w:bottom w:val="single" w:sz="8" w:space="0" w:color="D7D7CD" w:themeColor="accent2"/>
          <w:right w:val="single" w:sz="8" w:space="0" w:color="D7D7CD" w:themeColor="accent2"/>
        </w:tcBorders>
      </w:tcPr>
    </w:tblStylePr>
    <w:tblStylePr w:type="band1Horz">
      <w:tblPr/>
      <w:tcPr>
        <w:tcBorders>
          <w:top w:val="single" w:sz="8" w:space="0" w:color="D7D7CD" w:themeColor="accent2"/>
          <w:left w:val="single" w:sz="8" w:space="0" w:color="D7D7CD" w:themeColor="accent2"/>
          <w:bottom w:val="single" w:sz="8" w:space="0" w:color="D7D7CD" w:themeColor="accent2"/>
          <w:right w:val="single" w:sz="8" w:space="0" w:color="D7D7CD" w:themeColor="accent2"/>
        </w:tcBorders>
      </w:tcPr>
    </w:tblStylePr>
  </w:style>
  <w:style w:type="table" w:customStyle="1" w:styleId="Invisible">
    <w:name w:val="Invisible"/>
    <w:basedOn w:val="NormaleTabelle"/>
    <w:uiPriority w:val="99"/>
    <w:pPr>
      <w:spacing w:after="0" w:line="240" w:lineRule="auto"/>
    </w:pPr>
    <w:tblPr>
      <w:tblCellMar>
        <w:left w:w="0" w:type="dxa"/>
        <w:right w:w="0" w:type="dxa"/>
      </w:tblCellMar>
    </w:tblPr>
  </w:style>
  <w:style w:type="character" w:customStyle="1" w:styleId="berschrift5Zchn">
    <w:name w:val="Überschrift 5 Zchn"/>
    <w:basedOn w:val="Absatz-Standardschriftart"/>
    <w:link w:val="berschrift5"/>
    <w:uiPriority w:val="9"/>
    <w:rPr>
      <w:rFonts w:eastAsiaTheme="majorEastAsia" w:cstheme="majorBidi"/>
      <w:b/>
      <w:color w:val="006487" w:themeColor="accent3"/>
      <w:szCs w:val="26"/>
    </w:rPr>
  </w:style>
  <w:style w:type="character" w:customStyle="1" w:styleId="berschrift6Zchn">
    <w:name w:val="Überschrift 6 Zchn"/>
    <w:basedOn w:val="Absatz-Standardschriftart"/>
    <w:link w:val="berschrift6"/>
    <w:uiPriority w:val="9"/>
    <w:rPr>
      <w:rFonts w:eastAsiaTheme="majorEastAsia" w:cstheme="majorBidi"/>
      <w:b/>
      <w:iCs/>
      <w:color w:val="006487" w:themeColor="accent3"/>
      <w:szCs w:val="26"/>
    </w:rPr>
  </w:style>
  <w:style w:type="numbering" w:customStyle="1" w:styleId="Formatvorlage1">
    <w:name w:val="Formatvorlage1"/>
    <w:uiPriority w:val="99"/>
    <w:pPr>
      <w:numPr>
        <w:numId w:val="5"/>
      </w:numPr>
    </w:pPr>
  </w:style>
  <w:style w:type="paragraph" w:styleId="Dokumentstruktur">
    <w:name w:val="Document Map"/>
    <w:basedOn w:val="Standard"/>
    <w:link w:val="DokumentstrukturZchn"/>
    <w:uiPriority w:val="99"/>
    <w:semiHidden/>
    <w:unhideWhenUsed/>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Pr>
      <w:rFonts w:ascii="Tahoma" w:hAnsi="Tahoma" w:cs="Tahoma"/>
      <w:sz w:val="16"/>
      <w:szCs w:val="16"/>
    </w:rPr>
  </w:style>
  <w:style w:type="character" w:styleId="Hyperlink">
    <w:name w:val="Hyperlink"/>
    <w:basedOn w:val="Absatz-Standardschriftart"/>
    <w:uiPriority w:val="99"/>
    <w:unhideWhenUsed/>
    <w:rPr>
      <w:color w:val="0000FF" w:themeColor="hyperlink"/>
      <w:u w:val="single"/>
    </w:rPr>
  </w:style>
  <w:style w:type="paragraph" w:styleId="Funotentext">
    <w:name w:val="footnote text"/>
    <w:basedOn w:val="Standard"/>
    <w:link w:val="FunotentextZchn"/>
    <w:uiPriority w:val="99"/>
    <w:pPr>
      <w:spacing w:after="200" w:line="276" w:lineRule="auto"/>
    </w:pPr>
    <w:rPr>
      <w:sz w:val="22"/>
    </w:rPr>
  </w:style>
  <w:style w:type="character" w:customStyle="1" w:styleId="FunotentextZchn">
    <w:name w:val="Fußnotentext Zchn"/>
    <w:basedOn w:val="Absatz-Standardschriftart"/>
    <w:link w:val="Funotentext"/>
    <w:uiPriority w:val="99"/>
  </w:style>
  <w:style w:type="paragraph" w:customStyle="1" w:styleId="eManualAufzhlunga">
    <w:name w:val="eManual Aufzählung a"/>
    <w:aliases w:val="b"/>
    <w:basedOn w:val="Standard"/>
    <w:uiPriority w:val="99"/>
    <w:pPr>
      <w:numPr>
        <w:numId w:val="6"/>
      </w:numPr>
      <w:spacing w:after="200" w:line="360" w:lineRule="atLeast"/>
      <w:jc w:val="both"/>
    </w:pPr>
    <w:rPr>
      <w:rFonts w:cs="Arial"/>
      <w:sz w:val="22"/>
    </w:rPr>
  </w:style>
  <w:style w:type="character" w:styleId="Funotenzeichen">
    <w:name w:val="footnote reference"/>
    <w:basedOn w:val="Absatz-Standardschriftart"/>
    <w:uiPriority w:val="99"/>
    <w:unhideWhenUsed/>
    <w:rPr>
      <w:vertAlign w:val="superscript"/>
    </w:rPr>
  </w:style>
  <w:style w:type="character" w:customStyle="1" w:styleId="berschrift7Zchn">
    <w:name w:val="Überschrift 7 Zchn"/>
    <w:basedOn w:val="Absatz-Standardschriftart"/>
    <w:link w:val="berschrift7"/>
  </w:style>
  <w:style w:type="character" w:customStyle="1" w:styleId="berschrift8Zchn">
    <w:name w:val="Überschrift 8 Zchn"/>
    <w:basedOn w:val="Absatz-Standardschriftart"/>
    <w:link w:val="berschrift8"/>
    <w:rPr>
      <w:i/>
      <w:iCs/>
      <w:szCs w:val="24"/>
    </w:rPr>
  </w:style>
  <w:style w:type="character" w:customStyle="1" w:styleId="berschrift9Zchn">
    <w:name w:val="Überschrift 9 Zchn"/>
    <w:basedOn w:val="Absatz-Standardschriftart"/>
    <w:link w:val="berschrift9"/>
    <w:rPr>
      <w:rFonts w:cs="Arial"/>
    </w:rPr>
  </w:style>
  <w:style w:type="character" w:styleId="BesuchterLink">
    <w:name w:val="FollowedHyperlink"/>
    <w:basedOn w:val="Absatz-Standardschriftart"/>
    <w:uiPriority w:val="99"/>
    <w:semiHidden/>
    <w:unhideWhenUsed/>
    <w:rPr>
      <w:color w:val="800080" w:themeColor="followedHyperlink"/>
      <w:u w:val="single"/>
    </w:rPr>
  </w:style>
  <w:style w:type="paragraph" w:styleId="StandardWeb">
    <w:name w:val="Normal (Web)"/>
    <w:basedOn w:val="Standard"/>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hyperlink1">
    <w:name w:val="hyperlink1"/>
    <w:basedOn w:val="Absatz-Standardschriftart"/>
    <w:rPr>
      <w:strike w:val="0"/>
      <w:dstrike w:val="0"/>
      <w:color w:val="990000"/>
      <w:u w:val="none"/>
      <w:effect w:val="none"/>
    </w:rPr>
  </w:style>
  <w:style w:type="paragraph" w:customStyle="1" w:styleId="Default">
    <w:name w:val="Default"/>
    <w:pPr>
      <w:autoSpaceDE w:val="0"/>
      <w:autoSpaceDN w:val="0"/>
      <w:adjustRightInd w:val="0"/>
      <w:spacing w:after="0" w:line="240" w:lineRule="auto"/>
    </w:pPr>
    <w:rPr>
      <w:rFonts w:cs="Arial"/>
      <w:color w:val="000000"/>
      <w:sz w:val="24"/>
      <w:szCs w:val="24"/>
    </w:rPr>
  </w:style>
  <w:style w:type="table" w:customStyle="1" w:styleId="HighlightBoxStone351">
    <w:name w:val="Highlight_Box_Stone 35%1"/>
    <w:basedOn w:val="NormaleTabelle"/>
    <w:next w:val="Tabellenraster"/>
    <w:uiPriority w:val="59"/>
    <w:pPr>
      <w:spacing w:after="0" w:line="240" w:lineRule="auto"/>
    </w:pPr>
    <w:rPr>
      <w:color w:val="006487" w:themeColor="accent3"/>
      <w:sz w:val="20"/>
    </w:rPr>
    <w:tblPr>
      <w:tblCellMar>
        <w:top w:w="340" w:type="dxa"/>
        <w:left w:w="340" w:type="dxa"/>
        <w:bottom w:w="227" w:type="dxa"/>
        <w:right w:w="454" w:type="dxa"/>
      </w:tblCellMar>
    </w:tblPr>
    <w:tcPr>
      <w:shd w:val="clear" w:color="auto" w:fill="F2F5F7" w:themeFill="background2" w:themeFillTint="33"/>
    </w:tcPr>
  </w:style>
  <w:style w:type="character" w:customStyle="1" w:styleId="NichtaufgelsteErwhnung1">
    <w:name w:val="Nicht aufgelöste Erwähnung1"/>
    <w:basedOn w:val="Absatz-Standardschriftart"/>
    <w:uiPriority w:val="99"/>
    <w:semiHidden/>
    <w:unhideWhenUsed/>
    <w:rsid w:val="00733A27"/>
    <w:rPr>
      <w:color w:val="605E5C"/>
      <w:shd w:val="clear" w:color="auto" w:fill="E1DFDD"/>
    </w:rPr>
  </w:style>
  <w:style w:type="character" w:customStyle="1" w:styleId="NichtaufgelsteErwhnung2">
    <w:name w:val="Nicht aufgelöste Erwähnung2"/>
    <w:basedOn w:val="Absatz-Standardschriftart"/>
    <w:uiPriority w:val="99"/>
    <w:semiHidden/>
    <w:unhideWhenUsed/>
    <w:rsid w:val="0004616E"/>
    <w:rPr>
      <w:color w:val="605E5C"/>
      <w:shd w:val="clear" w:color="auto" w:fill="E1DFDD"/>
    </w:rPr>
  </w:style>
  <w:style w:type="character" w:styleId="NichtaufgelsteErwhnung">
    <w:name w:val="Unresolved Mention"/>
    <w:basedOn w:val="Absatz-Standardschriftart"/>
    <w:uiPriority w:val="99"/>
    <w:semiHidden/>
    <w:unhideWhenUsed/>
    <w:rsid w:val="001B26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447643">
      <w:bodyDiv w:val="1"/>
      <w:marLeft w:val="0"/>
      <w:marRight w:val="0"/>
      <w:marTop w:val="0"/>
      <w:marBottom w:val="0"/>
      <w:divBdr>
        <w:top w:val="none" w:sz="0" w:space="0" w:color="auto"/>
        <w:left w:val="none" w:sz="0" w:space="0" w:color="auto"/>
        <w:bottom w:val="none" w:sz="0" w:space="0" w:color="auto"/>
        <w:right w:val="none" w:sz="0" w:space="0" w:color="auto"/>
      </w:divBdr>
    </w:div>
    <w:div w:id="210266944">
      <w:bodyDiv w:val="1"/>
      <w:marLeft w:val="0"/>
      <w:marRight w:val="0"/>
      <w:marTop w:val="0"/>
      <w:marBottom w:val="0"/>
      <w:divBdr>
        <w:top w:val="none" w:sz="0" w:space="0" w:color="auto"/>
        <w:left w:val="none" w:sz="0" w:space="0" w:color="auto"/>
        <w:bottom w:val="none" w:sz="0" w:space="0" w:color="auto"/>
        <w:right w:val="none" w:sz="0" w:space="0" w:color="auto"/>
      </w:divBdr>
    </w:div>
    <w:div w:id="240414425">
      <w:bodyDiv w:val="1"/>
      <w:marLeft w:val="0"/>
      <w:marRight w:val="0"/>
      <w:marTop w:val="0"/>
      <w:marBottom w:val="0"/>
      <w:divBdr>
        <w:top w:val="none" w:sz="0" w:space="0" w:color="auto"/>
        <w:left w:val="none" w:sz="0" w:space="0" w:color="auto"/>
        <w:bottom w:val="none" w:sz="0" w:space="0" w:color="auto"/>
        <w:right w:val="none" w:sz="0" w:space="0" w:color="auto"/>
      </w:divBdr>
      <w:divsChild>
        <w:div w:id="2035229725">
          <w:marLeft w:val="0"/>
          <w:marRight w:val="0"/>
          <w:marTop w:val="0"/>
          <w:marBottom w:val="0"/>
          <w:divBdr>
            <w:top w:val="none" w:sz="0" w:space="0" w:color="auto"/>
            <w:left w:val="none" w:sz="0" w:space="0" w:color="auto"/>
            <w:bottom w:val="none" w:sz="0" w:space="0" w:color="auto"/>
            <w:right w:val="none" w:sz="0" w:space="0" w:color="auto"/>
          </w:divBdr>
          <w:divsChild>
            <w:div w:id="1054737435">
              <w:marLeft w:val="0"/>
              <w:marRight w:val="0"/>
              <w:marTop w:val="0"/>
              <w:marBottom w:val="0"/>
              <w:divBdr>
                <w:top w:val="none" w:sz="0" w:space="0" w:color="auto"/>
                <w:left w:val="none" w:sz="0" w:space="0" w:color="auto"/>
                <w:bottom w:val="none" w:sz="0" w:space="0" w:color="auto"/>
                <w:right w:val="none" w:sz="0" w:space="0" w:color="auto"/>
              </w:divBdr>
              <w:divsChild>
                <w:div w:id="2056736802">
                  <w:marLeft w:val="2256"/>
                  <w:marRight w:val="2040"/>
                  <w:marTop w:val="0"/>
                  <w:marBottom w:val="0"/>
                  <w:divBdr>
                    <w:top w:val="none" w:sz="0" w:space="0" w:color="auto"/>
                    <w:left w:val="none" w:sz="0" w:space="0" w:color="auto"/>
                    <w:bottom w:val="none" w:sz="0" w:space="0" w:color="auto"/>
                    <w:right w:val="none" w:sz="0" w:space="0" w:color="auto"/>
                  </w:divBdr>
                  <w:divsChild>
                    <w:div w:id="892041608">
                      <w:marLeft w:val="0"/>
                      <w:marRight w:val="0"/>
                      <w:marTop w:val="0"/>
                      <w:marBottom w:val="0"/>
                      <w:divBdr>
                        <w:top w:val="none" w:sz="0" w:space="0" w:color="auto"/>
                        <w:left w:val="none" w:sz="0" w:space="0" w:color="auto"/>
                        <w:bottom w:val="none" w:sz="0" w:space="0" w:color="auto"/>
                        <w:right w:val="none" w:sz="0" w:space="0" w:color="auto"/>
                      </w:divBdr>
                      <w:divsChild>
                        <w:div w:id="1487166322">
                          <w:marLeft w:val="0"/>
                          <w:marRight w:val="0"/>
                          <w:marTop w:val="0"/>
                          <w:marBottom w:val="0"/>
                          <w:divBdr>
                            <w:top w:val="none" w:sz="0" w:space="0" w:color="auto"/>
                            <w:left w:val="none" w:sz="0" w:space="0" w:color="auto"/>
                            <w:bottom w:val="none" w:sz="0" w:space="0" w:color="auto"/>
                            <w:right w:val="none" w:sz="0" w:space="0" w:color="auto"/>
                          </w:divBdr>
                          <w:divsChild>
                            <w:div w:id="654604932">
                              <w:marLeft w:val="0"/>
                              <w:marRight w:val="0"/>
                              <w:marTop w:val="0"/>
                              <w:marBottom w:val="48"/>
                              <w:divBdr>
                                <w:top w:val="single" w:sz="4" w:space="0" w:color="000000"/>
                                <w:left w:val="single" w:sz="4" w:space="0" w:color="000000"/>
                                <w:bottom w:val="single" w:sz="4" w:space="0" w:color="000000"/>
                                <w:right w:val="single" w:sz="4" w:space="0" w:color="000000"/>
                              </w:divBdr>
                            </w:div>
                          </w:divsChild>
                        </w:div>
                      </w:divsChild>
                    </w:div>
                  </w:divsChild>
                </w:div>
              </w:divsChild>
            </w:div>
          </w:divsChild>
        </w:div>
      </w:divsChild>
    </w:div>
    <w:div w:id="255328333">
      <w:bodyDiv w:val="1"/>
      <w:marLeft w:val="0"/>
      <w:marRight w:val="0"/>
      <w:marTop w:val="0"/>
      <w:marBottom w:val="0"/>
      <w:divBdr>
        <w:top w:val="none" w:sz="0" w:space="0" w:color="auto"/>
        <w:left w:val="none" w:sz="0" w:space="0" w:color="auto"/>
        <w:bottom w:val="none" w:sz="0" w:space="0" w:color="auto"/>
        <w:right w:val="none" w:sz="0" w:space="0" w:color="auto"/>
      </w:divBdr>
    </w:div>
    <w:div w:id="273367605">
      <w:bodyDiv w:val="1"/>
      <w:marLeft w:val="0"/>
      <w:marRight w:val="0"/>
      <w:marTop w:val="0"/>
      <w:marBottom w:val="0"/>
      <w:divBdr>
        <w:top w:val="none" w:sz="0" w:space="0" w:color="auto"/>
        <w:left w:val="none" w:sz="0" w:space="0" w:color="auto"/>
        <w:bottom w:val="none" w:sz="0" w:space="0" w:color="auto"/>
        <w:right w:val="none" w:sz="0" w:space="0" w:color="auto"/>
      </w:divBdr>
    </w:div>
    <w:div w:id="442727095">
      <w:bodyDiv w:val="1"/>
      <w:marLeft w:val="0"/>
      <w:marRight w:val="0"/>
      <w:marTop w:val="0"/>
      <w:marBottom w:val="0"/>
      <w:divBdr>
        <w:top w:val="none" w:sz="0" w:space="0" w:color="auto"/>
        <w:left w:val="none" w:sz="0" w:space="0" w:color="auto"/>
        <w:bottom w:val="none" w:sz="0" w:space="0" w:color="auto"/>
        <w:right w:val="none" w:sz="0" w:space="0" w:color="auto"/>
      </w:divBdr>
    </w:div>
    <w:div w:id="479007247">
      <w:bodyDiv w:val="1"/>
      <w:marLeft w:val="0"/>
      <w:marRight w:val="0"/>
      <w:marTop w:val="0"/>
      <w:marBottom w:val="0"/>
      <w:divBdr>
        <w:top w:val="none" w:sz="0" w:space="0" w:color="auto"/>
        <w:left w:val="none" w:sz="0" w:space="0" w:color="auto"/>
        <w:bottom w:val="none" w:sz="0" w:space="0" w:color="auto"/>
        <w:right w:val="none" w:sz="0" w:space="0" w:color="auto"/>
      </w:divBdr>
    </w:div>
    <w:div w:id="516888141">
      <w:bodyDiv w:val="1"/>
      <w:marLeft w:val="0"/>
      <w:marRight w:val="0"/>
      <w:marTop w:val="0"/>
      <w:marBottom w:val="0"/>
      <w:divBdr>
        <w:top w:val="none" w:sz="0" w:space="0" w:color="auto"/>
        <w:left w:val="none" w:sz="0" w:space="0" w:color="auto"/>
        <w:bottom w:val="none" w:sz="0" w:space="0" w:color="auto"/>
        <w:right w:val="none" w:sz="0" w:space="0" w:color="auto"/>
      </w:divBdr>
    </w:div>
    <w:div w:id="569120146">
      <w:bodyDiv w:val="1"/>
      <w:marLeft w:val="0"/>
      <w:marRight w:val="0"/>
      <w:marTop w:val="0"/>
      <w:marBottom w:val="0"/>
      <w:divBdr>
        <w:top w:val="none" w:sz="0" w:space="0" w:color="auto"/>
        <w:left w:val="none" w:sz="0" w:space="0" w:color="auto"/>
        <w:bottom w:val="none" w:sz="0" w:space="0" w:color="auto"/>
        <w:right w:val="none" w:sz="0" w:space="0" w:color="auto"/>
      </w:divBdr>
    </w:div>
    <w:div w:id="571505550">
      <w:bodyDiv w:val="1"/>
      <w:marLeft w:val="0"/>
      <w:marRight w:val="0"/>
      <w:marTop w:val="0"/>
      <w:marBottom w:val="0"/>
      <w:divBdr>
        <w:top w:val="none" w:sz="0" w:space="0" w:color="auto"/>
        <w:left w:val="none" w:sz="0" w:space="0" w:color="auto"/>
        <w:bottom w:val="none" w:sz="0" w:space="0" w:color="auto"/>
        <w:right w:val="none" w:sz="0" w:space="0" w:color="auto"/>
      </w:divBdr>
    </w:div>
    <w:div w:id="594748644">
      <w:bodyDiv w:val="1"/>
      <w:marLeft w:val="0"/>
      <w:marRight w:val="0"/>
      <w:marTop w:val="0"/>
      <w:marBottom w:val="0"/>
      <w:divBdr>
        <w:top w:val="none" w:sz="0" w:space="0" w:color="auto"/>
        <w:left w:val="none" w:sz="0" w:space="0" w:color="auto"/>
        <w:bottom w:val="none" w:sz="0" w:space="0" w:color="auto"/>
        <w:right w:val="none" w:sz="0" w:space="0" w:color="auto"/>
      </w:divBdr>
    </w:div>
    <w:div w:id="858396688">
      <w:bodyDiv w:val="1"/>
      <w:marLeft w:val="0"/>
      <w:marRight w:val="0"/>
      <w:marTop w:val="0"/>
      <w:marBottom w:val="0"/>
      <w:divBdr>
        <w:top w:val="none" w:sz="0" w:space="0" w:color="auto"/>
        <w:left w:val="none" w:sz="0" w:space="0" w:color="auto"/>
        <w:bottom w:val="none" w:sz="0" w:space="0" w:color="auto"/>
        <w:right w:val="none" w:sz="0" w:space="0" w:color="auto"/>
      </w:divBdr>
    </w:div>
    <w:div w:id="897865609">
      <w:bodyDiv w:val="1"/>
      <w:marLeft w:val="0"/>
      <w:marRight w:val="0"/>
      <w:marTop w:val="0"/>
      <w:marBottom w:val="0"/>
      <w:divBdr>
        <w:top w:val="none" w:sz="0" w:space="0" w:color="auto"/>
        <w:left w:val="none" w:sz="0" w:space="0" w:color="auto"/>
        <w:bottom w:val="none" w:sz="0" w:space="0" w:color="auto"/>
        <w:right w:val="none" w:sz="0" w:space="0" w:color="auto"/>
      </w:divBdr>
    </w:div>
    <w:div w:id="995955836">
      <w:bodyDiv w:val="1"/>
      <w:marLeft w:val="0"/>
      <w:marRight w:val="0"/>
      <w:marTop w:val="0"/>
      <w:marBottom w:val="0"/>
      <w:divBdr>
        <w:top w:val="none" w:sz="0" w:space="0" w:color="auto"/>
        <w:left w:val="none" w:sz="0" w:space="0" w:color="auto"/>
        <w:bottom w:val="none" w:sz="0" w:space="0" w:color="auto"/>
        <w:right w:val="none" w:sz="0" w:space="0" w:color="auto"/>
      </w:divBdr>
    </w:div>
    <w:div w:id="1178738425">
      <w:bodyDiv w:val="1"/>
      <w:marLeft w:val="0"/>
      <w:marRight w:val="0"/>
      <w:marTop w:val="0"/>
      <w:marBottom w:val="0"/>
      <w:divBdr>
        <w:top w:val="none" w:sz="0" w:space="0" w:color="auto"/>
        <w:left w:val="none" w:sz="0" w:space="0" w:color="auto"/>
        <w:bottom w:val="none" w:sz="0" w:space="0" w:color="auto"/>
        <w:right w:val="none" w:sz="0" w:space="0" w:color="auto"/>
      </w:divBdr>
    </w:div>
    <w:div w:id="1264148388">
      <w:bodyDiv w:val="1"/>
      <w:marLeft w:val="0"/>
      <w:marRight w:val="0"/>
      <w:marTop w:val="0"/>
      <w:marBottom w:val="0"/>
      <w:divBdr>
        <w:top w:val="none" w:sz="0" w:space="0" w:color="auto"/>
        <w:left w:val="none" w:sz="0" w:space="0" w:color="auto"/>
        <w:bottom w:val="none" w:sz="0" w:space="0" w:color="auto"/>
        <w:right w:val="none" w:sz="0" w:space="0" w:color="auto"/>
      </w:divBdr>
      <w:divsChild>
        <w:div w:id="1591814689">
          <w:marLeft w:val="0"/>
          <w:marRight w:val="0"/>
          <w:marTop w:val="0"/>
          <w:marBottom w:val="0"/>
          <w:divBdr>
            <w:top w:val="none" w:sz="0" w:space="0" w:color="auto"/>
            <w:left w:val="none" w:sz="0" w:space="0" w:color="auto"/>
            <w:bottom w:val="none" w:sz="0" w:space="0" w:color="auto"/>
            <w:right w:val="none" w:sz="0" w:space="0" w:color="auto"/>
          </w:divBdr>
          <w:divsChild>
            <w:div w:id="4870149">
              <w:marLeft w:val="0"/>
              <w:marRight w:val="0"/>
              <w:marTop w:val="0"/>
              <w:marBottom w:val="0"/>
              <w:divBdr>
                <w:top w:val="none" w:sz="0" w:space="0" w:color="auto"/>
                <w:left w:val="none" w:sz="0" w:space="0" w:color="auto"/>
                <w:bottom w:val="none" w:sz="0" w:space="0" w:color="auto"/>
                <w:right w:val="none" w:sz="0" w:space="0" w:color="auto"/>
              </w:divBdr>
              <w:divsChild>
                <w:div w:id="1479758987">
                  <w:marLeft w:val="0"/>
                  <w:marRight w:val="0"/>
                  <w:marTop w:val="0"/>
                  <w:marBottom w:val="0"/>
                  <w:divBdr>
                    <w:top w:val="none" w:sz="0" w:space="0" w:color="auto"/>
                    <w:left w:val="none" w:sz="0" w:space="0" w:color="auto"/>
                    <w:bottom w:val="none" w:sz="0" w:space="0" w:color="auto"/>
                    <w:right w:val="none" w:sz="0" w:space="0" w:color="auto"/>
                  </w:divBdr>
                  <w:divsChild>
                    <w:div w:id="311561713">
                      <w:marLeft w:val="0"/>
                      <w:marRight w:val="0"/>
                      <w:marTop w:val="0"/>
                      <w:marBottom w:val="0"/>
                      <w:divBdr>
                        <w:top w:val="none" w:sz="0" w:space="0" w:color="auto"/>
                        <w:left w:val="none" w:sz="0" w:space="0" w:color="auto"/>
                        <w:bottom w:val="none" w:sz="0" w:space="0" w:color="auto"/>
                        <w:right w:val="none" w:sz="0" w:space="0" w:color="auto"/>
                      </w:divBdr>
                      <w:divsChild>
                        <w:div w:id="2130539652">
                          <w:marLeft w:val="0"/>
                          <w:marRight w:val="0"/>
                          <w:marTop w:val="0"/>
                          <w:marBottom w:val="0"/>
                          <w:divBdr>
                            <w:top w:val="none" w:sz="0" w:space="0" w:color="auto"/>
                            <w:left w:val="none" w:sz="0" w:space="0" w:color="auto"/>
                            <w:bottom w:val="none" w:sz="0" w:space="0" w:color="auto"/>
                            <w:right w:val="none" w:sz="0" w:space="0" w:color="auto"/>
                          </w:divBdr>
                          <w:divsChild>
                            <w:div w:id="543560712">
                              <w:marLeft w:val="0"/>
                              <w:marRight w:val="0"/>
                              <w:marTop w:val="0"/>
                              <w:marBottom w:val="0"/>
                              <w:divBdr>
                                <w:top w:val="none" w:sz="0" w:space="0" w:color="auto"/>
                                <w:left w:val="none" w:sz="0" w:space="0" w:color="auto"/>
                                <w:bottom w:val="none" w:sz="0" w:space="0" w:color="auto"/>
                                <w:right w:val="none" w:sz="0" w:space="0" w:color="auto"/>
                              </w:divBdr>
                              <w:divsChild>
                                <w:div w:id="434789326">
                                  <w:marLeft w:val="0"/>
                                  <w:marRight w:val="0"/>
                                  <w:marTop w:val="0"/>
                                  <w:marBottom w:val="0"/>
                                  <w:divBdr>
                                    <w:top w:val="none" w:sz="0" w:space="0" w:color="auto"/>
                                    <w:left w:val="none" w:sz="0" w:space="0" w:color="auto"/>
                                    <w:bottom w:val="none" w:sz="0" w:space="0" w:color="auto"/>
                                    <w:right w:val="none" w:sz="0" w:space="0" w:color="auto"/>
                                  </w:divBdr>
                                  <w:divsChild>
                                    <w:div w:id="1349866979">
                                      <w:marLeft w:val="0"/>
                                      <w:marRight w:val="0"/>
                                      <w:marTop w:val="0"/>
                                      <w:marBottom w:val="0"/>
                                      <w:divBdr>
                                        <w:top w:val="none" w:sz="0" w:space="0" w:color="auto"/>
                                        <w:left w:val="none" w:sz="0" w:space="0" w:color="auto"/>
                                        <w:bottom w:val="none" w:sz="0" w:space="0" w:color="auto"/>
                                        <w:right w:val="none" w:sz="0" w:space="0" w:color="auto"/>
                                      </w:divBdr>
                                      <w:divsChild>
                                        <w:div w:id="84963581">
                                          <w:marLeft w:val="0"/>
                                          <w:marRight w:val="0"/>
                                          <w:marTop w:val="0"/>
                                          <w:marBottom w:val="0"/>
                                          <w:divBdr>
                                            <w:top w:val="none" w:sz="0" w:space="0" w:color="auto"/>
                                            <w:left w:val="none" w:sz="0" w:space="0" w:color="auto"/>
                                            <w:bottom w:val="none" w:sz="0" w:space="0" w:color="auto"/>
                                            <w:right w:val="none" w:sz="0" w:space="0" w:color="auto"/>
                                          </w:divBdr>
                                          <w:divsChild>
                                            <w:div w:id="586814916">
                                              <w:marLeft w:val="0"/>
                                              <w:marRight w:val="0"/>
                                              <w:marTop w:val="0"/>
                                              <w:marBottom w:val="0"/>
                                              <w:divBdr>
                                                <w:top w:val="none" w:sz="0" w:space="0" w:color="auto"/>
                                                <w:left w:val="none" w:sz="0" w:space="0" w:color="auto"/>
                                                <w:bottom w:val="none" w:sz="0" w:space="0" w:color="auto"/>
                                                <w:right w:val="none" w:sz="0" w:space="0" w:color="auto"/>
                                              </w:divBdr>
                                              <w:divsChild>
                                                <w:div w:id="219247301">
                                                  <w:marLeft w:val="0"/>
                                                  <w:marRight w:val="0"/>
                                                  <w:marTop w:val="0"/>
                                                  <w:marBottom w:val="0"/>
                                                  <w:divBdr>
                                                    <w:top w:val="none" w:sz="0" w:space="0" w:color="auto"/>
                                                    <w:left w:val="none" w:sz="0" w:space="0" w:color="auto"/>
                                                    <w:bottom w:val="none" w:sz="0" w:space="0" w:color="auto"/>
                                                    <w:right w:val="none" w:sz="0" w:space="0" w:color="auto"/>
                                                  </w:divBdr>
                                                  <w:divsChild>
                                                    <w:div w:id="989358721">
                                                      <w:marLeft w:val="0"/>
                                                      <w:marRight w:val="0"/>
                                                      <w:marTop w:val="0"/>
                                                      <w:marBottom w:val="0"/>
                                                      <w:divBdr>
                                                        <w:top w:val="none" w:sz="0" w:space="0" w:color="auto"/>
                                                        <w:left w:val="none" w:sz="0" w:space="0" w:color="auto"/>
                                                        <w:bottom w:val="none" w:sz="0" w:space="0" w:color="auto"/>
                                                        <w:right w:val="none" w:sz="0" w:space="0" w:color="auto"/>
                                                      </w:divBdr>
                                                      <w:divsChild>
                                                        <w:div w:id="1194463785">
                                                          <w:marLeft w:val="0"/>
                                                          <w:marRight w:val="0"/>
                                                          <w:marTop w:val="0"/>
                                                          <w:marBottom w:val="0"/>
                                                          <w:divBdr>
                                                            <w:top w:val="none" w:sz="0" w:space="0" w:color="auto"/>
                                                            <w:left w:val="none" w:sz="0" w:space="0" w:color="auto"/>
                                                            <w:bottom w:val="none" w:sz="0" w:space="0" w:color="auto"/>
                                                            <w:right w:val="none" w:sz="0" w:space="0" w:color="auto"/>
                                                          </w:divBdr>
                                                          <w:divsChild>
                                                            <w:div w:id="966744351">
                                                              <w:marLeft w:val="0"/>
                                                              <w:marRight w:val="0"/>
                                                              <w:marTop w:val="0"/>
                                                              <w:marBottom w:val="0"/>
                                                              <w:divBdr>
                                                                <w:top w:val="none" w:sz="0" w:space="0" w:color="auto"/>
                                                                <w:left w:val="none" w:sz="0" w:space="0" w:color="auto"/>
                                                                <w:bottom w:val="none" w:sz="0" w:space="0" w:color="auto"/>
                                                                <w:right w:val="none" w:sz="0" w:space="0" w:color="auto"/>
                                                              </w:divBdr>
                                                            </w:div>
                                                            <w:div w:id="100062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81457539">
      <w:bodyDiv w:val="1"/>
      <w:marLeft w:val="0"/>
      <w:marRight w:val="0"/>
      <w:marTop w:val="0"/>
      <w:marBottom w:val="0"/>
      <w:divBdr>
        <w:top w:val="none" w:sz="0" w:space="0" w:color="auto"/>
        <w:left w:val="none" w:sz="0" w:space="0" w:color="auto"/>
        <w:bottom w:val="none" w:sz="0" w:space="0" w:color="auto"/>
        <w:right w:val="none" w:sz="0" w:space="0" w:color="auto"/>
      </w:divBdr>
      <w:divsChild>
        <w:div w:id="693503592">
          <w:marLeft w:val="0"/>
          <w:marRight w:val="0"/>
          <w:marTop w:val="100"/>
          <w:marBottom w:val="100"/>
          <w:divBdr>
            <w:top w:val="none" w:sz="0" w:space="0" w:color="auto"/>
            <w:left w:val="none" w:sz="0" w:space="0" w:color="auto"/>
            <w:bottom w:val="none" w:sz="0" w:space="0" w:color="auto"/>
            <w:right w:val="none" w:sz="0" w:space="0" w:color="auto"/>
          </w:divBdr>
          <w:divsChild>
            <w:div w:id="74614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752108">
      <w:bodyDiv w:val="1"/>
      <w:marLeft w:val="0"/>
      <w:marRight w:val="0"/>
      <w:marTop w:val="0"/>
      <w:marBottom w:val="0"/>
      <w:divBdr>
        <w:top w:val="none" w:sz="0" w:space="0" w:color="auto"/>
        <w:left w:val="none" w:sz="0" w:space="0" w:color="auto"/>
        <w:bottom w:val="none" w:sz="0" w:space="0" w:color="auto"/>
        <w:right w:val="none" w:sz="0" w:space="0" w:color="auto"/>
      </w:divBdr>
    </w:div>
    <w:div w:id="1462335536">
      <w:bodyDiv w:val="1"/>
      <w:marLeft w:val="0"/>
      <w:marRight w:val="0"/>
      <w:marTop w:val="0"/>
      <w:marBottom w:val="0"/>
      <w:divBdr>
        <w:top w:val="none" w:sz="0" w:space="0" w:color="auto"/>
        <w:left w:val="none" w:sz="0" w:space="0" w:color="auto"/>
        <w:bottom w:val="none" w:sz="0" w:space="0" w:color="auto"/>
        <w:right w:val="none" w:sz="0" w:space="0" w:color="auto"/>
      </w:divBdr>
    </w:div>
    <w:div w:id="1547448681">
      <w:bodyDiv w:val="1"/>
      <w:marLeft w:val="0"/>
      <w:marRight w:val="0"/>
      <w:marTop w:val="0"/>
      <w:marBottom w:val="0"/>
      <w:divBdr>
        <w:top w:val="none" w:sz="0" w:space="0" w:color="auto"/>
        <w:left w:val="none" w:sz="0" w:space="0" w:color="auto"/>
        <w:bottom w:val="none" w:sz="0" w:space="0" w:color="auto"/>
        <w:right w:val="none" w:sz="0" w:space="0" w:color="auto"/>
      </w:divBdr>
    </w:div>
    <w:div w:id="1592541342">
      <w:bodyDiv w:val="1"/>
      <w:marLeft w:val="0"/>
      <w:marRight w:val="0"/>
      <w:marTop w:val="0"/>
      <w:marBottom w:val="0"/>
      <w:divBdr>
        <w:top w:val="none" w:sz="0" w:space="0" w:color="auto"/>
        <w:left w:val="none" w:sz="0" w:space="0" w:color="auto"/>
        <w:bottom w:val="none" w:sz="0" w:space="0" w:color="auto"/>
        <w:right w:val="none" w:sz="0" w:space="0" w:color="auto"/>
      </w:divBdr>
    </w:div>
    <w:div w:id="1725564839">
      <w:bodyDiv w:val="1"/>
      <w:marLeft w:val="0"/>
      <w:marRight w:val="0"/>
      <w:marTop w:val="0"/>
      <w:marBottom w:val="0"/>
      <w:divBdr>
        <w:top w:val="none" w:sz="0" w:space="0" w:color="auto"/>
        <w:left w:val="none" w:sz="0" w:space="0" w:color="auto"/>
        <w:bottom w:val="none" w:sz="0" w:space="0" w:color="auto"/>
        <w:right w:val="none" w:sz="0" w:space="0" w:color="auto"/>
      </w:divBdr>
      <w:divsChild>
        <w:div w:id="1675911890">
          <w:marLeft w:val="562"/>
          <w:marRight w:val="0"/>
          <w:marTop w:val="0"/>
          <w:marBottom w:val="480"/>
          <w:divBdr>
            <w:top w:val="none" w:sz="0" w:space="0" w:color="auto"/>
            <w:left w:val="none" w:sz="0" w:space="0" w:color="auto"/>
            <w:bottom w:val="none" w:sz="0" w:space="0" w:color="auto"/>
            <w:right w:val="none" w:sz="0" w:space="0" w:color="auto"/>
          </w:divBdr>
        </w:div>
        <w:div w:id="788816425">
          <w:marLeft w:val="562"/>
          <w:marRight w:val="0"/>
          <w:marTop w:val="0"/>
          <w:marBottom w:val="480"/>
          <w:divBdr>
            <w:top w:val="none" w:sz="0" w:space="0" w:color="auto"/>
            <w:left w:val="none" w:sz="0" w:space="0" w:color="auto"/>
            <w:bottom w:val="none" w:sz="0" w:space="0" w:color="auto"/>
            <w:right w:val="none" w:sz="0" w:space="0" w:color="auto"/>
          </w:divBdr>
        </w:div>
      </w:divsChild>
    </w:div>
    <w:div w:id="2007660964">
      <w:bodyDiv w:val="1"/>
      <w:marLeft w:val="0"/>
      <w:marRight w:val="0"/>
      <w:marTop w:val="0"/>
      <w:marBottom w:val="0"/>
      <w:divBdr>
        <w:top w:val="none" w:sz="0" w:space="0" w:color="auto"/>
        <w:left w:val="none" w:sz="0" w:space="0" w:color="auto"/>
        <w:bottom w:val="none" w:sz="0" w:space="0" w:color="auto"/>
        <w:right w:val="none" w:sz="0" w:space="0" w:color="auto"/>
      </w:divBdr>
    </w:div>
    <w:div w:id="2083486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ompliance-tools.siemens.com/due-diligence/" TargetMode="External"/><Relationship Id="rId18" Type="http://schemas.openxmlformats.org/officeDocument/2006/relationships/hyperlink" Target="https://webbooks.siemens.com/public/LC/chen/index.htm?n=Part-1-Activity-Fields,C.-Anti-Money-Laundering-(AML),2.-AML-Due-Diligence" TargetMode="External"/><Relationship Id="rId26" Type="http://schemas.openxmlformats.org/officeDocument/2006/relationships/hyperlink" Target="https://webbooks.siemens.com/public/LC/chen/index.htm?n=Part-1-Activity-Fields,A.-Anti-Corruption,2.-Sponsoring,-Donations,-Memberships" TargetMode="Externa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ebbooks.siemens.com/public/LC/chen/index.htm?n=Part-1-Activity-Fields,A.-Anti-Corruption,4.-Cooperation-with-Business-Partners,A.-Relevance-for-Business,A.4.-Compliance-Due-Diligence-(CDD)" TargetMode="External"/><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webbooks.siemens.com/public/LC/chen/index.htm?n=Part-1-Activity-Fields,A.-Anti-Corruption,4.-Cooperation-with-Business-Partners,A.-Relevance-for-Business,A.4.-Compliance-Due-Diligence-(CDD)" TargetMode="External"/><Relationship Id="rId17" Type="http://schemas.openxmlformats.org/officeDocument/2006/relationships/hyperlink" Target="https://webbooks.siemens.com/public/LC/chen/index.htm?n=Part-1-Activity-Fields,C.-Anti-Money-Laundering-(AML),1.-AML-Red-Flags" TargetMode="External"/><Relationship Id="rId25" Type="http://schemas.openxmlformats.org/officeDocument/2006/relationships/hyperlink" Target="https://webbooks.siemens.com/public/LC/chen/index.htm?n=Part-1-Activity-Fields,A.-Anti-Corruption,1.-Gifts-and-Hospitality" TargetMode="External"/><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ebbooks.siemens.com/public/LC/chen/index.htm?n=Part-2-Business-Perspective,H.-Compliance-in-Business-Processes-and-Projects,1.-Compliance-in-Project-Business,1.3.-Compliance-in-project-execution,1.3.1.-Projects-in-scope" TargetMode="External"/><Relationship Id="rId20" Type="http://schemas.openxmlformats.org/officeDocument/2006/relationships/hyperlink" Target="https://webbooks.siemens.com/public/LC/chen/index.htm?n=Part-1-Activity-Fields,E.-Human-Rights,5.-Human-Rights-Project-Due-Diligence" TargetMode="External"/><Relationship Id="rId29" Type="http://schemas.openxmlformats.org/officeDocument/2006/relationships/hyperlink" Target="https://webbooks.siemens.com/public/LC/chen/index.htm?n=Part-2-Business-Perspective,H.-Compliance-in-Business-Processes-and-Projects,2.-Compliance-in-Procurement,2.2.-Code-of-Conduct,2.2.2.-Deviations-from-CoC:-Escalation-proces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regulations.siemens.com/content/sc/226/en" TargetMode="External"/><Relationship Id="rId24" Type="http://schemas.openxmlformats.org/officeDocument/2006/relationships/hyperlink" Target="https://intranet.for.siemens.com/wll/0067/en/9_apps/damex/gen/Pages/tab.aspx" TargetMode="External"/><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https://webbooks.siemens.com/public/LC/chen/index.htm?n=Part-2-Business-Perspective,H.-Compliance-in-Business-Processes-and-Projects,1.-Compliance-in-Project-Business" TargetMode="External"/><Relationship Id="rId23" Type="http://schemas.openxmlformats.org/officeDocument/2006/relationships/hyperlink" Target="https://webbooks.siemens.com/public/LC/chen/index.htm?n=Part-1-Activity-Fields,F.-Export-Control" TargetMode="External"/><Relationship Id="rId28" Type="http://schemas.openxmlformats.org/officeDocument/2006/relationships/hyperlink" Target="https://webbooks.siemens.com/public/LC/chen/index.htm?n=Part-2-Business-Perspective,H.-Compliance-in-Business-Processes-and-Projects,2.-Compliance-in-Procurement" TargetMode="External"/><Relationship Id="rId36"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yperlink" Target="https://webbooks.siemens.com/public/LC/chen/index.htm?n=Part-2-Business-Perspective,H.-Compliance-in-Business-Processes-and-Projects,1.-Compliance-in-Project-Business,1.2.-Compliance-in-project-sales,1.2.1.-Projects-in-scope-for-LoA-CRE" TargetMode="External"/><Relationship Id="rId31" Type="http://schemas.openxmlformats.org/officeDocument/2006/relationships/hyperlink" Target="https://scd.siemens.com/luz/IdentitySearch?cn=hamm-dueppe&amp;suchart=schnell&amp;utI=I&amp;utX=X&amp;utT=T&amp;rtH=H&amp;rtS=S&amp;rtZ=Z&amp;rtO=O&amp;rtAktiv=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ebbooks.siemens.com/public/LC/chen/index.htm?n=Part-1-Activity-Fields,A.-Anti-Corruption,4.-Cooperation-with-Business-Partners,B.-Relevance-only-for-Legal-and-Compliance,B.5.-Contract-Provisions" TargetMode="External"/><Relationship Id="rId22" Type="http://schemas.openxmlformats.org/officeDocument/2006/relationships/hyperlink" Target="https://webbooks.siemens.com/public/LC/chen/index.htm?n=Part-1-Activity-Fields,C.-Anti-Money-Laundering-(AML),2.-AML-Due-Diligence" TargetMode="External"/><Relationship Id="rId27" Type="http://schemas.openxmlformats.org/officeDocument/2006/relationships/hyperlink" Target="https://webbooks.siemens.com/public/LC/chen/index.htm?n=Part-1-Activity-Fields,A.-Anti-Corruption,4.-Conflict-of-interest,4.1.-Typical-constellations,5.1.3.-Relations-to-third-party-companies:-Investment" TargetMode="External"/><Relationship Id="rId30" Type="http://schemas.openxmlformats.org/officeDocument/2006/relationships/hyperlink" Target="https://intranet.for.siemens.com/cms/059/en/about/org/Pages/compliance_organization.aspx" TargetMode="External"/><Relationship Id="rId35"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003d9vu\AppData\Local\Microsoft\Windows\Temporary%20Internet%20Files\Content.Outlook\KT277LDL\SCL_140916_Legal_Handbook_Template_Lay07.dotx" TargetMode="External"/></Relationships>
</file>

<file path=word/theme/theme1.xml><?xml version="1.0" encoding="utf-8"?>
<a:theme xmlns:a="http://schemas.openxmlformats.org/drawingml/2006/main" name="SIM_newsletter">
  <a:themeElements>
    <a:clrScheme name="Siemens AG">
      <a:dk1>
        <a:sysClr val="windowText" lastClr="000000"/>
      </a:dk1>
      <a:lt1>
        <a:sysClr val="window" lastClr="FFFFFF"/>
      </a:lt1>
      <a:dk2>
        <a:srgbClr val="879BAA"/>
      </a:dk2>
      <a:lt2>
        <a:srgbClr val="BECDD7"/>
      </a:lt2>
      <a:accent1>
        <a:srgbClr val="AAAA96"/>
      </a:accent1>
      <a:accent2>
        <a:srgbClr val="D7D7CD"/>
      </a:accent2>
      <a:accent3>
        <a:srgbClr val="006487"/>
      </a:accent3>
      <a:accent4>
        <a:srgbClr val="647D2D"/>
      </a:accent4>
      <a:accent5>
        <a:srgbClr val="641946"/>
      </a:accent5>
      <a:accent6>
        <a:srgbClr val="EB780A"/>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ee1f5f8-4a5f-4619-969f-c34e20667274">
      <Value>96</Value>
    </TaxCatchAll>
    <MaintainPublication xmlns="91B9760D-53D8-425F-9F7F-8911CF84EED2">Publish</MaintainPublication>
    <nb766c42a6d34ad7b224884871f9394f xmlns="91b9760d-53d8-425f-9f7f-8911cf84eed2">
      <Terms xmlns="http://schemas.microsoft.com/office/infopath/2007/PartnerControls">
        <TermInfo xmlns="http://schemas.microsoft.com/office/infopath/2007/PartnerControls">
          <TermName xmlns="http://schemas.microsoft.com/office/infopath/2007/PartnerControls">H. Compliance in Business Processes and Projects</TermName>
          <TermId xmlns="http://schemas.microsoft.com/office/infopath/2007/PartnerControls">1973ca93-017d-444e-9a75-c9da93f4a188</TermId>
        </TermInfo>
      </Terms>
    </nb766c42a6d34ad7b224884871f9394f>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Source Library Content Type" ma:contentTypeID="0x010100DA792F68E16F46C1935D46987B61C0F50099EFCC051DBFF746BCEF6C3628588333" ma:contentTypeVersion="3" ma:contentTypeDescription="Source Library Content Type" ma:contentTypeScope="" ma:versionID="52b79649b671b7cf6b980e9492bceffc">
  <xsd:schema xmlns:xsd="http://www.w3.org/2001/XMLSchema" xmlns:xs="http://www.w3.org/2001/XMLSchema" xmlns:p="http://schemas.microsoft.com/office/2006/metadata/properties" xmlns:ns2="91B9760D-53D8-425F-9F7F-8911CF84EED2" xmlns:ns3="91b9760d-53d8-425f-9f7f-8911cf84eed2" xmlns:ns4="6ee1f5f8-4a5f-4619-969f-c34e20667274" targetNamespace="http://schemas.microsoft.com/office/2006/metadata/properties" ma:root="true" ma:fieldsID="ab9dd9530a4bae8b2da3ad282918049b" ns2:_="" ns3:_="" ns4:_="">
    <xsd:import namespace="91B9760D-53D8-425F-9F7F-8911CF84EED2"/>
    <xsd:import namespace="91b9760d-53d8-425f-9f7f-8911cf84eed2"/>
    <xsd:import namespace="6ee1f5f8-4a5f-4619-969f-c34e20667274"/>
    <xsd:element name="properties">
      <xsd:complexType>
        <xsd:sequence>
          <xsd:element name="documentManagement">
            <xsd:complexType>
              <xsd:all>
                <xsd:element ref="ns2:MaintainPublication"/>
                <xsd:element ref="ns3:nb766c42a6d34ad7b224884871f9394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B9760D-53D8-425F-9F7F-8911CF84EED2" elementFormDefault="qualified">
    <xsd:import namespace="http://schemas.microsoft.com/office/2006/documentManagement/types"/>
    <xsd:import namespace="http://schemas.microsoft.com/office/infopath/2007/PartnerControls"/>
    <xsd:element name="MaintainPublication" ma:index="9" ma:displayName="Maintain publication" ma:default="Publish" ma:format="Dropdown" ma:internalName="MaintainPublication">
      <xsd:simpleType>
        <xsd:restriction base="dms:Choice">
          <xsd:enumeration value="Publish"/>
          <xsd:enumeration value="Ignore"/>
          <xsd:enumeration value="Un-publish"/>
        </xsd:restriction>
      </xsd:simpleType>
    </xsd:element>
  </xsd:schema>
  <xsd:schema xmlns:xsd="http://www.w3.org/2001/XMLSchema" xmlns:xs="http://www.w3.org/2001/XMLSchema" xmlns:dms="http://schemas.microsoft.com/office/2006/documentManagement/types" xmlns:pc="http://schemas.microsoft.com/office/infopath/2007/PartnerControls" targetNamespace="91b9760d-53d8-425f-9f7f-8911cf84eed2" elementFormDefault="qualified">
    <xsd:import namespace="http://schemas.microsoft.com/office/2006/documentManagement/types"/>
    <xsd:import namespace="http://schemas.microsoft.com/office/infopath/2007/PartnerControls"/>
    <xsd:element name="nb766c42a6d34ad7b224884871f9394f" ma:index="11" nillable="true" ma:taxonomy="true" ma:internalName="nb766c42a6d34ad7b224884871f9394f" ma:taxonomyFieldName="TOC" ma:displayName="TOC" ma:default="" ma:fieldId="{7b766c42-a6d3-4ad7-b224-884871f9394f}" ma:sspId="407be2cf-81e9-4a29-bb69-6cc8cd970df2" ma:termSetId="fc876880-718d-4551-830e-d86cc8c7db11"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ee1f5f8-4a5f-4619-969f-c34e20667274"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d437966c-1784-403a-a85c-bfb82e633b6a}" ma:internalName="TaxCatchAll" ma:showField="CatchAllData" ma:web="6ee1f5f8-4a5f-4619-969f-c34e2066727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ma:index="8"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C5C410B-8DA4-4E57-8D14-A0D69B388DE0}">
  <ds:schemaRefs>
    <ds:schemaRef ds:uri="http://schemas.microsoft.com/office/2006/metadata/properties"/>
    <ds:schemaRef ds:uri="http://purl.org/dc/terms/"/>
    <ds:schemaRef ds:uri="http://schemas.microsoft.com/office/2006/documentManagement/types"/>
    <ds:schemaRef ds:uri="http://schemas.openxmlformats.org/package/2006/metadata/core-properties"/>
    <ds:schemaRef ds:uri="91b9760d-53d8-425f-9f7f-8911cf84eed2"/>
    <ds:schemaRef ds:uri="http://purl.org/dc/dcmitype/"/>
    <ds:schemaRef ds:uri="http://purl.org/dc/elements/1.1/"/>
    <ds:schemaRef ds:uri="91B9760D-53D8-425F-9F7F-8911CF84EED2"/>
    <ds:schemaRef ds:uri="http://schemas.microsoft.com/office/infopath/2007/PartnerControls"/>
    <ds:schemaRef ds:uri="6ee1f5f8-4a5f-4619-969f-c34e20667274"/>
    <ds:schemaRef ds:uri="http://www.w3.org/XML/1998/namespace"/>
  </ds:schemaRefs>
</ds:datastoreItem>
</file>

<file path=customXml/itemProps2.xml><?xml version="1.0" encoding="utf-8"?>
<ds:datastoreItem xmlns:ds="http://schemas.openxmlformats.org/officeDocument/2006/customXml" ds:itemID="{0103A294-6DB8-482F-941F-FA13E93123C8}">
  <ds:schemaRefs>
    <ds:schemaRef ds:uri="http://schemas.openxmlformats.org/officeDocument/2006/bibliography"/>
  </ds:schemaRefs>
</ds:datastoreItem>
</file>

<file path=customXml/itemProps3.xml><?xml version="1.0" encoding="utf-8"?>
<ds:datastoreItem xmlns:ds="http://schemas.openxmlformats.org/officeDocument/2006/customXml" ds:itemID="{39D0603C-76C2-46E2-BBB5-9E1035B1EC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B9760D-53D8-425F-9F7F-8911CF84EED2"/>
    <ds:schemaRef ds:uri="91b9760d-53d8-425f-9f7f-8911cf84eed2"/>
    <ds:schemaRef ds:uri="6ee1f5f8-4a5f-4619-969f-c34e206672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340680D-646E-4F44-BA00-04EB703E5B3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SCL_140916_Legal_Handbook_Template_Lay07.dotx</Template>
  <TotalTime>0</TotalTime>
  <Pages>5</Pages>
  <Words>1648</Words>
  <Characters>10384</Characters>
  <Application>Microsoft Office Word</Application>
  <DocSecurity>0</DocSecurity>
  <Lines>86</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Siemens AG</Company>
  <LinksUpToDate>false</LinksUpToDate>
  <CharactersWithSpaces>12008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Schieber, Franziska</dc:creator>
  <cp:keywords>C_Restricted</cp:keywords>
  <dc:description/>
  <cp:lastModifiedBy>Hamm-Dueppe, Yvonne (LC CO RFC LF)</cp:lastModifiedBy>
  <cp:revision>85</cp:revision>
  <cp:lastPrinted>2015-08-31T13:30:00Z</cp:lastPrinted>
  <dcterms:created xsi:type="dcterms:W3CDTF">2018-04-23T10:43:00Z</dcterms:created>
  <dcterms:modified xsi:type="dcterms:W3CDTF">2020-09-29T11:34:00Z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-1737067326</vt:i4>
  </property>
  <property fmtid="{D5CDD505-2E9C-101B-9397-08002B2CF9AE}" pid="3" name="_NewReviewCycle">
    <vt:lpwstr/>
  </property>
  <property fmtid="{D5CDD505-2E9C-101B-9397-08002B2CF9AE}" pid="4" name="_EmailSubject">
    <vt:lpwstr>Business Partner Web Book  |  Templates</vt:lpwstr>
  </property>
  <property fmtid="{D5CDD505-2E9C-101B-9397-08002B2CF9AE}" pid="5" name="_AuthorEmail">
    <vt:lpwstr>Joerg.Nullmeier@siemens.com</vt:lpwstr>
  </property>
  <property fmtid="{D5CDD505-2E9C-101B-9397-08002B2CF9AE}" pid="6" name="_AuthorEmailDisplayName">
    <vt:lpwstr>Nullmeier, Joerg (LC CB GF)</vt:lpwstr>
  </property>
  <property fmtid="{D5CDD505-2E9C-101B-9397-08002B2CF9AE}" pid="7" name="_PreviousAdHocReviewCycleID">
    <vt:i4>305844147</vt:i4>
  </property>
  <property fmtid="{D5CDD505-2E9C-101B-9397-08002B2CF9AE}" pid="8" name="ContentTypeId">
    <vt:lpwstr>0x010100DA792F68E16F46C1935D46987B61C0F50099EFCC051DBFF746BCEF6C3628588333</vt:lpwstr>
  </property>
  <property fmtid="{D5CDD505-2E9C-101B-9397-08002B2CF9AE}" pid="9" name="TOC">
    <vt:lpwstr>96;#H. Compliance in Business Processes and Projects|1973ca93-017d-444e-9a75-c9da93f4a188</vt:lpwstr>
  </property>
  <property fmtid="{D5CDD505-2E9C-101B-9397-08002B2CF9AE}" pid="10" name="_ReviewingToolsShownOnce">
    <vt:lpwstr/>
  </property>
  <property fmtid="{D5CDD505-2E9C-101B-9397-08002B2CF9AE}" pid="11" name="Document Confidentiality">
    <vt:lpwstr>Restricted</vt:lpwstr>
  </property>
  <property fmtid="{D5CDD505-2E9C-101B-9397-08002B2CF9AE}" pid="12" name="MSIP_Label_a59b6cd5-d141-4a33-8bf1-0ca04484304f_Enabled">
    <vt:lpwstr>true</vt:lpwstr>
  </property>
  <property fmtid="{D5CDD505-2E9C-101B-9397-08002B2CF9AE}" pid="13" name="MSIP_Label_a59b6cd5-d141-4a33-8bf1-0ca04484304f_SetDate">
    <vt:lpwstr>2020-09-24T13:29:03Z</vt:lpwstr>
  </property>
  <property fmtid="{D5CDD505-2E9C-101B-9397-08002B2CF9AE}" pid="14" name="MSIP_Label_a59b6cd5-d141-4a33-8bf1-0ca04484304f_Method">
    <vt:lpwstr>Standard</vt:lpwstr>
  </property>
  <property fmtid="{D5CDD505-2E9C-101B-9397-08002B2CF9AE}" pid="15" name="MSIP_Label_a59b6cd5-d141-4a33-8bf1-0ca04484304f_Name">
    <vt:lpwstr>restricted-default</vt:lpwstr>
  </property>
  <property fmtid="{D5CDD505-2E9C-101B-9397-08002B2CF9AE}" pid="16" name="MSIP_Label_a59b6cd5-d141-4a33-8bf1-0ca04484304f_SiteId">
    <vt:lpwstr>38ae3bcd-9579-4fd4-adda-b42e1495d55a</vt:lpwstr>
  </property>
  <property fmtid="{D5CDD505-2E9C-101B-9397-08002B2CF9AE}" pid="17" name="MSIP_Label_a59b6cd5-d141-4a33-8bf1-0ca04484304f_ActionId">
    <vt:lpwstr>eefb2195-2870-4c4c-8097-1101208dcc08</vt:lpwstr>
  </property>
  <property fmtid="{D5CDD505-2E9C-101B-9397-08002B2CF9AE}" pid="18" name="MSIP_Label_a59b6cd5-d141-4a33-8bf1-0ca04484304f_ContentBits">
    <vt:lpwstr>0</vt:lpwstr>
  </property>
  <property fmtid="{D5CDD505-2E9C-101B-9397-08002B2CF9AE}" pid="19" name="Document_Confidentiality">
    <vt:lpwstr>Restricted</vt:lpwstr>
  </property>
</Properties>
</file>