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4B10B" w14:textId="653E5CF4" w:rsidR="001B54EB" w:rsidRDefault="00973B28" w:rsidP="00973B28">
      <w:pPr>
        <w:rPr>
          <w:rFonts w:ascii="Times New Roman" w:hAnsi="Times New Roman" w:cs="Times New Roman"/>
          <w:color w:val="879BAA" w:themeColor="text2"/>
          <w:sz w:val="56"/>
          <w:szCs w:val="56"/>
          <w:lang w:val="en-GB"/>
        </w:rPr>
      </w:pPr>
      <w:bookmarkStart w:id="0" w:name="_Toc456708447"/>
      <w:r>
        <w:rPr>
          <w:rFonts w:ascii="Times New Roman" w:hAnsi="Times New Roman" w:cs="Times New Roman"/>
          <w:color w:val="879BAA" w:themeColor="text2"/>
          <w:sz w:val="56"/>
          <w:szCs w:val="56"/>
          <w:lang w:val="en-GB"/>
        </w:rPr>
        <w:t xml:space="preserve">2. </w:t>
      </w:r>
      <w:r w:rsidR="002913D4">
        <w:rPr>
          <w:rFonts w:ascii="Times New Roman" w:hAnsi="Times New Roman" w:cs="Times New Roman"/>
          <w:color w:val="879BAA" w:themeColor="text2"/>
          <w:sz w:val="56"/>
          <w:szCs w:val="56"/>
          <w:lang w:val="en-GB"/>
        </w:rPr>
        <w:t>Compliance Review Board</w:t>
      </w:r>
    </w:p>
    <w:p w14:paraId="27B15E0D" w14:textId="3D73A8DB" w:rsidR="00554757" w:rsidRDefault="002913D4">
      <w:r>
        <w:t>Management's responsibility also includes regularly and systematically reviewing and evaluating the effectiveness of the Compliance System in conjunction with the Compliance Officer in a Review Board</w:t>
      </w:r>
      <w:r w:rsidR="003F3D55">
        <w:t xml:space="preserve"> (see </w:t>
      </w:r>
      <w:hyperlink r:id="rId11" w:anchor="/c/fs8o2k" w:history="1">
        <w:r w:rsidR="003F3D55" w:rsidRPr="003F3D55">
          <w:rPr>
            <w:rStyle w:val="Hyperlink"/>
          </w:rPr>
          <w:t>SC 226 Management responsibility</w:t>
        </w:r>
      </w:hyperlink>
      <w:r w:rsidR="003F3D55">
        <w:t>)</w:t>
      </w:r>
      <w:r>
        <w:t xml:space="preserve">. </w:t>
      </w:r>
    </w:p>
    <w:p w14:paraId="1C44B10C" w14:textId="74A2317C" w:rsidR="001B54EB" w:rsidRDefault="002913D4">
      <w:r>
        <w:t>The “Compliance Review Board” (CRB) must be performed by</w:t>
      </w:r>
      <w:r w:rsidR="00020D0B">
        <w:t xml:space="preserve"> </w:t>
      </w:r>
      <w:r w:rsidR="007F0EDD" w:rsidRPr="007F0EDD">
        <w:rPr>
          <w:rFonts w:cs="Arial"/>
        </w:rPr>
        <w:t>C</w:t>
      </w:r>
      <w:r w:rsidR="007F0EDD">
        <w:rPr>
          <w:rFonts w:cs="Arial"/>
        </w:rPr>
        <w:t>O</w:t>
      </w:r>
      <w:r w:rsidR="007F0EDD" w:rsidRPr="007F0EDD">
        <w:rPr>
          <w:rFonts w:cs="Arial"/>
        </w:rPr>
        <w:t xml:space="preserve">s of </w:t>
      </w:r>
      <w:bookmarkStart w:id="1" w:name="_Hlk3536064"/>
      <w:r w:rsidR="003F3D55">
        <w:rPr>
          <w:rFonts w:cs="Arial"/>
        </w:rPr>
        <w:t xml:space="preserve">Businesses, Governance &amp; Service Units </w:t>
      </w:r>
      <w:r w:rsidR="007F0EDD" w:rsidRPr="007F0EDD">
        <w:rPr>
          <w:rFonts w:cs="Arial"/>
        </w:rPr>
        <w:t>and Lead Countries</w:t>
      </w:r>
      <w:bookmarkEnd w:id="1"/>
      <w:r w:rsidR="00530774">
        <w:t xml:space="preserve"> f</w:t>
      </w:r>
      <w:r w:rsidR="00AB23AD">
        <w:t xml:space="preserve">or </w:t>
      </w:r>
      <w:r>
        <w:t xml:space="preserve">each quarter of the company’s fiscal year, </w:t>
      </w:r>
      <w:r w:rsidRPr="00C01770">
        <w:rPr>
          <w:b/>
        </w:rPr>
        <w:t xml:space="preserve">covering the </w:t>
      </w:r>
      <w:r w:rsidR="00C01770">
        <w:rPr>
          <w:b/>
        </w:rPr>
        <w:t>Company Unit</w:t>
      </w:r>
      <w:r w:rsidRPr="00C01770">
        <w:rPr>
          <w:b/>
        </w:rPr>
        <w:t xml:space="preserve"> performing the CRB and all </w:t>
      </w:r>
      <w:r w:rsidR="00C01770">
        <w:rPr>
          <w:b/>
        </w:rPr>
        <w:t>Company Unit</w:t>
      </w:r>
      <w:r w:rsidRPr="00C01770">
        <w:rPr>
          <w:b/>
        </w:rPr>
        <w:t>s assigned to it</w:t>
      </w:r>
      <w:r>
        <w:t>. The CRB is also performed by the Managing Board of Siemens AG. The CRB must be established via a charter and must be held in person either separately or together with another management meeting.</w:t>
      </w:r>
    </w:p>
    <w:bookmarkEnd w:id="0"/>
    <w:p w14:paraId="1C44B110" w14:textId="1D8A3898" w:rsidR="001B54EB" w:rsidRDefault="002913D4">
      <w:pPr>
        <w:pStyle w:val="scfbrieftext"/>
        <w:spacing w:before="120"/>
        <w:rPr>
          <w:rFonts w:cs="Arial"/>
          <w:color w:val="000000"/>
        </w:rPr>
      </w:pPr>
      <w:r>
        <w:rPr>
          <w:rFonts w:cs="Arial"/>
          <w:color w:val="000000"/>
        </w:rPr>
        <w:t xml:space="preserve">This </w:t>
      </w:r>
      <w:r w:rsidR="000D1EBF">
        <w:rPr>
          <w:rFonts w:cs="Arial"/>
          <w:color w:val="000000"/>
        </w:rPr>
        <w:t>section</w:t>
      </w:r>
      <w:r>
        <w:rPr>
          <w:rFonts w:cs="Arial"/>
          <w:color w:val="000000"/>
        </w:rPr>
        <w:t xml:space="preserve"> defines mandatory requirements for the setup and performance of a CRB with the aim of</w:t>
      </w:r>
    </w:p>
    <w:p w14:paraId="3E1375F2" w14:textId="7A1CF7CB" w:rsidR="00BF4472" w:rsidRDefault="00BF4472">
      <w:pPr>
        <w:pStyle w:val="scfbrieftext"/>
        <w:numPr>
          <w:ilvl w:val="0"/>
          <w:numId w:val="31"/>
        </w:numPr>
        <w:spacing w:before="120"/>
        <w:ind w:right="565"/>
        <w:rPr>
          <w:rFonts w:cs="Arial"/>
          <w:color w:val="000000"/>
        </w:rPr>
      </w:pPr>
      <w:r>
        <w:rPr>
          <w:rFonts w:cs="Arial"/>
          <w:color w:val="000000"/>
        </w:rPr>
        <w:t xml:space="preserve">improving compliance efficiency by using a risk-focused approach and raising awareness on the relevant topics and developments. </w:t>
      </w:r>
    </w:p>
    <w:p w14:paraId="47E36816" w14:textId="050561B3" w:rsidR="00BF4472" w:rsidRDefault="00BF4472" w:rsidP="00BF4472">
      <w:pPr>
        <w:pStyle w:val="scfbrieftext"/>
        <w:numPr>
          <w:ilvl w:val="0"/>
          <w:numId w:val="31"/>
        </w:numPr>
        <w:spacing w:before="120"/>
        <w:ind w:right="565"/>
        <w:rPr>
          <w:rFonts w:cs="Arial"/>
          <w:color w:val="000000"/>
        </w:rPr>
      </w:pPr>
      <w:r>
        <w:rPr>
          <w:rFonts w:cs="Arial"/>
          <w:color w:val="000000"/>
        </w:rPr>
        <w:t>further strengthening collaboration and a qualitative dialog between management and Compliance Officers in the Company Units.</w:t>
      </w:r>
    </w:p>
    <w:p w14:paraId="1C44B111" w14:textId="49EA124B" w:rsidR="001B54EB" w:rsidRDefault="002913D4">
      <w:pPr>
        <w:pStyle w:val="scfbrieftext"/>
        <w:numPr>
          <w:ilvl w:val="0"/>
          <w:numId w:val="31"/>
        </w:numPr>
        <w:spacing w:before="120"/>
        <w:ind w:right="565"/>
        <w:rPr>
          <w:rFonts w:cs="Arial"/>
          <w:color w:val="000000"/>
        </w:rPr>
      </w:pPr>
      <w:r>
        <w:rPr>
          <w:rFonts w:cs="Arial"/>
          <w:color w:val="000000"/>
        </w:rPr>
        <w:t xml:space="preserve">supporting the systematic and periodic management review of the implementation of the Compliance System, taking into consideration the respective </w:t>
      </w:r>
      <w:r w:rsidR="003F3D55">
        <w:rPr>
          <w:rFonts w:cs="Arial"/>
          <w:color w:val="000000"/>
        </w:rPr>
        <w:t>(</w:t>
      </w:r>
      <w:r>
        <w:rPr>
          <w:rFonts w:cs="Arial"/>
          <w:color w:val="000000"/>
        </w:rPr>
        <w:t>local</w:t>
      </w:r>
      <w:r w:rsidR="003F3D55">
        <w:rPr>
          <w:rFonts w:cs="Arial"/>
          <w:color w:val="000000"/>
        </w:rPr>
        <w:t>)</w:t>
      </w:r>
      <w:r>
        <w:rPr>
          <w:rFonts w:cs="Arial"/>
          <w:color w:val="000000"/>
        </w:rPr>
        <w:t xml:space="preserve"> environment </w:t>
      </w:r>
      <w:r w:rsidR="003F3D55">
        <w:rPr>
          <w:rFonts w:cs="Arial"/>
          <w:color w:val="000000"/>
        </w:rPr>
        <w:t xml:space="preserve">and </w:t>
      </w:r>
      <w:proofErr w:type="gramStart"/>
      <w:r w:rsidR="003F3D55">
        <w:rPr>
          <w:rFonts w:cs="Arial"/>
          <w:color w:val="000000"/>
        </w:rPr>
        <w:t>risks</w:t>
      </w:r>
      <w:proofErr w:type="gramEnd"/>
      <w:r w:rsidR="003F3D55">
        <w:rPr>
          <w:rFonts w:cs="Arial"/>
          <w:color w:val="000000"/>
        </w:rPr>
        <w:t xml:space="preserve"> </w:t>
      </w:r>
      <w:r>
        <w:rPr>
          <w:rFonts w:cs="Arial"/>
          <w:color w:val="000000"/>
        </w:rPr>
        <w:t xml:space="preserve">and </w:t>
      </w:r>
      <w:r w:rsidR="003F3D55">
        <w:rPr>
          <w:rFonts w:cs="Arial"/>
          <w:color w:val="000000"/>
        </w:rPr>
        <w:t xml:space="preserve">enabling </w:t>
      </w:r>
      <w:r>
        <w:rPr>
          <w:rFonts w:cs="Arial"/>
          <w:color w:val="000000"/>
        </w:rPr>
        <w:t>related decision-making</w:t>
      </w:r>
      <w:r w:rsidR="003F3D55">
        <w:rPr>
          <w:rFonts w:cs="Arial"/>
          <w:color w:val="000000"/>
        </w:rPr>
        <w:t>.</w:t>
      </w:r>
    </w:p>
    <w:p w14:paraId="1C44B113" w14:textId="63928E2D" w:rsidR="001B54EB" w:rsidRPr="00E87766" w:rsidRDefault="001B54EB" w:rsidP="00E87766">
      <w:pPr>
        <w:pStyle w:val="scfbrieftext"/>
        <w:spacing w:before="120"/>
        <w:ind w:left="720" w:right="565"/>
        <w:rPr>
          <w:rFonts w:cs="Arial"/>
          <w:color w:val="000000"/>
        </w:rPr>
      </w:pPr>
    </w:p>
    <w:p w14:paraId="1C44B114" w14:textId="77777777" w:rsidR="001B54EB" w:rsidRDefault="001B54EB"/>
    <w:p w14:paraId="1C44B115" w14:textId="4FBC16C2" w:rsidR="001B54EB" w:rsidRDefault="002913D4">
      <w:pPr>
        <w:pStyle w:val="berschrift2"/>
      </w:pPr>
      <w:bookmarkStart w:id="2" w:name="_Toc461702240"/>
      <w:bookmarkStart w:id="3" w:name="_Ref462322182"/>
      <w:r>
        <w:t>2.</w:t>
      </w:r>
      <w:r w:rsidR="000D1EBF">
        <w:t>1</w:t>
      </w:r>
      <w:r>
        <w:t>. Applicability</w:t>
      </w:r>
    </w:p>
    <w:p w14:paraId="1C44B116" w14:textId="7A65154A" w:rsidR="001B54EB" w:rsidRDefault="002913D4">
      <w:pPr>
        <w:pStyle w:val="scfbrieftext"/>
        <w:spacing w:before="120"/>
        <w:ind w:right="565"/>
        <w:rPr>
          <w:rFonts w:cs="Arial"/>
          <w:color w:val="000000"/>
        </w:rPr>
      </w:pPr>
      <w:r>
        <w:rPr>
          <w:rFonts w:cs="Arial"/>
          <w:color w:val="000000"/>
        </w:rPr>
        <w:t xml:space="preserve">This </w:t>
      </w:r>
      <w:r w:rsidR="00C224CB">
        <w:rPr>
          <w:rFonts w:cs="Arial"/>
          <w:color w:val="000000"/>
        </w:rPr>
        <w:t>section</w:t>
      </w:r>
      <w:r>
        <w:rPr>
          <w:rFonts w:cs="Arial"/>
          <w:color w:val="000000"/>
        </w:rPr>
        <w:t xml:space="preserve"> applies to a CRB performed by the </w:t>
      </w:r>
      <w:r w:rsidR="00C01770">
        <w:rPr>
          <w:rFonts w:cs="Arial"/>
          <w:color w:val="000000"/>
        </w:rPr>
        <w:t>Company</w:t>
      </w:r>
      <w:r>
        <w:rPr>
          <w:rFonts w:cs="Arial"/>
          <w:color w:val="000000"/>
        </w:rPr>
        <w:t xml:space="preserve"> </w:t>
      </w:r>
      <w:r w:rsidR="00C01770">
        <w:rPr>
          <w:rFonts w:cs="Arial"/>
          <w:color w:val="000000"/>
        </w:rPr>
        <w:t>U</w:t>
      </w:r>
      <w:r>
        <w:rPr>
          <w:rFonts w:cs="Arial"/>
          <w:color w:val="000000"/>
        </w:rPr>
        <w:t xml:space="preserve">nits as set out in </w:t>
      </w:r>
      <w:r w:rsidR="009A6F10">
        <w:rPr>
          <w:rFonts w:cs="Arial"/>
          <w:color w:val="000000"/>
        </w:rPr>
        <w:t>the following</w:t>
      </w:r>
      <w:r>
        <w:rPr>
          <w:rFonts w:cs="Arial"/>
          <w:color w:val="000000"/>
        </w:rPr>
        <w:t>. It is not applicable to a CRB with the Managing Board and the Compliance Committee of the Siemens</w:t>
      </w:r>
      <w:r w:rsidR="009A6F10">
        <w:rPr>
          <w:rFonts w:cs="Arial"/>
          <w:color w:val="000000"/>
        </w:rPr>
        <w:t xml:space="preserve"> </w:t>
      </w:r>
      <w:r>
        <w:rPr>
          <w:rFonts w:cs="Arial"/>
          <w:color w:val="000000"/>
        </w:rPr>
        <w:t xml:space="preserve">AG Supervisory Board. </w:t>
      </w:r>
    </w:p>
    <w:p w14:paraId="1C44B117" w14:textId="28E48190" w:rsidR="001B54EB" w:rsidRDefault="002913D4">
      <w:pPr>
        <w:pStyle w:val="scfbrieftext"/>
        <w:spacing w:before="120"/>
        <w:ind w:right="565"/>
        <w:rPr>
          <w:rFonts w:cs="Arial"/>
          <w:color w:val="000000"/>
        </w:rPr>
      </w:pPr>
      <w:r>
        <w:rPr>
          <w:rFonts w:cs="Arial"/>
          <w:color w:val="000000"/>
        </w:rPr>
        <w:t>A CRB must be performed by</w:t>
      </w:r>
      <w:r w:rsidR="00307DAE" w:rsidRPr="00307DAE">
        <w:t xml:space="preserve"> </w:t>
      </w:r>
      <w:r w:rsidR="007F0EDD" w:rsidRPr="007F0EDD">
        <w:rPr>
          <w:rFonts w:cs="Arial"/>
        </w:rPr>
        <w:t>C</w:t>
      </w:r>
      <w:r w:rsidR="007F0EDD">
        <w:rPr>
          <w:rFonts w:cs="Arial"/>
        </w:rPr>
        <w:t>O</w:t>
      </w:r>
      <w:r w:rsidR="007F0EDD" w:rsidRPr="007F0EDD">
        <w:rPr>
          <w:rFonts w:cs="Arial"/>
        </w:rPr>
        <w:t xml:space="preserve">s of </w:t>
      </w:r>
      <w:bookmarkStart w:id="4" w:name="_Hlk52344194"/>
      <w:r w:rsidR="00BF4472">
        <w:rPr>
          <w:rFonts w:cs="Arial"/>
        </w:rPr>
        <w:t xml:space="preserve">Businesses, Governance &amp; Service Units </w:t>
      </w:r>
      <w:r w:rsidR="00BF4472" w:rsidRPr="007F0EDD">
        <w:rPr>
          <w:rFonts w:cs="Arial"/>
        </w:rPr>
        <w:t>and Lead Countries</w:t>
      </w:r>
      <w:r w:rsidR="00BF4472">
        <w:t xml:space="preserve"> </w:t>
      </w:r>
      <w:bookmarkEnd w:id="4"/>
      <w:r w:rsidR="00BF4472">
        <w:t xml:space="preserve">for each quarter of the company’s fiscal </w:t>
      </w:r>
      <w:proofErr w:type="gramStart"/>
      <w:r w:rsidR="00BF4472">
        <w:t>year.</w:t>
      </w:r>
      <w:r>
        <w:rPr>
          <w:rFonts w:cs="Arial"/>
          <w:color w:val="000000"/>
        </w:rPr>
        <w:t>.</w:t>
      </w:r>
      <w:proofErr w:type="gramEnd"/>
      <w:r>
        <w:rPr>
          <w:rFonts w:cs="Arial"/>
          <w:color w:val="000000"/>
        </w:rPr>
        <w:t xml:space="preserve"> The Chief Compliance Officer may determine exclusions, such as a lower frequency for selected </w:t>
      </w:r>
      <w:r w:rsidR="00C01770">
        <w:rPr>
          <w:rFonts w:cs="Arial"/>
          <w:color w:val="000000"/>
        </w:rPr>
        <w:t>Company U</w:t>
      </w:r>
      <w:r>
        <w:rPr>
          <w:rFonts w:cs="Arial"/>
          <w:color w:val="000000"/>
        </w:rPr>
        <w:t xml:space="preserve">nits. </w:t>
      </w:r>
    </w:p>
    <w:p w14:paraId="1C44B118" w14:textId="29AE8DDC" w:rsidR="001B54EB" w:rsidRPr="009A6F10" w:rsidRDefault="002913D4">
      <w:pPr>
        <w:pStyle w:val="scfbrieftext"/>
        <w:spacing w:before="120"/>
        <w:ind w:right="565"/>
        <w:rPr>
          <w:rFonts w:cs="Arial"/>
          <w:b/>
          <w:color w:val="000000"/>
        </w:rPr>
      </w:pPr>
      <w:r w:rsidRPr="009A6F10">
        <w:rPr>
          <w:rFonts w:cs="Arial"/>
          <w:b/>
          <w:color w:val="000000"/>
        </w:rPr>
        <w:t>A CRB covers the Siemens</w:t>
      </w:r>
      <w:r w:rsidR="00C01770">
        <w:rPr>
          <w:rFonts w:cs="Arial"/>
          <w:b/>
          <w:color w:val="000000"/>
        </w:rPr>
        <w:t xml:space="preserve"> Company</w:t>
      </w:r>
      <w:r w:rsidRPr="009A6F10">
        <w:rPr>
          <w:rFonts w:cs="Arial"/>
          <w:b/>
          <w:color w:val="000000"/>
        </w:rPr>
        <w:t xml:space="preserve"> </w:t>
      </w:r>
      <w:r w:rsidR="00C01770">
        <w:rPr>
          <w:rFonts w:cs="Arial"/>
          <w:b/>
          <w:color w:val="000000"/>
        </w:rPr>
        <w:t>U</w:t>
      </w:r>
      <w:r w:rsidRPr="009A6F10">
        <w:rPr>
          <w:rFonts w:cs="Arial"/>
          <w:b/>
          <w:color w:val="000000"/>
        </w:rPr>
        <w:t xml:space="preserve">nit performing the CRB, including all </w:t>
      </w:r>
      <w:r w:rsidR="00C01770">
        <w:rPr>
          <w:rFonts w:cs="Arial"/>
          <w:b/>
          <w:color w:val="000000"/>
        </w:rPr>
        <w:t>Company Unit</w:t>
      </w:r>
      <w:r w:rsidRPr="009A6F10">
        <w:rPr>
          <w:rFonts w:cs="Arial"/>
          <w:b/>
          <w:color w:val="000000"/>
        </w:rPr>
        <w:t>s assigned to it. An overview of the units, covered by the CRB, shall be at least provided in the back-up presentation slides (ARE based).</w:t>
      </w:r>
    </w:p>
    <w:p w14:paraId="1C44B119" w14:textId="202B3850" w:rsidR="001B54EB" w:rsidRDefault="002913D4">
      <w:pPr>
        <w:pStyle w:val="scfbrieftext"/>
        <w:spacing w:before="120"/>
        <w:ind w:right="565"/>
        <w:rPr>
          <w:rFonts w:cs="Arial"/>
          <w:color w:val="000000"/>
        </w:rPr>
      </w:pPr>
      <w:r>
        <w:rPr>
          <w:rFonts w:cs="Arial"/>
          <w:color w:val="000000"/>
        </w:rPr>
        <w:t xml:space="preserve">The Compliance Officer of </w:t>
      </w:r>
      <w:r w:rsidR="00307DAE">
        <w:rPr>
          <w:rFonts w:cs="Arial"/>
          <w:color w:val="000000"/>
        </w:rPr>
        <w:t xml:space="preserve">a Company Unit </w:t>
      </w:r>
      <w:r>
        <w:rPr>
          <w:rFonts w:cs="Arial"/>
          <w:color w:val="000000"/>
        </w:rPr>
        <w:t>may determine the performance of a CRB</w:t>
      </w:r>
      <w:r w:rsidR="00AB23AD">
        <w:rPr>
          <w:rFonts w:cs="Arial"/>
          <w:color w:val="000000"/>
        </w:rPr>
        <w:t xml:space="preserve"> in</w:t>
      </w:r>
      <w:r>
        <w:rPr>
          <w:rFonts w:cs="Arial"/>
          <w:color w:val="000000"/>
        </w:rPr>
        <w:t xml:space="preserve"> </w:t>
      </w:r>
      <w:r w:rsidR="00307DAE">
        <w:rPr>
          <w:rFonts w:cs="Arial"/>
          <w:color w:val="000000"/>
        </w:rPr>
        <w:t xml:space="preserve">the units assigned to </w:t>
      </w:r>
      <w:r w:rsidR="00AB23AD">
        <w:rPr>
          <w:rFonts w:cs="Arial"/>
          <w:color w:val="000000"/>
        </w:rPr>
        <w:t>the respective Company Unit</w:t>
      </w:r>
      <w:r w:rsidR="007F0EDD">
        <w:rPr>
          <w:rFonts w:cs="Arial"/>
          <w:color w:val="000000"/>
        </w:rPr>
        <w:t xml:space="preserve"> (e.g. Business Units, Assigned Country or Portfolio Company)</w:t>
      </w:r>
      <w:r>
        <w:rPr>
          <w:rFonts w:cs="Arial"/>
          <w:color w:val="000000"/>
        </w:rPr>
        <w:t xml:space="preserve">; the performance of a CRB in </w:t>
      </w:r>
      <w:r w:rsidRPr="00012BB1">
        <w:rPr>
          <w:rFonts w:cs="Arial"/>
          <w:color w:val="000000"/>
        </w:rPr>
        <w:t>assigned</w:t>
      </w:r>
      <w:r>
        <w:rPr>
          <w:rFonts w:cs="Arial"/>
          <w:color w:val="000000"/>
        </w:rPr>
        <w:t xml:space="preserve"> countries with a Compliance Officer on-site is recommended. This instruction is also applicable to a CRB performed in such </w:t>
      </w:r>
      <w:r w:rsidR="007F0EDD">
        <w:rPr>
          <w:rFonts w:cs="Arial"/>
          <w:color w:val="000000"/>
        </w:rPr>
        <w:t xml:space="preserve">assigned </w:t>
      </w:r>
      <w:r w:rsidR="00C01770">
        <w:rPr>
          <w:rFonts w:cs="Arial"/>
          <w:color w:val="000000"/>
        </w:rPr>
        <w:t>Company Unit</w:t>
      </w:r>
      <w:r>
        <w:rPr>
          <w:rFonts w:cs="Arial"/>
          <w:color w:val="000000"/>
        </w:rPr>
        <w:t>s.</w:t>
      </w:r>
    </w:p>
    <w:p w14:paraId="1C44B11A" w14:textId="77777777" w:rsidR="001B54EB" w:rsidRDefault="001B54EB"/>
    <w:p w14:paraId="1C44B11B" w14:textId="32800773" w:rsidR="001B54EB" w:rsidRDefault="000D1EBF">
      <w:pPr>
        <w:pStyle w:val="berschrift2"/>
      </w:pPr>
      <w:r>
        <w:t>2.2</w:t>
      </w:r>
      <w:r w:rsidR="002913D4">
        <w:t>. Performance of a CRB</w:t>
      </w:r>
    </w:p>
    <w:p w14:paraId="1C44B11C" w14:textId="75CB8A4A" w:rsidR="001B54EB" w:rsidRDefault="002913D4">
      <w:pPr>
        <w:pStyle w:val="scfbrieftext"/>
        <w:spacing w:before="120"/>
        <w:ind w:right="565"/>
        <w:rPr>
          <w:rFonts w:cs="Arial"/>
          <w:color w:val="000000"/>
        </w:rPr>
      </w:pPr>
      <w:r>
        <w:rPr>
          <w:rFonts w:cs="Arial"/>
          <w:color w:val="000000"/>
        </w:rPr>
        <w:t xml:space="preserve">The minimum mandatory participants of a CRB are the CEO/Head – who chairs the CRB – together with the CFO, the General Counsel and the Compliance Officer of the </w:t>
      </w:r>
      <w:r w:rsidR="00C01770">
        <w:rPr>
          <w:rFonts w:cs="Arial"/>
          <w:color w:val="000000"/>
        </w:rPr>
        <w:t>Company U</w:t>
      </w:r>
      <w:r>
        <w:rPr>
          <w:rFonts w:cs="Arial"/>
          <w:color w:val="000000"/>
        </w:rPr>
        <w:t xml:space="preserve">nit performing the CRB. </w:t>
      </w:r>
    </w:p>
    <w:p w14:paraId="1C44B11D" w14:textId="77777777" w:rsidR="001B54EB" w:rsidRDefault="002913D4">
      <w:pPr>
        <w:pStyle w:val="scfbrieftext"/>
        <w:spacing w:before="120"/>
        <w:ind w:right="565"/>
        <w:rPr>
          <w:rFonts w:cs="Arial"/>
          <w:color w:val="000000"/>
        </w:rPr>
      </w:pPr>
      <w:r w:rsidRPr="000D1EBF">
        <w:rPr>
          <w:rStyle w:val="Hervorhebung"/>
        </w:rPr>
        <w:t>A CRB should be held no later than six weeks following the end of the respective quarter</w:t>
      </w:r>
      <w:r>
        <w:rPr>
          <w:rFonts w:cs="Arial"/>
          <w:color w:val="000000"/>
        </w:rPr>
        <w:t xml:space="preserve">. </w:t>
      </w:r>
    </w:p>
    <w:p w14:paraId="1C44B11E" w14:textId="7BB35AF2" w:rsidR="001B54EB" w:rsidRDefault="002913D4">
      <w:pPr>
        <w:pStyle w:val="scfbrieftext"/>
        <w:spacing w:before="120"/>
        <w:ind w:right="565"/>
        <w:rPr>
          <w:rFonts w:cs="Arial"/>
          <w:color w:val="000000"/>
        </w:rPr>
      </w:pPr>
      <w:proofErr w:type="gramStart"/>
      <w:r>
        <w:rPr>
          <w:rFonts w:cs="Arial"/>
          <w:color w:val="000000"/>
        </w:rPr>
        <w:t>As a general rule</w:t>
      </w:r>
      <w:proofErr w:type="gramEnd"/>
      <w:r>
        <w:rPr>
          <w:rFonts w:cs="Arial"/>
          <w:color w:val="000000"/>
        </w:rPr>
        <w:t xml:space="preserve">, a CRB is held in person either separately or in conjunction with a management meeting performed for other reasons. It is also possible to hold other compliance-related management meetings in conjunction with a CRB. If a mandatory participant is unable to attend in person and a postponement of a CRB is not feasible, remote attendance is possible via telephone conference or </w:t>
      </w:r>
      <w:r w:rsidR="00C97C2E">
        <w:rPr>
          <w:rFonts w:cs="Arial"/>
          <w:color w:val="000000"/>
        </w:rPr>
        <w:t>Circuit Meeting</w:t>
      </w:r>
      <w:r>
        <w:rPr>
          <w:rFonts w:cs="Arial"/>
          <w:color w:val="000000"/>
        </w:rPr>
        <w:t>, for example.</w:t>
      </w:r>
    </w:p>
    <w:p w14:paraId="1C44B11F" w14:textId="77777777" w:rsidR="001B54EB" w:rsidRDefault="002913D4">
      <w:pPr>
        <w:pStyle w:val="scfbrieftext"/>
        <w:spacing w:before="120"/>
        <w:ind w:right="565"/>
        <w:rPr>
          <w:rFonts w:cs="Arial"/>
          <w:color w:val="000000"/>
        </w:rPr>
      </w:pPr>
      <w:r>
        <w:rPr>
          <w:rFonts w:cs="Arial"/>
          <w:color w:val="000000"/>
        </w:rPr>
        <w:t>The Compliance Officer prepares the compliance review (= CRB presentation).</w:t>
      </w:r>
    </w:p>
    <w:p w14:paraId="1C44B120" w14:textId="77777777" w:rsidR="001B54EB" w:rsidRPr="000D1EBF" w:rsidRDefault="002913D4">
      <w:pPr>
        <w:pStyle w:val="scfbrieftext"/>
        <w:spacing w:before="120"/>
        <w:ind w:right="565"/>
        <w:rPr>
          <w:rStyle w:val="Hervorhebung"/>
        </w:rPr>
      </w:pPr>
      <w:r w:rsidRPr="000D1EBF">
        <w:rPr>
          <w:rStyle w:val="Hervorhebung"/>
        </w:rPr>
        <w:t>Each CRB is documented by separate written minutes, including the list of participants, decisions made, action items, and the compliance review.</w:t>
      </w:r>
    </w:p>
    <w:p w14:paraId="1C44B121" w14:textId="6D2625D6" w:rsidR="001B54EB" w:rsidRDefault="000D1EBF">
      <w:pPr>
        <w:pStyle w:val="berschrift2"/>
      </w:pPr>
      <w:bookmarkStart w:id="5" w:name="_2.3._Content_of"/>
      <w:bookmarkEnd w:id="5"/>
      <w:r>
        <w:t>2.3</w:t>
      </w:r>
      <w:r w:rsidR="002913D4">
        <w:t>. Content of a CRB</w:t>
      </w:r>
    </w:p>
    <w:p w14:paraId="1C44B122" w14:textId="7687E941" w:rsidR="001B54EB" w:rsidRDefault="002913D4" w:rsidP="000D1EBF">
      <w:pPr>
        <w:pStyle w:val="Untertitel"/>
      </w:pPr>
      <w:r>
        <w:t>Mandatory topics for the Compliance Review Board</w:t>
      </w:r>
    </w:p>
    <w:p w14:paraId="1C44B123" w14:textId="2D92C14B" w:rsidR="001B54EB" w:rsidRDefault="002913D4">
      <w:pPr>
        <w:pStyle w:val="scfbrieftext"/>
        <w:spacing w:before="120"/>
        <w:ind w:right="281"/>
        <w:rPr>
          <w:rFonts w:cs="Arial"/>
          <w:color w:val="000000"/>
        </w:rPr>
      </w:pPr>
      <w:r>
        <w:rPr>
          <w:rFonts w:cs="Arial"/>
          <w:color w:val="000000"/>
        </w:rPr>
        <w:t xml:space="preserve">A CRB must cover the mandatory topics stated in the table below, which must be reported by </w:t>
      </w:r>
      <w:r w:rsidR="007F0EDD" w:rsidRPr="007F0EDD">
        <w:rPr>
          <w:rFonts w:cs="Arial"/>
        </w:rPr>
        <w:t>C</w:t>
      </w:r>
      <w:r w:rsidR="007F0EDD">
        <w:rPr>
          <w:rFonts w:cs="Arial"/>
        </w:rPr>
        <w:t>O</w:t>
      </w:r>
      <w:r w:rsidR="007F0EDD" w:rsidRPr="007F0EDD">
        <w:rPr>
          <w:rFonts w:cs="Arial"/>
        </w:rPr>
        <w:t xml:space="preserve">s of </w:t>
      </w:r>
      <w:r w:rsidR="00733148">
        <w:rPr>
          <w:rFonts w:cs="Arial"/>
        </w:rPr>
        <w:t xml:space="preserve">Businesses, Governance &amp; Service Units </w:t>
      </w:r>
      <w:r w:rsidR="00733148" w:rsidRPr="007F0EDD">
        <w:rPr>
          <w:rFonts w:cs="Arial"/>
        </w:rPr>
        <w:t>and Lead Countries</w:t>
      </w:r>
      <w:r w:rsidR="00733148">
        <w:t xml:space="preserve"> </w:t>
      </w:r>
      <w:r>
        <w:rPr>
          <w:rFonts w:cs="Arial"/>
          <w:color w:val="000000"/>
        </w:rPr>
        <w:t xml:space="preserve">either for each quarter or only for selected quarters of the company’s fiscal year. They can be presented in a qualitative and/or quantitative way. If not specifically requested by LC CO </w:t>
      </w:r>
      <w:r w:rsidR="00067ADE">
        <w:rPr>
          <w:rFonts w:cs="Arial"/>
          <w:color w:val="000000"/>
        </w:rPr>
        <w:t>RFC</w:t>
      </w:r>
      <w:r>
        <w:rPr>
          <w:rFonts w:cs="Arial"/>
          <w:color w:val="000000"/>
        </w:rPr>
        <w:t>, the topics may be reported in any style.</w:t>
      </w:r>
    </w:p>
    <w:p w14:paraId="01CD79C4" w14:textId="77777777" w:rsidR="00D8054F" w:rsidRDefault="00D8054F">
      <w:pPr>
        <w:pStyle w:val="scfbrieftext"/>
        <w:spacing w:before="120"/>
        <w:ind w:right="281"/>
        <w:rPr>
          <w:rFonts w:cs="Arial"/>
          <w:color w:val="000000"/>
        </w:rPr>
      </w:pPr>
    </w:p>
    <w:tbl>
      <w:tblPr>
        <w:tblW w:w="10217" w:type="dxa"/>
        <w:tblCellMar>
          <w:left w:w="0" w:type="dxa"/>
          <w:right w:w="0" w:type="dxa"/>
        </w:tblCellMar>
        <w:tblLook w:val="0600" w:firstRow="0" w:lastRow="0" w:firstColumn="0" w:lastColumn="0" w:noHBand="1" w:noVBand="1"/>
      </w:tblPr>
      <w:tblGrid>
        <w:gridCol w:w="3959"/>
        <w:gridCol w:w="1560"/>
        <w:gridCol w:w="1559"/>
        <w:gridCol w:w="1559"/>
        <w:gridCol w:w="1580"/>
      </w:tblGrid>
      <w:tr w:rsidR="00BF4472" w:rsidRPr="00D5455B" w14:paraId="0AF97168" w14:textId="77777777" w:rsidTr="006138E1">
        <w:trPr>
          <w:trHeight w:val="470"/>
        </w:trPr>
        <w:tc>
          <w:tcPr>
            <w:tcW w:w="10217" w:type="dxa"/>
            <w:gridSpan w:val="5"/>
            <w:tcBorders>
              <w:top w:val="single" w:sz="8" w:space="0" w:color="000000"/>
              <w:left w:val="single" w:sz="8" w:space="0" w:color="000000"/>
              <w:bottom w:val="single" w:sz="8" w:space="0" w:color="000000"/>
              <w:right w:val="single" w:sz="8" w:space="0" w:color="000000"/>
            </w:tcBorders>
            <w:shd w:val="clear" w:color="auto" w:fill="4BB9B9"/>
            <w:tcMar>
              <w:top w:w="15" w:type="dxa"/>
              <w:left w:w="15" w:type="dxa"/>
              <w:bottom w:w="0" w:type="dxa"/>
              <w:right w:w="15" w:type="dxa"/>
            </w:tcMar>
            <w:vAlign w:val="center"/>
            <w:hideMark/>
          </w:tcPr>
          <w:p w14:paraId="24166A51" w14:textId="49EFB5EE" w:rsidR="00BF4472" w:rsidRPr="00DE00C5" w:rsidRDefault="00BF4472" w:rsidP="006138E1">
            <w:pPr>
              <w:pStyle w:val="KeinAbsatzformat"/>
              <w:rPr>
                <w:rFonts w:ascii="Arial" w:hAnsi="Arial" w:cs="Arial"/>
                <w:sz w:val="20"/>
                <w:szCs w:val="20"/>
                <w:lang w:val="en-US"/>
              </w:rPr>
            </w:pPr>
            <w:bookmarkStart w:id="6" w:name="_Hlk52344270"/>
          </w:p>
        </w:tc>
      </w:tr>
      <w:tr w:rsidR="00BF4472" w:rsidRPr="00D5455B" w14:paraId="72612C65" w14:textId="77777777" w:rsidTr="006138E1">
        <w:trPr>
          <w:trHeight w:val="475"/>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15" w:type="dxa"/>
              <w:left w:w="113" w:type="dxa"/>
              <w:bottom w:w="0" w:type="dxa"/>
              <w:right w:w="15" w:type="dxa"/>
            </w:tcMar>
            <w:vAlign w:val="center"/>
            <w:hideMark/>
          </w:tcPr>
          <w:p w14:paraId="1E8068CE" w14:textId="77777777" w:rsidR="00BF4472" w:rsidRPr="006138E1" w:rsidRDefault="00BF4472" w:rsidP="006138E1">
            <w:pPr>
              <w:pStyle w:val="KeinAbsatzformat"/>
              <w:rPr>
                <w:rFonts w:ascii="Arial" w:hAnsi="Arial" w:cs="Arial"/>
                <w:sz w:val="20"/>
                <w:szCs w:val="20"/>
              </w:rPr>
            </w:pPr>
            <w:proofErr w:type="spellStart"/>
            <w:r w:rsidRPr="006138E1">
              <w:rPr>
                <w:rFonts w:ascii="Arial" w:hAnsi="Arial" w:cs="Arial"/>
                <w:b/>
                <w:bCs/>
                <w:sz w:val="20"/>
                <w:szCs w:val="20"/>
              </w:rPr>
              <w:t>Mandatory</w:t>
            </w:r>
            <w:proofErr w:type="spellEnd"/>
            <w:r w:rsidRPr="006138E1">
              <w:rPr>
                <w:rFonts w:ascii="Arial" w:hAnsi="Arial" w:cs="Arial"/>
                <w:b/>
                <w:bCs/>
                <w:sz w:val="20"/>
                <w:szCs w:val="20"/>
              </w:rPr>
              <w:t xml:space="preserve"> </w:t>
            </w:r>
            <w:proofErr w:type="spellStart"/>
            <w:r w:rsidRPr="006138E1">
              <w:rPr>
                <w:rFonts w:ascii="Arial" w:hAnsi="Arial" w:cs="Arial"/>
                <w:b/>
                <w:bCs/>
                <w:sz w:val="20"/>
                <w:szCs w:val="20"/>
              </w:rPr>
              <w:t>topics</w:t>
            </w:r>
            <w:proofErr w:type="spellEnd"/>
            <w:r w:rsidRPr="006138E1">
              <w:rPr>
                <w:rFonts w:ascii="Arial" w:hAnsi="Arial" w:cs="Arial"/>
                <w:b/>
                <w:bCs/>
                <w:sz w:val="20"/>
                <w:szCs w:val="20"/>
              </w:rPr>
              <w:t xml:space="preserve"> </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4163A4" w14:textId="77777777" w:rsidR="00BF4472" w:rsidRPr="006138E1" w:rsidRDefault="00BF4472" w:rsidP="006138E1">
            <w:pPr>
              <w:pStyle w:val="KeinAbsatzformat"/>
              <w:rPr>
                <w:rFonts w:ascii="Arial" w:hAnsi="Arial" w:cs="Arial"/>
                <w:sz w:val="20"/>
                <w:szCs w:val="20"/>
              </w:rPr>
            </w:pPr>
            <w:r w:rsidRPr="006138E1">
              <w:rPr>
                <w:rFonts w:ascii="Arial" w:hAnsi="Arial" w:cs="Arial"/>
                <w:b/>
                <w:bCs/>
                <w:sz w:val="20"/>
                <w:szCs w:val="20"/>
              </w:rPr>
              <w:t>Q1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9860A2" w14:textId="77777777" w:rsidR="00BF4472" w:rsidRPr="006138E1" w:rsidRDefault="00BF4472" w:rsidP="006138E1">
            <w:pPr>
              <w:pStyle w:val="KeinAbsatzformat"/>
              <w:rPr>
                <w:rFonts w:ascii="Arial" w:hAnsi="Arial" w:cs="Arial"/>
                <w:sz w:val="20"/>
                <w:szCs w:val="20"/>
              </w:rPr>
            </w:pPr>
            <w:r w:rsidRPr="006138E1">
              <w:rPr>
                <w:rFonts w:ascii="Arial" w:hAnsi="Arial" w:cs="Arial"/>
                <w:b/>
                <w:bCs/>
                <w:sz w:val="20"/>
                <w:szCs w:val="20"/>
              </w:rPr>
              <w:t>Q2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C0051C" w14:textId="77777777" w:rsidR="00BF4472" w:rsidRPr="006138E1" w:rsidRDefault="00BF4472" w:rsidP="006138E1">
            <w:pPr>
              <w:pStyle w:val="KeinAbsatzformat"/>
              <w:rPr>
                <w:rFonts w:ascii="Arial" w:hAnsi="Arial" w:cs="Arial"/>
                <w:sz w:val="20"/>
                <w:szCs w:val="20"/>
              </w:rPr>
            </w:pPr>
            <w:r w:rsidRPr="006138E1">
              <w:rPr>
                <w:rFonts w:ascii="Arial" w:hAnsi="Arial" w:cs="Arial"/>
                <w:b/>
                <w:bCs/>
                <w:sz w:val="20"/>
                <w:szCs w:val="20"/>
              </w:rPr>
              <w:t>Q3</w:t>
            </w:r>
          </w:p>
        </w:tc>
        <w:tc>
          <w:tcPr>
            <w:tcW w:w="1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90F058" w14:textId="77777777" w:rsidR="00BF4472" w:rsidRPr="006138E1" w:rsidRDefault="00BF4472" w:rsidP="006138E1">
            <w:pPr>
              <w:pStyle w:val="KeinAbsatzformat"/>
              <w:rPr>
                <w:rFonts w:ascii="Arial" w:hAnsi="Arial" w:cs="Arial"/>
                <w:sz w:val="20"/>
                <w:szCs w:val="20"/>
              </w:rPr>
            </w:pPr>
            <w:r w:rsidRPr="006138E1">
              <w:rPr>
                <w:rFonts w:ascii="Arial" w:hAnsi="Arial" w:cs="Arial"/>
                <w:b/>
                <w:bCs/>
                <w:sz w:val="20"/>
                <w:szCs w:val="20"/>
              </w:rPr>
              <w:t>Q4</w:t>
            </w:r>
          </w:p>
        </w:tc>
      </w:tr>
      <w:tr w:rsidR="00BF4472" w:rsidRPr="00D5455B" w14:paraId="26802D1D" w14:textId="77777777" w:rsidTr="006138E1">
        <w:trPr>
          <w:trHeight w:val="943"/>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15" w:type="dxa"/>
              <w:left w:w="113" w:type="dxa"/>
              <w:bottom w:w="0" w:type="dxa"/>
              <w:right w:w="15" w:type="dxa"/>
            </w:tcMar>
            <w:vAlign w:val="center"/>
            <w:hideMark/>
          </w:tcPr>
          <w:p w14:paraId="14F10306" w14:textId="77777777" w:rsidR="00BF4472" w:rsidRPr="006138E1" w:rsidRDefault="00BF4472" w:rsidP="006138E1">
            <w:pPr>
              <w:pStyle w:val="KeinAbsatzformat"/>
              <w:rPr>
                <w:rFonts w:ascii="Arial" w:hAnsi="Arial" w:cs="Arial"/>
                <w:sz w:val="20"/>
                <w:szCs w:val="20"/>
              </w:rPr>
            </w:pPr>
            <w:r w:rsidRPr="006138E1">
              <w:rPr>
                <w:rFonts w:ascii="Arial" w:hAnsi="Arial" w:cs="Arial"/>
                <w:b/>
                <w:bCs/>
                <w:sz w:val="20"/>
                <w:szCs w:val="20"/>
              </w:rPr>
              <w:t xml:space="preserve">Compliance </w:t>
            </w:r>
            <w:proofErr w:type="spellStart"/>
            <w:r w:rsidRPr="006138E1">
              <w:rPr>
                <w:rFonts w:ascii="Arial" w:hAnsi="Arial" w:cs="Arial"/>
                <w:b/>
                <w:bCs/>
                <w:sz w:val="20"/>
                <w:szCs w:val="20"/>
              </w:rPr>
              <w:t>cases</w:t>
            </w:r>
            <w:proofErr w:type="spellEnd"/>
            <w:r w:rsidRPr="006138E1">
              <w:rPr>
                <w:rFonts w:ascii="Arial" w:hAnsi="Arial" w:cs="Arial"/>
                <w:b/>
                <w:bCs/>
                <w:sz w:val="20"/>
                <w:szCs w:val="20"/>
              </w:rPr>
              <w:t xml:space="preserve"> incl. EX</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0DB90B" w14:textId="77777777" w:rsidR="00BF4472" w:rsidRPr="006138E1" w:rsidRDefault="00BF4472" w:rsidP="00D8054F">
            <w:pPr>
              <w:pStyle w:val="KeinAbsatzformat"/>
              <w:jc w:val="center"/>
              <w:rPr>
                <w:rFonts w:ascii="Arial" w:hAnsi="Arial" w:cs="Arial"/>
                <w:sz w:val="20"/>
                <w:szCs w:val="20"/>
              </w:rPr>
            </w:pPr>
            <w:r w:rsidRPr="006138E1">
              <w:rPr>
                <w:rFonts w:ascii="Arial" w:hAnsi="Arial" w:cs="Arial"/>
                <w:b/>
                <w:bCs/>
                <w:sz w:val="20"/>
                <w:szCs w:val="20"/>
              </w:rPr>
              <w:t>o</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80E039" w14:textId="77777777" w:rsidR="00BF4472" w:rsidRPr="006138E1" w:rsidRDefault="00BF4472" w:rsidP="00D8054F">
            <w:pPr>
              <w:pStyle w:val="KeinAbsatzformat"/>
              <w:jc w:val="center"/>
              <w:rPr>
                <w:rFonts w:ascii="Arial" w:hAnsi="Arial" w:cs="Arial"/>
                <w:sz w:val="20"/>
                <w:szCs w:val="20"/>
              </w:rPr>
            </w:pPr>
            <w:r w:rsidRPr="006138E1">
              <w:rPr>
                <w:rFonts w:ascii="Arial" w:hAnsi="Arial" w:cs="Arial"/>
                <w:b/>
                <w:bCs/>
                <w:sz w:val="20"/>
                <w:szCs w:val="20"/>
              </w:rPr>
              <w:t>o</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269CAE" w14:textId="77777777" w:rsidR="00BF4472" w:rsidRPr="006138E1" w:rsidRDefault="00BF4472" w:rsidP="00D8054F">
            <w:pPr>
              <w:pStyle w:val="KeinAbsatzformat"/>
              <w:jc w:val="center"/>
              <w:rPr>
                <w:rFonts w:ascii="Arial" w:hAnsi="Arial" w:cs="Arial"/>
                <w:sz w:val="20"/>
                <w:szCs w:val="20"/>
              </w:rPr>
            </w:pPr>
            <w:r w:rsidRPr="006138E1">
              <w:rPr>
                <w:rFonts w:ascii="Arial" w:hAnsi="Arial" w:cs="Arial"/>
                <w:b/>
                <w:bCs/>
                <w:sz w:val="20"/>
                <w:szCs w:val="20"/>
              </w:rPr>
              <w:t>o</w:t>
            </w:r>
          </w:p>
        </w:tc>
        <w:tc>
          <w:tcPr>
            <w:tcW w:w="1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55C555" w14:textId="77777777" w:rsidR="00BF4472" w:rsidRPr="006138E1" w:rsidRDefault="00BF4472" w:rsidP="00D8054F">
            <w:pPr>
              <w:pStyle w:val="KeinAbsatzformat"/>
              <w:jc w:val="center"/>
              <w:rPr>
                <w:rFonts w:ascii="Arial" w:hAnsi="Arial" w:cs="Arial"/>
                <w:sz w:val="20"/>
                <w:szCs w:val="20"/>
              </w:rPr>
            </w:pPr>
            <w:r w:rsidRPr="006138E1">
              <w:rPr>
                <w:rFonts w:ascii="Arial" w:hAnsi="Arial" w:cs="Arial"/>
                <w:b/>
                <w:bCs/>
                <w:sz w:val="20"/>
                <w:szCs w:val="20"/>
              </w:rPr>
              <w:t>o</w:t>
            </w:r>
          </w:p>
        </w:tc>
      </w:tr>
      <w:tr w:rsidR="00BF4472" w:rsidRPr="00D5455B" w14:paraId="6F0D5434" w14:textId="77777777" w:rsidTr="006138E1">
        <w:trPr>
          <w:trHeight w:val="924"/>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15" w:type="dxa"/>
              <w:left w:w="113" w:type="dxa"/>
              <w:bottom w:w="0" w:type="dxa"/>
              <w:right w:w="15" w:type="dxa"/>
            </w:tcMar>
            <w:vAlign w:val="center"/>
            <w:hideMark/>
          </w:tcPr>
          <w:p w14:paraId="1E4F8635" w14:textId="77777777" w:rsidR="00BF4472" w:rsidRPr="006138E1" w:rsidRDefault="00BF4472" w:rsidP="006138E1">
            <w:pPr>
              <w:pStyle w:val="KeinAbsatzformat"/>
              <w:rPr>
                <w:rFonts w:ascii="Arial" w:hAnsi="Arial" w:cs="Arial"/>
                <w:sz w:val="20"/>
                <w:szCs w:val="20"/>
              </w:rPr>
            </w:pPr>
            <w:r w:rsidRPr="006138E1">
              <w:rPr>
                <w:rFonts w:ascii="Arial" w:hAnsi="Arial" w:cs="Arial"/>
                <w:b/>
                <w:bCs/>
                <w:sz w:val="20"/>
                <w:szCs w:val="20"/>
              </w:rPr>
              <w:t xml:space="preserve">Business </w:t>
            </w:r>
            <w:proofErr w:type="spellStart"/>
            <w:r w:rsidRPr="006138E1">
              <w:rPr>
                <w:rFonts w:ascii="Arial" w:hAnsi="Arial" w:cs="Arial"/>
                <w:b/>
                <w:bCs/>
                <w:sz w:val="20"/>
                <w:szCs w:val="20"/>
              </w:rPr>
              <w:t>partners</w:t>
            </w:r>
            <w:proofErr w:type="spellEnd"/>
            <w:r w:rsidRPr="006138E1">
              <w:rPr>
                <w:rFonts w:ascii="Arial" w:hAnsi="Arial" w:cs="Arial"/>
                <w:b/>
                <w:bCs/>
                <w:sz w:val="20"/>
                <w:szCs w:val="20"/>
              </w:rPr>
              <w:t xml:space="preserve"> </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DC5C78" w14:textId="77777777" w:rsidR="00BF4472" w:rsidRPr="006138E1" w:rsidRDefault="00BF4472" w:rsidP="00D8054F">
            <w:pPr>
              <w:pStyle w:val="KeinAbsatzformat"/>
              <w:jc w:val="center"/>
              <w:rPr>
                <w:rFonts w:ascii="Arial" w:hAnsi="Arial" w:cs="Arial"/>
                <w:sz w:val="20"/>
                <w:szCs w:val="20"/>
              </w:rPr>
            </w:pPr>
            <w:r w:rsidRPr="006138E1">
              <w:rPr>
                <w:rFonts w:ascii="Arial" w:hAnsi="Arial" w:cs="Arial"/>
                <w:b/>
                <w:bCs/>
                <w:sz w:val="20"/>
                <w:szCs w:val="20"/>
              </w:rPr>
              <w:t>o</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D450CA" w14:textId="77777777" w:rsidR="00BF4472" w:rsidRPr="006138E1" w:rsidRDefault="00BF4472" w:rsidP="00D8054F">
            <w:pPr>
              <w:pStyle w:val="KeinAbsatzformat"/>
              <w:jc w:val="center"/>
              <w:rPr>
                <w:rFonts w:ascii="Arial" w:hAnsi="Arial" w:cs="Arial"/>
                <w:sz w:val="20"/>
                <w:szCs w:val="20"/>
              </w:rPr>
            </w:pPr>
            <w:r w:rsidRPr="006138E1">
              <w:rPr>
                <w:rFonts w:ascii="Arial" w:hAnsi="Arial" w:cs="Arial"/>
                <w:b/>
                <w:bCs/>
                <w:sz w:val="20"/>
                <w:szCs w:val="20"/>
              </w:rPr>
              <w:t>o</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2C567D" w14:textId="77777777" w:rsidR="00BF4472" w:rsidRPr="006138E1" w:rsidRDefault="00BF4472" w:rsidP="00D8054F">
            <w:pPr>
              <w:pStyle w:val="KeinAbsatzformat"/>
              <w:jc w:val="center"/>
              <w:rPr>
                <w:rFonts w:ascii="Arial" w:hAnsi="Arial" w:cs="Arial"/>
                <w:sz w:val="20"/>
                <w:szCs w:val="20"/>
              </w:rPr>
            </w:pPr>
            <w:r w:rsidRPr="006138E1">
              <w:rPr>
                <w:rFonts w:ascii="Arial" w:hAnsi="Arial" w:cs="Arial"/>
                <w:b/>
                <w:bCs/>
                <w:sz w:val="20"/>
                <w:szCs w:val="20"/>
              </w:rPr>
              <w:t>o</w:t>
            </w:r>
          </w:p>
        </w:tc>
        <w:tc>
          <w:tcPr>
            <w:tcW w:w="1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FEABB0" w14:textId="77777777" w:rsidR="00BF4472" w:rsidRPr="006138E1" w:rsidRDefault="00BF4472" w:rsidP="00D8054F">
            <w:pPr>
              <w:pStyle w:val="KeinAbsatzformat"/>
              <w:jc w:val="center"/>
              <w:rPr>
                <w:rFonts w:ascii="Arial" w:hAnsi="Arial" w:cs="Arial"/>
                <w:sz w:val="20"/>
                <w:szCs w:val="20"/>
              </w:rPr>
            </w:pPr>
            <w:r w:rsidRPr="006138E1">
              <w:rPr>
                <w:rFonts w:ascii="Arial" w:hAnsi="Arial" w:cs="Arial"/>
                <w:b/>
                <w:bCs/>
                <w:sz w:val="20"/>
                <w:szCs w:val="20"/>
              </w:rPr>
              <w:t>o</w:t>
            </w:r>
          </w:p>
        </w:tc>
      </w:tr>
      <w:tr w:rsidR="00733148" w:rsidRPr="00D5455B" w14:paraId="3B6F0659" w14:textId="77777777" w:rsidTr="006138E1">
        <w:trPr>
          <w:trHeight w:val="924"/>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15" w:type="dxa"/>
              <w:left w:w="113" w:type="dxa"/>
              <w:bottom w:w="0" w:type="dxa"/>
              <w:right w:w="15" w:type="dxa"/>
            </w:tcMar>
            <w:vAlign w:val="center"/>
          </w:tcPr>
          <w:p w14:paraId="7FA294C3" w14:textId="501C979B" w:rsidR="00733148" w:rsidRPr="006138E1" w:rsidRDefault="00DE00C5" w:rsidP="00733148">
            <w:pPr>
              <w:pStyle w:val="KeinAbsatzformat"/>
              <w:rPr>
                <w:rFonts w:ascii="Arial" w:hAnsi="Arial" w:cs="Arial"/>
                <w:b/>
                <w:bCs/>
                <w:sz w:val="20"/>
                <w:szCs w:val="20"/>
              </w:rPr>
            </w:pPr>
            <w:r>
              <w:rPr>
                <w:rFonts w:ascii="Arial" w:hAnsi="Arial" w:cs="Arial"/>
                <w:b/>
                <w:bCs/>
                <w:sz w:val="20"/>
                <w:szCs w:val="20"/>
              </w:rPr>
              <w:lastRenderedPageBreak/>
              <w:t xml:space="preserve">Compliance </w:t>
            </w:r>
            <w:proofErr w:type="spellStart"/>
            <w:r>
              <w:rPr>
                <w:rFonts w:ascii="Arial" w:hAnsi="Arial" w:cs="Arial"/>
                <w:b/>
                <w:bCs/>
                <w:sz w:val="20"/>
                <w:szCs w:val="20"/>
              </w:rPr>
              <w:t>Risks</w:t>
            </w:r>
            <w:proofErr w:type="spellEnd"/>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B31E79E" w14:textId="4DE09E20" w:rsidR="00733148" w:rsidRPr="006138E1" w:rsidRDefault="00733148" w:rsidP="00733148">
            <w:pPr>
              <w:pStyle w:val="KeinAbsatzformat"/>
              <w:jc w:val="center"/>
              <w:rPr>
                <w:rFonts w:ascii="Arial" w:hAnsi="Arial" w:cs="Arial"/>
                <w:b/>
                <w:bCs/>
                <w:sz w:val="20"/>
                <w:szCs w:val="20"/>
              </w:rPr>
            </w:pPr>
            <w:r w:rsidRPr="006138E1">
              <w:rPr>
                <w:rFonts w:ascii="Arial" w:hAnsi="Arial" w:cs="Arial"/>
                <w:b/>
                <w:bCs/>
                <w:sz w:val="20"/>
                <w:szCs w:val="20"/>
              </w:rPr>
              <w:t>o</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48F45BA" w14:textId="3D1F192D" w:rsidR="00733148" w:rsidRPr="006138E1" w:rsidRDefault="00733148" w:rsidP="00733148">
            <w:pPr>
              <w:pStyle w:val="KeinAbsatzformat"/>
              <w:jc w:val="center"/>
              <w:rPr>
                <w:rFonts w:ascii="Arial" w:hAnsi="Arial" w:cs="Arial"/>
                <w:b/>
                <w:bCs/>
                <w:sz w:val="20"/>
                <w:szCs w:val="20"/>
              </w:rPr>
            </w:pPr>
            <w:r w:rsidRPr="006138E1">
              <w:rPr>
                <w:rFonts w:ascii="Arial" w:hAnsi="Arial" w:cs="Arial"/>
                <w:b/>
                <w:bCs/>
                <w:sz w:val="20"/>
                <w:szCs w:val="20"/>
              </w:rPr>
              <w:t>o</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772ECA6" w14:textId="6D15AE3C" w:rsidR="00733148" w:rsidRPr="006138E1" w:rsidRDefault="00733148" w:rsidP="00733148">
            <w:pPr>
              <w:pStyle w:val="KeinAbsatzformat"/>
              <w:jc w:val="center"/>
              <w:rPr>
                <w:rFonts w:ascii="Arial" w:hAnsi="Arial" w:cs="Arial"/>
                <w:b/>
                <w:bCs/>
                <w:sz w:val="20"/>
                <w:szCs w:val="20"/>
              </w:rPr>
            </w:pPr>
            <w:r w:rsidRPr="006138E1">
              <w:rPr>
                <w:rFonts w:ascii="Arial" w:hAnsi="Arial" w:cs="Arial"/>
                <w:b/>
                <w:bCs/>
                <w:sz w:val="20"/>
                <w:szCs w:val="20"/>
              </w:rPr>
              <w:t>o</w:t>
            </w:r>
          </w:p>
        </w:tc>
        <w:tc>
          <w:tcPr>
            <w:tcW w:w="1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EED94B7" w14:textId="73CA1A4C" w:rsidR="00733148" w:rsidRPr="006138E1" w:rsidRDefault="00733148" w:rsidP="00733148">
            <w:pPr>
              <w:pStyle w:val="KeinAbsatzformat"/>
              <w:jc w:val="center"/>
              <w:rPr>
                <w:rFonts w:ascii="Arial" w:hAnsi="Arial" w:cs="Arial"/>
                <w:b/>
                <w:bCs/>
                <w:sz w:val="20"/>
                <w:szCs w:val="20"/>
              </w:rPr>
            </w:pPr>
            <w:r w:rsidRPr="006138E1">
              <w:rPr>
                <w:rFonts w:ascii="Arial" w:hAnsi="Arial" w:cs="Arial"/>
                <w:b/>
                <w:bCs/>
                <w:sz w:val="20"/>
                <w:szCs w:val="20"/>
              </w:rPr>
              <w:t>o</w:t>
            </w:r>
          </w:p>
        </w:tc>
      </w:tr>
      <w:tr w:rsidR="00733148" w:rsidRPr="00D5455B" w14:paraId="2747D26B" w14:textId="77777777" w:rsidTr="006138E1">
        <w:trPr>
          <w:trHeight w:val="924"/>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15" w:type="dxa"/>
              <w:left w:w="113" w:type="dxa"/>
              <w:bottom w:w="0" w:type="dxa"/>
              <w:right w:w="15" w:type="dxa"/>
            </w:tcMar>
            <w:vAlign w:val="center"/>
            <w:hideMark/>
          </w:tcPr>
          <w:p w14:paraId="6D6443DA" w14:textId="77777777" w:rsidR="00733148" w:rsidRPr="006138E1" w:rsidRDefault="00733148" w:rsidP="00733148">
            <w:pPr>
              <w:pStyle w:val="KeinAbsatzformat"/>
              <w:rPr>
                <w:rFonts w:ascii="Arial" w:hAnsi="Arial" w:cs="Arial"/>
                <w:sz w:val="20"/>
                <w:szCs w:val="20"/>
              </w:rPr>
            </w:pPr>
            <w:r w:rsidRPr="006138E1">
              <w:rPr>
                <w:rFonts w:ascii="Arial" w:hAnsi="Arial" w:cs="Arial"/>
                <w:b/>
                <w:bCs/>
                <w:sz w:val="20"/>
                <w:szCs w:val="20"/>
              </w:rPr>
              <w:t>Export Control</w:t>
            </w:r>
          </w:p>
        </w:tc>
        <w:tc>
          <w:tcPr>
            <w:tcW w:w="6258"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8BF0DD" w14:textId="77777777" w:rsidR="00733148" w:rsidRPr="006138E1" w:rsidRDefault="00733148" w:rsidP="00733148">
            <w:pPr>
              <w:pStyle w:val="KeinAbsatzformat"/>
              <w:rPr>
                <w:rFonts w:ascii="Arial" w:hAnsi="Arial" w:cs="Arial"/>
                <w:sz w:val="20"/>
                <w:szCs w:val="20"/>
                <w:lang w:val="en-US"/>
              </w:rPr>
            </w:pPr>
            <w:r w:rsidRPr="006138E1">
              <w:rPr>
                <w:rFonts w:ascii="Arial" w:hAnsi="Arial" w:cs="Arial"/>
                <w:sz w:val="20"/>
                <w:szCs w:val="20"/>
                <w:lang w:val="en-US"/>
              </w:rPr>
              <w:t xml:space="preserve">At least once a year, </w:t>
            </w:r>
          </w:p>
          <w:p w14:paraId="25A43311" w14:textId="77777777" w:rsidR="00733148" w:rsidRPr="006138E1" w:rsidRDefault="00733148" w:rsidP="00733148">
            <w:pPr>
              <w:pStyle w:val="KeinAbsatzformat"/>
              <w:rPr>
                <w:rFonts w:ascii="Arial" w:hAnsi="Arial" w:cs="Arial"/>
                <w:sz w:val="20"/>
                <w:szCs w:val="20"/>
                <w:lang w:val="en-US"/>
              </w:rPr>
            </w:pPr>
            <w:r w:rsidRPr="006138E1">
              <w:rPr>
                <w:rFonts w:ascii="Arial" w:hAnsi="Arial" w:cs="Arial"/>
                <w:sz w:val="20"/>
                <w:szCs w:val="20"/>
                <w:lang w:val="en-US"/>
              </w:rPr>
              <w:t>if relevant more frequently/quarterly</w:t>
            </w:r>
          </w:p>
        </w:tc>
      </w:tr>
      <w:tr w:rsidR="00733148" w:rsidRPr="00D5455B" w14:paraId="73DEC2F8" w14:textId="77777777" w:rsidTr="006138E1">
        <w:trPr>
          <w:trHeight w:val="951"/>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15" w:type="dxa"/>
              <w:left w:w="113" w:type="dxa"/>
              <w:bottom w:w="0" w:type="dxa"/>
              <w:right w:w="15" w:type="dxa"/>
            </w:tcMar>
            <w:vAlign w:val="center"/>
            <w:hideMark/>
          </w:tcPr>
          <w:p w14:paraId="0960120A" w14:textId="77777777" w:rsidR="00733148" w:rsidRPr="006138E1" w:rsidRDefault="00733148" w:rsidP="00733148">
            <w:pPr>
              <w:pStyle w:val="KeinAbsatzformat"/>
              <w:rPr>
                <w:rFonts w:ascii="Arial" w:hAnsi="Arial" w:cs="Arial"/>
                <w:sz w:val="20"/>
                <w:szCs w:val="20"/>
              </w:rPr>
            </w:pPr>
            <w:r w:rsidRPr="006138E1">
              <w:rPr>
                <w:rFonts w:ascii="Arial" w:hAnsi="Arial" w:cs="Arial"/>
                <w:b/>
                <w:bCs/>
                <w:sz w:val="20"/>
                <w:szCs w:val="20"/>
              </w:rPr>
              <w:t>Data Privacy</w:t>
            </w:r>
          </w:p>
        </w:tc>
        <w:tc>
          <w:tcPr>
            <w:tcW w:w="6258"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A0C1D4" w14:textId="42C5080E" w:rsidR="00733148" w:rsidRPr="006138E1" w:rsidRDefault="00733148" w:rsidP="00733148">
            <w:pPr>
              <w:pStyle w:val="KeinAbsatzformat"/>
              <w:rPr>
                <w:rFonts w:ascii="Arial" w:hAnsi="Arial" w:cs="Arial"/>
                <w:sz w:val="20"/>
                <w:szCs w:val="20"/>
                <w:lang w:val="en-US"/>
              </w:rPr>
            </w:pPr>
            <w:r w:rsidRPr="006138E1">
              <w:rPr>
                <w:rFonts w:ascii="Arial" w:hAnsi="Arial" w:cs="Arial"/>
                <w:sz w:val="20"/>
                <w:szCs w:val="20"/>
                <w:lang w:val="en-US"/>
              </w:rPr>
              <w:t xml:space="preserve">At least once a year, </w:t>
            </w:r>
          </w:p>
          <w:p w14:paraId="4338C4B2" w14:textId="77777777" w:rsidR="00733148" w:rsidRPr="006138E1" w:rsidRDefault="00733148" w:rsidP="00733148">
            <w:pPr>
              <w:pStyle w:val="KeinAbsatzformat"/>
              <w:rPr>
                <w:rFonts w:ascii="Arial" w:hAnsi="Arial" w:cs="Arial"/>
                <w:sz w:val="20"/>
                <w:szCs w:val="20"/>
                <w:lang w:val="en-US"/>
              </w:rPr>
            </w:pPr>
            <w:r w:rsidRPr="006138E1">
              <w:rPr>
                <w:rFonts w:ascii="Arial" w:hAnsi="Arial" w:cs="Arial"/>
                <w:sz w:val="20"/>
                <w:szCs w:val="20"/>
                <w:lang w:val="en-US"/>
              </w:rPr>
              <w:t>if relevant more frequently/quarterly</w:t>
            </w:r>
          </w:p>
        </w:tc>
      </w:tr>
      <w:tr w:rsidR="00733148" w:rsidRPr="00D5455B" w14:paraId="5A19F39A" w14:textId="77777777" w:rsidTr="006138E1">
        <w:trPr>
          <w:trHeight w:val="951"/>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15" w:type="dxa"/>
              <w:left w:w="113" w:type="dxa"/>
              <w:bottom w:w="0" w:type="dxa"/>
              <w:right w:w="15" w:type="dxa"/>
            </w:tcMar>
            <w:vAlign w:val="center"/>
            <w:hideMark/>
          </w:tcPr>
          <w:p w14:paraId="43EA89EC" w14:textId="77777777" w:rsidR="00733148" w:rsidRPr="006138E1" w:rsidRDefault="00733148" w:rsidP="00733148">
            <w:pPr>
              <w:pStyle w:val="KeinAbsatzformat"/>
              <w:rPr>
                <w:rFonts w:ascii="Arial" w:hAnsi="Arial" w:cs="Arial"/>
                <w:sz w:val="20"/>
                <w:szCs w:val="20"/>
                <w:lang w:val="en-US"/>
              </w:rPr>
            </w:pPr>
            <w:r w:rsidRPr="006138E1">
              <w:rPr>
                <w:rFonts w:ascii="Arial" w:hAnsi="Arial" w:cs="Arial"/>
                <w:b/>
                <w:bCs/>
                <w:sz w:val="20"/>
                <w:szCs w:val="20"/>
                <w:lang w:val="en-US"/>
              </w:rPr>
              <w:t>Compliance Communication strategy and plan</w:t>
            </w:r>
          </w:p>
        </w:tc>
        <w:tc>
          <w:tcPr>
            <w:tcW w:w="6258"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B9F6E2" w14:textId="77777777" w:rsidR="00733148" w:rsidRPr="006138E1" w:rsidRDefault="00733148" w:rsidP="00733148">
            <w:pPr>
              <w:pStyle w:val="KeinAbsatzformat"/>
              <w:rPr>
                <w:rFonts w:ascii="Arial" w:hAnsi="Arial" w:cs="Arial"/>
                <w:sz w:val="20"/>
                <w:szCs w:val="20"/>
                <w:lang w:val="en-US"/>
              </w:rPr>
            </w:pPr>
            <w:r w:rsidRPr="006138E1">
              <w:rPr>
                <w:rFonts w:ascii="Arial" w:hAnsi="Arial" w:cs="Arial"/>
                <w:sz w:val="20"/>
                <w:szCs w:val="20"/>
                <w:lang w:val="en-US"/>
              </w:rPr>
              <w:t xml:space="preserve">At least once a year, </w:t>
            </w:r>
          </w:p>
          <w:p w14:paraId="5440EEE7" w14:textId="77777777" w:rsidR="00733148" w:rsidRPr="006138E1" w:rsidRDefault="00733148" w:rsidP="00733148">
            <w:pPr>
              <w:pStyle w:val="KeinAbsatzformat"/>
              <w:rPr>
                <w:rFonts w:ascii="Arial" w:hAnsi="Arial" w:cs="Arial"/>
                <w:sz w:val="20"/>
                <w:szCs w:val="20"/>
                <w:lang w:val="en-US"/>
              </w:rPr>
            </w:pPr>
            <w:r w:rsidRPr="006138E1">
              <w:rPr>
                <w:rFonts w:ascii="Arial" w:hAnsi="Arial" w:cs="Arial"/>
                <w:sz w:val="20"/>
                <w:szCs w:val="20"/>
                <w:lang w:val="en-US"/>
              </w:rPr>
              <w:t>if relevant more frequently/quarterly</w:t>
            </w:r>
          </w:p>
        </w:tc>
      </w:tr>
      <w:tr w:rsidR="00733148" w:rsidRPr="00D5455B" w14:paraId="6C6A1702" w14:textId="77777777" w:rsidTr="006138E1">
        <w:trPr>
          <w:trHeight w:val="1020"/>
        </w:trPr>
        <w:tc>
          <w:tcPr>
            <w:tcW w:w="3959" w:type="dxa"/>
            <w:tcBorders>
              <w:top w:val="single" w:sz="8" w:space="0" w:color="000000"/>
              <w:left w:val="single" w:sz="8" w:space="0" w:color="000000"/>
              <w:bottom w:val="single" w:sz="8" w:space="0" w:color="000000"/>
              <w:right w:val="single" w:sz="8" w:space="0" w:color="000000"/>
            </w:tcBorders>
            <w:shd w:val="clear" w:color="auto" w:fill="auto"/>
            <w:tcMar>
              <w:top w:w="15" w:type="dxa"/>
              <w:left w:w="113" w:type="dxa"/>
              <w:bottom w:w="0" w:type="dxa"/>
              <w:right w:w="15" w:type="dxa"/>
            </w:tcMar>
            <w:vAlign w:val="center"/>
            <w:hideMark/>
          </w:tcPr>
          <w:p w14:paraId="30A33310" w14:textId="77777777" w:rsidR="00733148" w:rsidRPr="006138E1" w:rsidRDefault="00733148" w:rsidP="00733148">
            <w:pPr>
              <w:pStyle w:val="KeinAbsatzformat"/>
              <w:rPr>
                <w:rFonts w:ascii="Arial" w:hAnsi="Arial" w:cs="Arial"/>
                <w:sz w:val="20"/>
                <w:szCs w:val="20"/>
              </w:rPr>
            </w:pPr>
            <w:r w:rsidRPr="006138E1">
              <w:rPr>
                <w:rFonts w:ascii="Arial" w:hAnsi="Arial" w:cs="Arial"/>
                <w:b/>
                <w:bCs/>
                <w:sz w:val="20"/>
                <w:szCs w:val="20"/>
              </w:rPr>
              <w:t>Compliance Training</w:t>
            </w:r>
          </w:p>
        </w:tc>
        <w:tc>
          <w:tcPr>
            <w:tcW w:w="6258"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EAB7AA" w14:textId="016532F4" w:rsidR="00733148" w:rsidRPr="006138E1" w:rsidRDefault="00733148" w:rsidP="00733148">
            <w:pPr>
              <w:pStyle w:val="KeinAbsatzformat"/>
              <w:rPr>
                <w:rFonts w:ascii="Arial" w:hAnsi="Arial" w:cs="Arial"/>
                <w:sz w:val="20"/>
                <w:szCs w:val="20"/>
                <w:lang w:val="en-US"/>
              </w:rPr>
            </w:pPr>
            <w:r w:rsidRPr="006138E1">
              <w:rPr>
                <w:rFonts w:ascii="Arial" w:hAnsi="Arial" w:cs="Arial"/>
                <w:sz w:val="20"/>
                <w:szCs w:val="20"/>
                <w:lang w:val="en-US"/>
              </w:rPr>
              <w:t xml:space="preserve">At least once a year, </w:t>
            </w:r>
          </w:p>
          <w:p w14:paraId="6A94E034" w14:textId="77777777" w:rsidR="00733148" w:rsidRPr="006138E1" w:rsidRDefault="00733148" w:rsidP="00733148">
            <w:pPr>
              <w:pStyle w:val="KeinAbsatzformat"/>
              <w:rPr>
                <w:rFonts w:ascii="Arial" w:hAnsi="Arial" w:cs="Arial"/>
                <w:sz w:val="20"/>
                <w:szCs w:val="20"/>
                <w:lang w:val="en-US"/>
              </w:rPr>
            </w:pPr>
            <w:r w:rsidRPr="006138E1">
              <w:rPr>
                <w:rFonts w:ascii="Arial" w:hAnsi="Arial" w:cs="Arial"/>
                <w:sz w:val="20"/>
                <w:szCs w:val="20"/>
                <w:lang w:val="en-US"/>
              </w:rPr>
              <w:t>if relevant more frequently/quarterly</w:t>
            </w:r>
          </w:p>
        </w:tc>
      </w:tr>
      <w:bookmarkEnd w:id="6"/>
    </w:tbl>
    <w:p w14:paraId="1C44B124" w14:textId="77777777" w:rsidR="001B54EB" w:rsidRDefault="001B54EB">
      <w:pPr>
        <w:pStyle w:val="scfbrieftext"/>
        <w:spacing w:before="120"/>
        <w:ind w:right="565"/>
        <w:rPr>
          <w:rFonts w:cs="Arial"/>
          <w:color w:val="000000"/>
        </w:rPr>
      </w:pPr>
    </w:p>
    <w:p w14:paraId="1C44B15E" w14:textId="77777777" w:rsidR="001B54EB" w:rsidRDefault="001B54EB">
      <w:pPr>
        <w:pStyle w:val="KeinAbsatzformat"/>
        <w:rPr>
          <w:lang w:val="en-US"/>
        </w:rPr>
      </w:pPr>
    </w:p>
    <w:p w14:paraId="45482939" w14:textId="0D5210D2" w:rsidR="0055208D" w:rsidRPr="0055208D" w:rsidRDefault="0055208D" w:rsidP="0055208D">
      <w:pPr>
        <w:pStyle w:val="berschrift3"/>
        <w:numPr>
          <w:ilvl w:val="2"/>
          <w:numId w:val="34"/>
        </w:numPr>
        <w:spacing w:after="240"/>
        <w:jc w:val="both"/>
      </w:pPr>
      <w:bookmarkStart w:id="7" w:name="_Compliance_cases"/>
      <w:bookmarkEnd w:id="7"/>
      <w:r>
        <w:t>Compliance cases</w:t>
      </w:r>
    </w:p>
    <w:tbl>
      <w:tblPr>
        <w:tblStyle w:val="Tabellenraster2"/>
        <w:tblW w:w="0" w:type="auto"/>
        <w:tblInd w:w="108" w:type="dxa"/>
        <w:tblLook w:val="04A0" w:firstRow="1" w:lastRow="0" w:firstColumn="1" w:lastColumn="0" w:noHBand="0" w:noVBand="1"/>
      </w:tblPr>
      <w:tblGrid>
        <w:gridCol w:w="2019"/>
        <w:gridCol w:w="1854"/>
        <w:gridCol w:w="5578"/>
      </w:tblGrid>
      <w:tr w:rsidR="001B54EB" w14:paraId="1C44B162" w14:textId="77777777" w:rsidTr="00561D7E">
        <w:trPr>
          <w:trHeight w:val="478"/>
        </w:trPr>
        <w:tc>
          <w:tcPr>
            <w:tcW w:w="2019" w:type="dxa"/>
            <w:tcMar>
              <w:top w:w="28" w:type="dxa"/>
              <w:bottom w:w="28" w:type="dxa"/>
            </w:tcMar>
          </w:tcPr>
          <w:p w14:paraId="1C44B15F" w14:textId="77777777" w:rsidR="001B54EB" w:rsidRDefault="002913D4">
            <w:pPr>
              <w:rPr>
                <w:rFonts w:ascii="Arial" w:hAnsi="Arial" w:cs="Arial"/>
                <w:b/>
                <w:lang w:val="en-US"/>
              </w:rPr>
            </w:pPr>
            <w:r>
              <w:rPr>
                <w:rFonts w:ascii="Arial" w:hAnsi="Arial" w:cs="Arial"/>
                <w:b/>
                <w:lang w:val="en-US"/>
              </w:rPr>
              <w:t>Topic</w:t>
            </w:r>
          </w:p>
        </w:tc>
        <w:tc>
          <w:tcPr>
            <w:tcW w:w="7432" w:type="dxa"/>
            <w:gridSpan w:val="2"/>
            <w:tcMar>
              <w:top w:w="28" w:type="dxa"/>
              <w:bottom w:w="28" w:type="dxa"/>
            </w:tcMar>
          </w:tcPr>
          <w:p w14:paraId="1C44B160" w14:textId="77777777" w:rsidR="001B54EB" w:rsidRPr="00CA7A25" w:rsidRDefault="002913D4">
            <w:pPr>
              <w:rPr>
                <w:rFonts w:ascii="Arial" w:hAnsi="Arial" w:cs="Arial"/>
                <w:b/>
                <w:lang w:val="en-US"/>
              </w:rPr>
            </w:pPr>
            <w:r w:rsidRPr="00CA7A25">
              <w:rPr>
                <w:rFonts w:ascii="Arial" w:hAnsi="Arial" w:cs="Arial"/>
                <w:b/>
                <w:lang w:val="en-US"/>
              </w:rPr>
              <w:t>Compliance cases</w:t>
            </w:r>
          </w:p>
          <w:p w14:paraId="1C44B161" w14:textId="77777777" w:rsidR="001B54EB" w:rsidRDefault="002913D4">
            <w:pPr>
              <w:rPr>
                <w:rFonts w:ascii="Arial" w:hAnsi="Arial" w:cs="Arial"/>
                <w:lang w:val="en-US"/>
              </w:rPr>
            </w:pPr>
            <w:r>
              <w:rPr>
                <w:rFonts w:ascii="Arial" w:hAnsi="Arial" w:cs="Arial"/>
                <w:lang w:val="en-US"/>
              </w:rPr>
              <w:t>Development of central and local cases, trends and mitigation measures, disciplinary sanctions</w:t>
            </w:r>
          </w:p>
        </w:tc>
      </w:tr>
      <w:tr w:rsidR="001B54EB" w14:paraId="1C44B165" w14:textId="77777777" w:rsidTr="00561D7E">
        <w:trPr>
          <w:trHeight w:val="232"/>
        </w:trPr>
        <w:tc>
          <w:tcPr>
            <w:tcW w:w="2019" w:type="dxa"/>
            <w:tcMar>
              <w:top w:w="28" w:type="dxa"/>
              <w:bottom w:w="28" w:type="dxa"/>
            </w:tcMar>
          </w:tcPr>
          <w:p w14:paraId="1C44B163" w14:textId="77777777" w:rsidR="001B54EB" w:rsidRDefault="002913D4">
            <w:pPr>
              <w:rPr>
                <w:rFonts w:ascii="Arial" w:hAnsi="Arial" w:cs="Arial"/>
                <w:b/>
                <w:lang w:val="en-US"/>
              </w:rPr>
            </w:pPr>
            <w:r>
              <w:rPr>
                <w:rFonts w:ascii="Arial" w:hAnsi="Arial" w:cs="Arial"/>
                <w:b/>
                <w:lang w:val="en-US"/>
              </w:rPr>
              <w:t>Frequency</w:t>
            </w:r>
          </w:p>
        </w:tc>
        <w:tc>
          <w:tcPr>
            <w:tcW w:w="7432" w:type="dxa"/>
            <w:gridSpan w:val="2"/>
            <w:tcMar>
              <w:top w:w="28" w:type="dxa"/>
              <w:bottom w:w="28" w:type="dxa"/>
            </w:tcMar>
          </w:tcPr>
          <w:p w14:paraId="1C44B164" w14:textId="77777777" w:rsidR="001B54EB" w:rsidRDefault="002913D4">
            <w:pPr>
              <w:rPr>
                <w:rFonts w:ascii="Arial" w:hAnsi="Arial" w:cs="Arial"/>
                <w:lang w:val="en-US"/>
              </w:rPr>
            </w:pPr>
            <w:r>
              <w:rPr>
                <w:rFonts w:ascii="Arial" w:hAnsi="Arial" w:cs="Arial"/>
                <w:lang w:val="en-US"/>
              </w:rPr>
              <w:t>Quarterly</w:t>
            </w:r>
          </w:p>
        </w:tc>
      </w:tr>
      <w:tr w:rsidR="001B54EB" w14:paraId="1C44B16E" w14:textId="77777777" w:rsidTr="00561D7E">
        <w:trPr>
          <w:trHeight w:val="232"/>
        </w:trPr>
        <w:tc>
          <w:tcPr>
            <w:tcW w:w="2019" w:type="dxa"/>
            <w:vMerge w:val="restart"/>
            <w:tcMar>
              <w:top w:w="28" w:type="dxa"/>
              <w:bottom w:w="28" w:type="dxa"/>
            </w:tcMar>
          </w:tcPr>
          <w:p w14:paraId="1C44B169" w14:textId="77777777" w:rsidR="001B54EB" w:rsidRDefault="002913D4">
            <w:pPr>
              <w:rPr>
                <w:rFonts w:ascii="Arial" w:hAnsi="Arial" w:cs="Arial"/>
                <w:b/>
                <w:lang w:val="en-US"/>
              </w:rPr>
            </w:pPr>
            <w:r>
              <w:rPr>
                <w:rFonts w:ascii="Arial" w:hAnsi="Arial" w:cs="Arial"/>
                <w:b/>
                <w:lang w:val="en-US"/>
              </w:rPr>
              <w:t>Content</w:t>
            </w:r>
          </w:p>
          <w:p w14:paraId="1C44B16A" w14:textId="77777777" w:rsidR="001B54EB" w:rsidRDefault="002913D4">
            <w:pPr>
              <w:rPr>
                <w:rFonts w:ascii="Arial" w:hAnsi="Arial" w:cs="Arial"/>
                <w:b/>
                <w:lang w:val="en-US"/>
              </w:rPr>
            </w:pPr>
            <w:r>
              <w:rPr>
                <w:rFonts w:ascii="Arial" w:hAnsi="Arial" w:cs="Arial"/>
                <w:b/>
                <w:lang w:val="en-US"/>
              </w:rPr>
              <w:t xml:space="preserve"> </w:t>
            </w:r>
          </w:p>
          <w:p w14:paraId="1C44B16B" w14:textId="77777777" w:rsidR="001B54EB" w:rsidRDefault="001B54EB">
            <w:pPr>
              <w:rPr>
                <w:rFonts w:ascii="Arial" w:hAnsi="Arial" w:cs="Arial"/>
                <w:b/>
                <w:lang w:val="en-US"/>
              </w:rPr>
            </w:pPr>
          </w:p>
        </w:tc>
        <w:tc>
          <w:tcPr>
            <w:tcW w:w="1854" w:type="dxa"/>
            <w:tcMar>
              <w:top w:w="28" w:type="dxa"/>
              <w:bottom w:w="28" w:type="dxa"/>
            </w:tcMar>
          </w:tcPr>
          <w:p w14:paraId="1C44B16C" w14:textId="77777777" w:rsidR="001B54EB" w:rsidRDefault="002913D4">
            <w:pPr>
              <w:rPr>
                <w:rFonts w:ascii="Arial" w:hAnsi="Arial" w:cs="Arial"/>
                <w:b/>
                <w:lang w:val="en-US"/>
              </w:rPr>
            </w:pPr>
            <w:r>
              <w:rPr>
                <w:rFonts w:ascii="Arial" w:hAnsi="Arial" w:cs="Arial"/>
                <w:b/>
                <w:lang w:val="en-US"/>
              </w:rPr>
              <w:t>Topics</w:t>
            </w:r>
          </w:p>
        </w:tc>
        <w:tc>
          <w:tcPr>
            <w:tcW w:w="5578" w:type="dxa"/>
            <w:tcMar>
              <w:top w:w="28" w:type="dxa"/>
              <w:bottom w:w="28" w:type="dxa"/>
            </w:tcMar>
          </w:tcPr>
          <w:p w14:paraId="1C44B16D" w14:textId="77777777" w:rsidR="001B54EB" w:rsidRDefault="002913D4">
            <w:pPr>
              <w:rPr>
                <w:rFonts w:ascii="Arial" w:hAnsi="Arial" w:cs="Arial"/>
                <w:b/>
                <w:lang w:val="en-US"/>
              </w:rPr>
            </w:pPr>
            <w:r>
              <w:rPr>
                <w:rFonts w:ascii="Arial" w:hAnsi="Arial" w:cs="Arial"/>
                <w:b/>
                <w:lang w:val="en-US"/>
              </w:rPr>
              <w:t>Description</w:t>
            </w:r>
          </w:p>
        </w:tc>
      </w:tr>
      <w:tr w:rsidR="001B54EB" w14:paraId="1C44B172" w14:textId="77777777" w:rsidTr="00561D7E">
        <w:trPr>
          <w:trHeight w:val="724"/>
        </w:trPr>
        <w:tc>
          <w:tcPr>
            <w:tcW w:w="2019" w:type="dxa"/>
            <w:vMerge/>
            <w:tcMar>
              <w:top w:w="28" w:type="dxa"/>
              <w:bottom w:w="28" w:type="dxa"/>
            </w:tcMar>
          </w:tcPr>
          <w:p w14:paraId="1C44B16F" w14:textId="77777777" w:rsidR="001B54EB" w:rsidRDefault="001B54EB">
            <w:pPr>
              <w:rPr>
                <w:rFonts w:ascii="Arial" w:hAnsi="Arial" w:cs="Arial"/>
                <w:lang w:val="en-US"/>
              </w:rPr>
            </w:pPr>
          </w:p>
        </w:tc>
        <w:tc>
          <w:tcPr>
            <w:tcW w:w="1854" w:type="dxa"/>
            <w:tcMar>
              <w:top w:w="28" w:type="dxa"/>
              <w:bottom w:w="28" w:type="dxa"/>
            </w:tcMar>
          </w:tcPr>
          <w:p w14:paraId="1C44B170" w14:textId="77777777" w:rsidR="001B54EB" w:rsidRDefault="002913D4">
            <w:pPr>
              <w:rPr>
                <w:rFonts w:ascii="Arial" w:hAnsi="Arial" w:cs="Arial"/>
                <w:lang w:val="en-US"/>
              </w:rPr>
            </w:pPr>
            <w:r>
              <w:rPr>
                <w:rFonts w:ascii="Arial" w:hAnsi="Arial" w:cs="Arial"/>
                <w:lang w:val="en-US"/>
              </w:rPr>
              <w:t>Case development</w:t>
            </w:r>
          </w:p>
        </w:tc>
        <w:tc>
          <w:tcPr>
            <w:tcW w:w="5578" w:type="dxa"/>
            <w:tcMar>
              <w:top w:w="28" w:type="dxa"/>
              <w:bottom w:w="28" w:type="dxa"/>
            </w:tcMar>
          </w:tcPr>
          <w:p w14:paraId="1C44B171" w14:textId="77777777" w:rsidR="001B54EB" w:rsidRDefault="002913D4">
            <w:pPr>
              <w:rPr>
                <w:rFonts w:ascii="Arial" w:hAnsi="Arial" w:cs="Arial"/>
                <w:lang w:val="en-US"/>
              </w:rPr>
            </w:pPr>
            <w:r>
              <w:rPr>
                <w:rFonts w:ascii="Arial" w:hAnsi="Arial" w:cs="Arial"/>
                <w:lang w:val="en-US"/>
              </w:rPr>
              <w:t>Cases open at the end of the previous quarter, additional cases in the present quarter, closed cases in the present quarter, open cases by the end of the present quarter; cases &gt;9 months old</w:t>
            </w:r>
          </w:p>
        </w:tc>
      </w:tr>
      <w:tr w:rsidR="001B54EB" w14:paraId="1C44B176" w14:textId="77777777" w:rsidTr="00561D7E">
        <w:trPr>
          <w:trHeight w:val="232"/>
        </w:trPr>
        <w:tc>
          <w:tcPr>
            <w:tcW w:w="2019" w:type="dxa"/>
            <w:vMerge/>
            <w:tcMar>
              <w:top w:w="28" w:type="dxa"/>
              <w:bottom w:w="28" w:type="dxa"/>
            </w:tcMar>
          </w:tcPr>
          <w:p w14:paraId="1C44B173" w14:textId="77777777" w:rsidR="001B54EB" w:rsidRDefault="001B54EB">
            <w:pPr>
              <w:rPr>
                <w:rFonts w:ascii="Arial" w:hAnsi="Arial" w:cs="Arial"/>
                <w:lang w:val="en-US"/>
              </w:rPr>
            </w:pPr>
          </w:p>
        </w:tc>
        <w:tc>
          <w:tcPr>
            <w:tcW w:w="1854" w:type="dxa"/>
            <w:tcMar>
              <w:top w:w="28" w:type="dxa"/>
              <w:bottom w:w="28" w:type="dxa"/>
            </w:tcMar>
          </w:tcPr>
          <w:p w14:paraId="1C44B174" w14:textId="77777777" w:rsidR="001B54EB" w:rsidRDefault="002913D4">
            <w:pPr>
              <w:rPr>
                <w:rFonts w:ascii="Arial" w:hAnsi="Arial" w:cs="Arial"/>
                <w:lang w:val="en-US"/>
              </w:rPr>
            </w:pPr>
            <w:r>
              <w:rPr>
                <w:rFonts w:ascii="Arial" w:hAnsi="Arial" w:cs="Arial"/>
                <w:lang w:val="en-US"/>
              </w:rPr>
              <w:t>Progress phase</w:t>
            </w:r>
          </w:p>
        </w:tc>
        <w:tc>
          <w:tcPr>
            <w:tcW w:w="5578" w:type="dxa"/>
            <w:tcMar>
              <w:top w:w="28" w:type="dxa"/>
              <w:bottom w:w="28" w:type="dxa"/>
            </w:tcMar>
          </w:tcPr>
          <w:p w14:paraId="1C44B175" w14:textId="77777777" w:rsidR="001B54EB" w:rsidRDefault="002913D4">
            <w:pPr>
              <w:rPr>
                <w:rFonts w:ascii="Arial" w:hAnsi="Arial" w:cs="Arial"/>
                <w:lang w:val="en-US"/>
              </w:rPr>
            </w:pPr>
            <w:r>
              <w:rPr>
                <w:rFonts w:ascii="Arial" w:hAnsi="Arial" w:cs="Arial"/>
                <w:lang w:val="en-US"/>
              </w:rPr>
              <w:t>Pre-evaluation, clarification, remediation</w:t>
            </w:r>
          </w:p>
        </w:tc>
      </w:tr>
      <w:tr w:rsidR="001B54EB" w14:paraId="1C44B17A" w14:textId="77777777" w:rsidTr="00561D7E">
        <w:trPr>
          <w:trHeight w:val="710"/>
        </w:trPr>
        <w:tc>
          <w:tcPr>
            <w:tcW w:w="2019" w:type="dxa"/>
            <w:vMerge/>
            <w:tcMar>
              <w:top w:w="28" w:type="dxa"/>
              <w:bottom w:w="28" w:type="dxa"/>
            </w:tcMar>
          </w:tcPr>
          <w:p w14:paraId="1C44B177" w14:textId="77777777" w:rsidR="001B54EB" w:rsidRDefault="001B54EB">
            <w:pPr>
              <w:rPr>
                <w:rFonts w:ascii="Arial" w:hAnsi="Arial" w:cs="Arial"/>
                <w:lang w:val="en-US"/>
              </w:rPr>
            </w:pPr>
          </w:p>
        </w:tc>
        <w:tc>
          <w:tcPr>
            <w:tcW w:w="1854" w:type="dxa"/>
            <w:tcMar>
              <w:top w:w="28" w:type="dxa"/>
              <w:bottom w:w="28" w:type="dxa"/>
            </w:tcMar>
          </w:tcPr>
          <w:p w14:paraId="1C44B178" w14:textId="77777777" w:rsidR="001B54EB" w:rsidRDefault="002913D4">
            <w:pPr>
              <w:rPr>
                <w:rFonts w:ascii="Arial" w:hAnsi="Arial" w:cs="Arial"/>
                <w:lang w:val="en-US"/>
              </w:rPr>
            </w:pPr>
            <w:r>
              <w:rPr>
                <w:rFonts w:ascii="Arial" w:hAnsi="Arial" w:cs="Arial"/>
                <w:lang w:val="en-US"/>
              </w:rPr>
              <w:t>Key issues and significant trends</w:t>
            </w:r>
          </w:p>
        </w:tc>
        <w:tc>
          <w:tcPr>
            <w:tcW w:w="5578" w:type="dxa"/>
            <w:tcMar>
              <w:top w:w="28" w:type="dxa"/>
              <w:bottom w:w="28" w:type="dxa"/>
            </w:tcMar>
          </w:tcPr>
          <w:p w14:paraId="1C44B179" w14:textId="05745514" w:rsidR="001B54EB" w:rsidRDefault="002913D4">
            <w:pPr>
              <w:rPr>
                <w:rFonts w:ascii="Arial" w:hAnsi="Arial" w:cs="Arial"/>
                <w:lang w:val="en-US"/>
              </w:rPr>
            </w:pPr>
            <w:r>
              <w:rPr>
                <w:rFonts w:ascii="Arial" w:hAnsi="Arial" w:cs="Arial"/>
                <w:lang w:val="en-US"/>
              </w:rPr>
              <w:t>Please give information corresponding to the key compliance issues that have been detected in the cases, such as issues concerning a specific sales channel or department.</w:t>
            </w:r>
          </w:p>
        </w:tc>
      </w:tr>
      <w:tr w:rsidR="001B54EB" w14:paraId="1C44B17E" w14:textId="77777777" w:rsidTr="00561D7E">
        <w:trPr>
          <w:trHeight w:val="1419"/>
        </w:trPr>
        <w:tc>
          <w:tcPr>
            <w:tcW w:w="2019" w:type="dxa"/>
            <w:vMerge/>
            <w:tcMar>
              <w:top w:w="28" w:type="dxa"/>
              <w:bottom w:w="28" w:type="dxa"/>
            </w:tcMar>
          </w:tcPr>
          <w:p w14:paraId="1C44B17B" w14:textId="77777777" w:rsidR="001B54EB" w:rsidRDefault="001B54EB">
            <w:pPr>
              <w:rPr>
                <w:rFonts w:ascii="Arial" w:hAnsi="Arial" w:cs="Arial"/>
                <w:lang w:val="en-US"/>
              </w:rPr>
            </w:pPr>
          </w:p>
        </w:tc>
        <w:tc>
          <w:tcPr>
            <w:tcW w:w="1854" w:type="dxa"/>
            <w:tcMar>
              <w:top w:w="28" w:type="dxa"/>
              <w:bottom w:w="28" w:type="dxa"/>
            </w:tcMar>
          </w:tcPr>
          <w:p w14:paraId="1C44B17C" w14:textId="77777777" w:rsidR="001B54EB" w:rsidRDefault="002913D4">
            <w:pPr>
              <w:rPr>
                <w:rFonts w:ascii="Arial" w:hAnsi="Arial" w:cs="Arial"/>
                <w:lang w:val="en-US"/>
              </w:rPr>
            </w:pPr>
            <w:r>
              <w:rPr>
                <w:rFonts w:ascii="Arial" w:hAnsi="Arial" w:cs="Arial"/>
                <w:lang w:val="en-US"/>
              </w:rPr>
              <w:t>Mitigation measures</w:t>
            </w:r>
          </w:p>
        </w:tc>
        <w:tc>
          <w:tcPr>
            <w:tcW w:w="5578" w:type="dxa"/>
            <w:tcMar>
              <w:top w:w="28" w:type="dxa"/>
              <w:bottom w:w="28" w:type="dxa"/>
            </w:tcMar>
          </w:tcPr>
          <w:p w14:paraId="1C44B17D" w14:textId="77777777" w:rsidR="001B54EB" w:rsidRDefault="002913D4">
            <w:pPr>
              <w:rPr>
                <w:rFonts w:ascii="Arial" w:hAnsi="Arial" w:cs="Arial"/>
                <w:lang w:val="en-US"/>
              </w:rPr>
            </w:pPr>
            <w:r>
              <w:rPr>
                <w:rFonts w:ascii="Arial" w:hAnsi="Arial" w:cs="Arial"/>
                <w:lang w:val="en-US"/>
              </w:rPr>
              <w:t>Please list the significant mitigation measures that have been implemented to mitigate risks detected during the clarification of cases, such as activities concerning an entire department, several units (AREs) or the Regional Companies (RC); measures concerning a sales channel or a certain business type; activities that require an analysis or review of local policies, systems or tools, and so on.</w:t>
            </w:r>
          </w:p>
        </w:tc>
      </w:tr>
      <w:tr w:rsidR="001B54EB" w14:paraId="1C44B182" w14:textId="77777777" w:rsidTr="00561D7E">
        <w:trPr>
          <w:trHeight w:val="292"/>
        </w:trPr>
        <w:tc>
          <w:tcPr>
            <w:tcW w:w="2019" w:type="dxa"/>
            <w:vMerge/>
            <w:tcMar>
              <w:top w:w="28" w:type="dxa"/>
              <w:bottom w:w="28" w:type="dxa"/>
            </w:tcMar>
          </w:tcPr>
          <w:p w14:paraId="1C44B17F" w14:textId="77777777" w:rsidR="001B54EB" w:rsidRDefault="001B54EB">
            <w:pPr>
              <w:rPr>
                <w:rFonts w:ascii="Arial" w:hAnsi="Arial" w:cs="Arial"/>
                <w:lang w:val="en-US"/>
              </w:rPr>
            </w:pPr>
          </w:p>
        </w:tc>
        <w:tc>
          <w:tcPr>
            <w:tcW w:w="1854" w:type="dxa"/>
            <w:tcMar>
              <w:top w:w="28" w:type="dxa"/>
              <w:bottom w:w="28" w:type="dxa"/>
            </w:tcMar>
          </w:tcPr>
          <w:p w14:paraId="1C44B180" w14:textId="77777777" w:rsidR="001B54EB" w:rsidRDefault="002913D4">
            <w:pPr>
              <w:rPr>
                <w:rFonts w:ascii="Arial" w:hAnsi="Arial" w:cs="Arial"/>
                <w:lang w:val="en-US"/>
              </w:rPr>
            </w:pPr>
            <w:r>
              <w:rPr>
                <w:rFonts w:ascii="Arial" w:hAnsi="Arial" w:cs="Arial"/>
                <w:lang w:val="en-US"/>
              </w:rPr>
              <w:t>Disciplinary sanctions</w:t>
            </w:r>
          </w:p>
        </w:tc>
        <w:tc>
          <w:tcPr>
            <w:tcW w:w="5578" w:type="dxa"/>
            <w:tcMar>
              <w:top w:w="28" w:type="dxa"/>
              <w:bottom w:w="28" w:type="dxa"/>
            </w:tcMar>
          </w:tcPr>
          <w:p w14:paraId="1C44B181" w14:textId="77777777" w:rsidR="001B54EB" w:rsidRDefault="002913D4">
            <w:pPr>
              <w:rPr>
                <w:rFonts w:ascii="Arial" w:hAnsi="Arial" w:cs="Arial"/>
                <w:lang w:val="en-US"/>
              </w:rPr>
            </w:pPr>
            <w:r>
              <w:rPr>
                <w:rFonts w:ascii="Arial" w:hAnsi="Arial" w:cs="Arial"/>
                <w:lang w:val="en-US"/>
              </w:rPr>
              <w:t>Sanctions for non-compliant behavior</w:t>
            </w:r>
          </w:p>
        </w:tc>
      </w:tr>
    </w:tbl>
    <w:p w14:paraId="1A40A3CB" w14:textId="77777777" w:rsidR="003E5F34" w:rsidRDefault="003E5F34" w:rsidP="003E5F34"/>
    <w:p w14:paraId="79956E6C" w14:textId="632A05F0" w:rsidR="003E5F34" w:rsidRPr="0055208D" w:rsidRDefault="003E5F34" w:rsidP="003E5F34">
      <w:pPr>
        <w:pStyle w:val="berschrift3"/>
        <w:numPr>
          <w:ilvl w:val="2"/>
          <w:numId w:val="34"/>
        </w:numPr>
        <w:spacing w:after="240"/>
        <w:jc w:val="both"/>
      </w:pPr>
      <w:bookmarkStart w:id="8" w:name="_Export_control_cases_1"/>
      <w:bookmarkEnd w:id="8"/>
      <w:r>
        <w:t xml:space="preserve">Export </w:t>
      </w:r>
      <w:r w:rsidR="00D8054F">
        <w:t>C</w:t>
      </w:r>
      <w:r>
        <w:t xml:space="preserve">ontrol </w:t>
      </w:r>
    </w:p>
    <w:tbl>
      <w:tblPr>
        <w:tblStyle w:val="Tabellenraster3"/>
        <w:tblW w:w="0" w:type="auto"/>
        <w:tblInd w:w="108" w:type="dxa"/>
        <w:tblLook w:val="04A0" w:firstRow="1" w:lastRow="0" w:firstColumn="1" w:lastColumn="0" w:noHBand="0" w:noVBand="1"/>
      </w:tblPr>
      <w:tblGrid>
        <w:gridCol w:w="2019"/>
        <w:gridCol w:w="1854"/>
        <w:gridCol w:w="5517"/>
      </w:tblGrid>
      <w:tr w:rsidR="003E5F34" w14:paraId="7AC04854" w14:textId="77777777" w:rsidTr="00561D7E">
        <w:trPr>
          <w:trHeight w:val="147"/>
        </w:trPr>
        <w:tc>
          <w:tcPr>
            <w:tcW w:w="2019" w:type="dxa"/>
            <w:tcMar>
              <w:top w:w="28" w:type="dxa"/>
              <w:bottom w:w="28" w:type="dxa"/>
            </w:tcMar>
          </w:tcPr>
          <w:p w14:paraId="74BA176C" w14:textId="77777777" w:rsidR="003E5F34" w:rsidRDefault="003E5F34" w:rsidP="003E5F34">
            <w:pPr>
              <w:rPr>
                <w:rFonts w:ascii="Arial" w:hAnsi="Arial" w:cs="Arial"/>
                <w:b/>
                <w:lang w:val="en-US"/>
              </w:rPr>
            </w:pPr>
            <w:r>
              <w:rPr>
                <w:rFonts w:ascii="Arial" w:hAnsi="Arial" w:cs="Arial"/>
                <w:b/>
                <w:lang w:val="en-US"/>
              </w:rPr>
              <w:t>Topic</w:t>
            </w:r>
          </w:p>
        </w:tc>
        <w:tc>
          <w:tcPr>
            <w:tcW w:w="7371" w:type="dxa"/>
            <w:gridSpan w:val="2"/>
            <w:tcMar>
              <w:top w:w="28" w:type="dxa"/>
              <w:bottom w:w="28" w:type="dxa"/>
            </w:tcMar>
          </w:tcPr>
          <w:p w14:paraId="2221838C" w14:textId="41EF6CC6" w:rsidR="003E5F34" w:rsidRDefault="003E5F34" w:rsidP="003E5F34">
            <w:pPr>
              <w:rPr>
                <w:rFonts w:cs="Arial"/>
                <w:b/>
                <w:lang w:val="en-US"/>
              </w:rPr>
            </w:pPr>
            <w:r>
              <w:rPr>
                <w:rFonts w:ascii="Arial" w:hAnsi="Arial" w:cs="Arial"/>
                <w:b/>
                <w:lang w:val="en-US"/>
              </w:rPr>
              <w:t xml:space="preserve">Export Control </w:t>
            </w:r>
          </w:p>
        </w:tc>
      </w:tr>
      <w:tr w:rsidR="003E5F34" w14:paraId="23E84E64" w14:textId="77777777" w:rsidTr="00561D7E">
        <w:trPr>
          <w:trHeight w:val="232"/>
        </w:trPr>
        <w:tc>
          <w:tcPr>
            <w:tcW w:w="2019" w:type="dxa"/>
            <w:tcMar>
              <w:top w:w="28" w:type="dxa"/>
              <w:bottom w:w="28" w:type="dxa"/>
            </w:tcMar>
          </w:tcPr>
          <w:p w14:paraId="3DA3C0BE" w14:textId="77777777" w:rsidR="003E5F34" w:rsidRDefault="003E5F34" w:rsidP="003E5F34">
            <w:pPr>
              <w:rPr>
                <w:rFonts w:ascii="Arial" w:hAnsi="Arial" w:cs="Arial"/>
                <w:b/>
                <w:lang w:val="en-US"/>
              </w:rPr>
            </w:pPr>
            <w:r>
              <w:rPr>
                <w:rFonts w:ascii="Arial" w:hAnsi="Arial" w:cs="Arial"/>
                <w:b/>
                <w:lang w:val="en-US"/>
              </w:rPr>
              <w:t>Frequency</w:t>
            </w:r>
          </w:p>
        </w:tc>
        <w:tc>
          <w:tcPr>
            <w:tcW w:w="7371" w:type="dxa"/>
            <w:gridSpan w:val="2"/>
            <w:tcMar>
              <w:top w:w="28" w:type="dxa"/>
              <w:bottom w:w="28" w:type="dxa"/>
            </w:tcMar>
          </w:tcPr>
          <w:p w14:paraId="4E260706" w14:textId="113363EB" w:rsidR="003E5F34" w:rsidRDefault="00D8054F" w:rsidP="003E5F34">
            <w:pPr>
              <w:rPr>
                <w:rFonts w:ascii="Arial" w:hAnsi="Arial" w:cs="Arial"/>
                <w:lang w:val="en-US"/>
              </w:rPr>
            </w:pPr>
            <w:r>
              <w:rPr>
                <w:rFonts w:ascii="Arial" w:hAnsi="Arial" w:cs="Arial"/>
                <w:lang w:val="en-US"/>
              </w:rPr>
              <w:t xml:space="preserve">Once per year </w:t>
            </w:r>
          </w:p>
        </w:tc>
      </w:tr>
      <w:tr w:rsidR="00D8054F" w14:paraId="5316227E" w14:textId="77777777" w:rsidTr="00561D7E">
        <w:trPr>
          <w:trHeight w:val="232"/>
        </w:trPr>
        <w:tc>
          <w:tcPr>
            <w:tcW w:w="2019" w:type="dxa"/>
            <w:vMerge w:val="restart"/>
            <w:tcMar>
              <w:top w:w="28" w:type="dxa"/>
              <w:bottom w:w="28" w:type="dxa"/>
            </w:tcMar>
          </w:tcPr>
          <w:p w14:paraId="6C8E6C75" w14:textId="77777777" w:rsidR="00D8054F" w:rsidRDefault="00D8054F" w:rsidP="003E5F34">
            <w:pPr>
              <w:rPr>
                <w:rFonts w:ascii="Arial" w:hAnsi="Arial" w:cs="Arial"/>
                <w:b/>
                <w:lang w:val="en-US"/>
              </w:rPr>
            </w:pPr>
            <w:r>
              <w:rPr>
                <w:rFonts w:ascii="Arial" w:hAnsi="Arial" w:cs="Arial"/>
                <w:b/>
                <w:lang w:val="en-US"/>
              </w:rPr>
              <w:t>Content</w:t>
            </w:r>
          </w:p>
          <w:p w14:paraId="2EE3B74C" w14:textId="77777777" w:rsidR="00D8054F" w:rsidRDefault="00D8054F" w:rsidP="003E5F34">
            <w:pPr>
              <w:rPr>
                <w:rFonts w:ascii="Arial" w:hAnsi="Arial" w:cs="Arial"/>
                <w:b/>
                <w:lang w:val="en-US"/>
              </w:rPr>
            </w:pPr>
            <w:r>
              <w:rPr>
                <w:rFonts w:ascii="Arial" w:hAnsi="Arial" w:cs="Arial"/>
                <w:b/>
                <w:lang w:val="en-US"/>
              </w:rPr>
              <w:t xml:space="preserve"> </w:t>
            </w:r>
          </w:p>
          <w:p w14:paraId="70FB9C93" w14:textId="77777777" w:rsidR="00D8054F" w:rsidRDefault="00D8054F" w:rsidP="003E5F34">
            <w:pPr>
              <w:rPr>
                <w:rFonts w:ascii="Arial" w:hAnsi="Arial" w:cs="Arial"/>
                <w:b/>
                <w:lang w:val="en-US"/>
              </w:rPr>
            </w:pPr>
          </w:p>
        </w:tc>
        <w:tc>
          <w:tcPr>
            <w:tcW w:w="1854" w:type="dxa"/>
            <w:tcMar>
              <w:top w:w="28" w:type="dxa"/>
              <w:bottom w:w="28" w:type="dxa"/>
            </w:tcMar>
          </w:tcPr>
          <w:p w14:paraId="7FB2958E" w14:textId="77777777" w:rsidR="00D8054F" w:rsidRDefault="00D8054F" w:rsidP="003E5F34">
            <w:pPr>
              <w:rPr>
                <w:rFonts w:ascii="Arial" w:hAnsi="Arial" w:cs="Arial"/>
                <w:b/>
                <w:lang w:val="en-US"/>
              </w:rPr>
            </w:pPr>
            <w:r>
              <w:rPr>
                <w:rFonts w:ascii="Arial" w:hAnsi="Arial" w:cs="Arial"/>
                <w:b/>
                <w:lang w:val="en-US"/>
              </w:rPr>
              <w:t>Topics</w:t>
            </w:r>
          </w:p>
        </w:tc>
        <w:tc>
          <w:tcPr>
            <w:tcW w:w="5517" w:type="dxa"/>
            <w:tcMar>
              <w:top w:w="28" w:type="dxa"/>
              <w:bottom w:w="28" w:type="dxa"/>
            </w:tcMar>
          </w:tcPr>
          <w:p w14:paraId="012066D8" w14:textId="77777777" w:rsidR="00D8054F" w:rsidRDefault="00D8054F" w:rsidP="003E5F34">
            <w:pPr>
              <w:rPr>
                <w:rFonts w:ascii="Arial" w:hAnsi="Arial" w:cs="Arial"/>
                <w:b/>
                <w:lang w:val="en-US"/>
              </w:rPr>
            </w:pPr>
            <w:r>
              <w:rPr>
                <w:rFonts w:ascii="Arial" w:hAnsi="Arial" w:cs="Arial"/>
                <w:b/>
                <w:lang w:val="en-US"/>
              </w:rPr>
              <w:t>Description</w:t>
            </w:r>
          </w:p>
        </w:tc>
      </w:tr>
      <w:tr w:rsidR="00D8054F" w14:paraId="028D0397" w14:textId="77777777" w:rsidTr="00561D7E">
        <w:trPr>
          <w:trHeight w:val="724"/>
        </w:trPr>
        <w:tc>
          <w:tcPr>
            <w:tcW w:w="2019" w:type="dxa"/>
            <w:vMerge/>
            <w:tcMar>
              <w:top w:w="28" w:type="dxa"/>
              <w:bottom w:w="28" w:type="dxa"/>
            </w:tcMar>
          </w:tcPr>
          <w:p w14:paraId="13361431" w14:textId="77777777" w:rsidR="00D8054F" w:rsidRDefault="00D8054F" w:rsidP="00D8054F">
            <w:pPr>
              <w:spacing w:after="0" w:line="240" w:lineRule="auto"/>
              <w:rPr>
                <w:rFonts w:cs="Arial"/>
              </w:rPr>
            </w:pPr>
          </w:p>
        </w:tc>
        <w:tc>
          <w:tcPr>
            <w:tcW w:w="1854" w:type="dxa"/>
            <w:tcMar>
              <w:top w:w="28" w:type="dxa"/>
              <w:bottom w:w="28" w:type="dxa"/>
            </w:tcMar>
          </w:tcPr>
          <w:p w14:paraId="1CB167A1" w14:textId="6FC7FAEE" w:rsidR="00D8054F" w:rsidRDefault="00D8054F" w:rsidP="00D8054F">
            <w:pPr>
              <w:rPr>
                <w:rFonts w:ascii="Arial" w:hAnsi="Arial" w:cs="Arial"/>
                <w:lang w:val="en-US"/>
              </w:rPr>
            </w:pPr>
            <w:r w:rsidRPr="00211674">
              <w:rPr>
                <w:rFonts w:ascii="Arial" w:hAnsi="Arial" w:cs="Arial"/>
                <w:lang w:val="en-US"/>
              </w:rPr>
              <w:t xml:space="preserve">Monitoring ICP Compliance </w:t>
            </w:r>
          </w:p>
        </w:tc>
        <w:tc>
          <w:tcPr>
            <w:tcW w:w="5517" w:type="dxa"/>
            <w:tcMar>
              <w:top w:w="28" w:type="dxa"/>
              <w:bottom w:w="28" w:type="dxa"/>
            </w:tcMar>
          </w:tcPr>
          <w:p w14:paraId="1EEB0271" w14:textId="77777777" w:rsidR="00D8054F" w:rsidRPr="00211674" w:rsidRDefault="00D8054F" w:rsidP="00D8054F">
            <w:pPr>
              <w:numPr>
                <w:ilvl w:val="0"/>
                <w:numId w:val="32"/>
              </w:numPr>
              <w:ind w:left="312" w:hanging="218"/>
              <w:contextualSpacing/>
              <w:rPr>
                <w:rFonts w:ascii="Arial" w:hAnsi="Arial" w:cs="Arial"/>
                <w:lang w:val="en-US"/>
              </w:rPr>
            </w:pPr>
            <w:r w:rsidRPr="00211674">
              <w:rPr>
                <w:rFonts w:ascii="Arial" w:hAnsi="Arial" w:cs="Arial"/>
                <w:lang w:val="en-US"/>
              </w:rPr>
              <w:t>Status of MONA self-assessments (Spot Checks)</w:t>
            </w:r>
          </w:p>
          <w:p w14:paraId="38C97C86" w14:textId="77777777" w:rsidR="00D8054F" w:rsidRPr="00211674" w:rsidRDefault="00D8054F" w:rsidP="00D8054F">
            <w:pPr>
              <w:numPr>
                <w:ilvl w:val="0"/>
                <w:numId w:val="32"/>
              </w:numPr>
              <w:ind w:left="312" w:hanging="218"/>
              <w:contextualSpacing/>
              <w:rPr>
                <w:rFonts w:ascii="Arial" w:hAnsi="Arial" w:cs="Arial"/>
                <w:lang w:val="en-US"/>
              </w:rPr>
            </w:pPr>
            <w:r w:rsidRPr="00211674">
              <w:rPr>
                <w:rFonts w:ascii="Arial" w:hAnsi="Arial" w:cs="Arial"/>
                <w:lang w:val="en-US"/>
              </w:rPr>
              <w:t xml:space="preserve">Detected violations of export control and     </w:t>
            </w:r>
            <w:r w:rsidRPr="00211674">
              <w:rPr>
                <w:rFonts w:ascii="Arial" w:hAnsi="Arial" w:cs="Arial"/>
                <w:lang w:val="en-US"/>
              </w:rPr>
              <w:br/>
              <w:t>sanctions regulations</w:t>
            </w:r>
          </w:p>
          <w:p w14:paraId="24BAE17F" w14:textId="77777777" w:rsidR="00D8054F" w:rsidRPr="00211674" w:rsidRDefault="00D8054F" w:rsidP="00D8054F">
            <w:pPr>
              <w:numPr>
                <w:ilvl w:val="0"/>
                <w:numId w:val="32"/>
              </w:numPr>
              <w:ind w:left="312" w:hanging="218"/>
              <w:contextualSpacing/>
              <w:rPr>
                <w:rFonts w:ascii="Arial" w:hAnsi="Arial" w:cs="Arial"/>
                <w:lang w:val="en-US"/>
              </w:rPr>
            </w:pPr>
            <w:r>
              <w:rPr>
                <w:rFonts w:ascii="Arial" w:hAnsi="Arial" w:cs="Arial"/>
                <w:lang w:val="en-US"/>
              </w:rPr>
              <w:t>R</w:t>
            </w:r>
            <w:r w:rsidRPr="00211674">
              <w:rPr>
                <w:rFonts w:ascii="Arial" w:hAnsi="Arial" w:cs="Arial"/>
                <w:lang w:val="en-US"/>
              </w:rPr>
              <w:t xml:space="preserve">esults </w:t>
            </w:r>
            <w:r>
              <w:rPr>
                <w:rFonts w:ascii="Arial" w:hAnsi="Arial" w:cs="Arial"/>
                <w:lang w:val="en-US"/>
              </w:rPr>
              <w:t>of e</w:t>
            </w:r>
            <w:r w:rsidRPr="00211674">
              <w:rPr>
                <w:rFonts w:ascii="Arial" w:hAnsi="Arial" w:cs="Arial"/>
                <w:lang w:val="en-US"/>
              </w:rPr>
              <w:t xml:space="preserve">xternal and internal audit </w:t>
            </w:r>
          </w:p>
          <w:p w14:paraId="46FA11E3" w14:textId="30697D2F" w:rsidR="00D8054F" w:rsidRDefault="00D8054F" w:rsidP="00D8054F">
            <w:pPr>
              <w:numPr>
                <w:ilvl w:val="0"/>
                <w:numId w:val="32"/>
              </w:numPr>
              <w:ind w:left="312" w:hanging="218"/>
              <w:contextualSpacing/>
              <w:rPr>
                <w:rFonts w:ascii="Arial" w:hAnsi="Arial" w:cs="Arial"/>
                <w:lang w:val="en-US"/>
              </w:rPr>
            </w:pPr>
            <w:r w:rsidRPr="00166135">
              <w:rPr>
                <w:rFonts w:ascii="Arial" w:hAnsi="Arial" w:cs="Arial"/>
                <w:lang w:val="en-US"/>
              </w:rPr>
              <w:t>Status of issued remediation actions</w:t>
            </w:r>
          </w:p>
        </w:tc>
      </w:tr>
      <w:tr w:rsidR="00D8054F" w14:paraId="11904BFA" w14:textId="77777777" w:rsidTr="00561D7E">
        <w:trPr>
          <w:trHeight w:val="724"/>
        </w:trPr>
        <w:tc>
          <w:tcPr>
            <w:tcW w:w="2019" w:type="dxa"/>
            <w:vMerge/>
            <w:tcMar>
              <w:top w:w="28" w:type="dxa"/>
              <w:bottom w:w="28" w:type="dxa"/>
            </w:tcMar>
          </w:tcPr>
          <w:p w14:paraId="032C10B5" w14:textId="77777777" w:rsidR="00D8054F" w:rsidRPr="00D8054F" w:rsidRDefault="00D8054F" w:rsidP="00D8054F">
            <w:pPr>
              <w:spacing w:after="0" w:line="240" w:lineRule="auto"/>
              <w:rPr>
                <w:rFonts w:cs="Arial"/>
                <w:lang w:val="en-US"/>
              </w:rPr>
            </w:pPr>
          </w:p>
        </w:tc>
        <w:tc>
          <w:tcPr>
            <w:tcW w:w="1854" w:type="dxa"/>
            <w:tcMar>
              <w:top w:w="28" w:type="dxa"/>
              <w:bottom w:w="28" w:type="dxa"/>
            </w:tcMar>
          </w:tcPr>
          <w:p w14:paraId="4C899033" w14:textId="59F448D1" w:rsidR="00D8054F" w:rsidRDefault="00D8054F" w:rsidP="00D8054F">
            <w:pPr>
              <w:rPr>
                <w:rFonts w:cs="Arial"/>
              </w:rPr>
            </w:pPr>
            <w:r w:rsidRPr="00211674">
              <w:rPr>
                <w:rFonts w:ascii="Arial" w:hAnsi="Arial" w:cs="Arial"/>
                <w:lang w:val="en-US"/>
              </w:rPr>
              <w:t>Processes</w:t>
            </w:r>
          </w:p>
        </w:tc>
        <w:tc>
          <w:tcPr>
            <w:tcW w:w="5517" w:type="dxa"/>
            <w:tcMar>
              <w:top w:w="28" w:type="dxa"/>
              <w:bottom w:w="28" w:type="dxa"/>
            </w:tcMar>
          </w:tcPr>
          <w:p w14:paraId="3D0D5B09" w14:textId="77777777" w:rsidR="00D8054F" w:rsidRDefault="00D8054F" w:rsidP="00D8054F">
            <w:pPr>
              <w:numPr>
                <w:ilvl w:val="0"/>
                <w:numId w:val="32"/>
              </w:numPr>
              <w:ind w:left="312" w:hanging="218"/>
              <w:contextualSpacing/>
              <w:rPr>
                <w:rFonts w:ascii="Arial" w:hAnsi="Arial" w:cs="Arial"/>
                <w:lang w:val="en-US"/>
              </w:rPr>
            </w:pPr>
            <w:r>
              <w:rPr>
                <w:rFonts w:ascii="Arial" w:hAnsi="Arial" w:cs="Arial"/>
                <w:lang w:val="en-US"/>
              </w:rPr>
              <w:t>Relevant c</w:t>
            </w:r>
            <w:r w:rsidRPr="00211674">
              <w:rPr>
                <w:rFonts w:ascii="Arial" w:hAnsi="Arial" w:cs="Arial"/>
                <w:lang w:val="en-US"/>
              </w:rPr>
              <w:t xml:space="preserve">hanges in national </w:t>
            </w:r>
            <w:r>
              <w:rPr>
                <w:rFonts w:ascii="Arial" w:hAnsi="Arial" w:cs="Arial"/>
                <w:lang w:val="en-US"/>
              </w:rPr>
              <w:t xml:space="preserve">export control </w:t>
            </w:r>
            <w:r w:rsidRPr="00211674">
              <w:rPr>
                <w:rFonts w:ascii="Arial" w:hAnsi="Arial" w:cs="Arial"/>
                <w:lang w:val="en-US"/>
              </w:rPr>
              <w:t>legislation</w:t>
            </w:r>
          </w:p>
          <w:p w14:paraId="446A4362" w14:textId="77777777" w:rsidR="00D8054F" w:rsidRPr="0001655A" w:rsidRDefault="00D8054F" w:rsidP="00D8054F">
            <w:pPr>
              <w:numPr>
                <w:ilvl w:val="0"/>
                <w:numId w:val="32"/>
              </w:numPr>
              <w:ind w:left="312" w:hanging="218"/>
              <w:contextualSpacing/>
              <w:rPr>
                <w:rFonts w:ascii="Arial" w:hAnsi="Arial" w:cs="Arial"/>
                <w:lang w:val="en-US"/>
              </w:rPr>
            </w:pPr>
            <w:r w:rsidRPr="0001655A">
              <w:rPr>
                <w:rFonts w:ascii="Arial" w:hAnsi="Arial" w:cs="Arial"/>
                <w:lang w:val="en-US"/>
              </w:rPr>
              <w:t>Regulatory changes with significant Impact on Siemens busines</w:t>
            </w:r>
            <w:commentRangeStart w:id="9"/>
            <w:r w:rsidRPr="0001655A">
              <w:rPr>
                <w:rFonts w:ascii="Arial" w:hAnsi="Arial" w:cs="Arial"/>
                <w:lang w:val="en-US"/>
              </w:rPr>
              <w:t>s</w:t>
            </w:r>
            <w:commentRangeEnd w:id="9"/>
            <w:r>
              <w:rPr>
                <w:rStyle w:val="Kommentarzeichen"/>
                <w:rFonts w:ascii="Arial" w:eastAsiaTheme="minorHAnsi" w:hAnsi="Arial" w:cstheme="minorBidi"/>
                <w:lang w:val="en-US" w:eastAsia="en-US"/>
              </w:rPr>
              <w:commentReference w:id="9"/>
            </w:r>
          </w:p>
          <w:p w14:paraId="3BA7DBA5" w14:textId="77777777" w:rsidR="00D8054F" w:rsidRDefault="00D8054F" w:rsidP="00D8054F">
            <w:pPr>
              <w:numPr>
                <w:ilvl w:val="0"/>
                <w:numId w:val="32"/>
              </w:numPr>
              <w:ind w:left="312" w:hanging="218"/>
              <w:contextualSpacing/>
              <w:rPr>
                <w:rFonts w:ascii="Arial" w:hAnsi="Arial" w:cs="Arial"/>
                <w:lang w:val="en-US"/>
              </w:rPr>
            </w:pPr>
            <w:r>
              <w:rPr>
                <w:rFonts w:ascii="Arial" w:hAnsi="Arial" w:cs="Arial"/>
                <w:lang w:val="en-US"/>
              </w:rPr>
              <w:t>Status of</w:t>
            </w:r>
            <w:r w:rsidRPr="00211674">
              <w:rPr>
                <w:rFonts w:ascii="Arial" w:hAnsi="Arial" w:cs="Arial"/>
                <w:lang w:val="en-US"/>
              </w:rPr>
              <w:t xml:space="preserve"> implementation of Siemens global Internal Control Program (ICP IST), including country-specific Export Control regulations</w:t>
            </w:r>
          </w:p>
          <w:p w14:paraId="546DC0F5" w14:textId="31A22900" w:rsidR="00D8054F" w:rsidRPr="00D8054F" w:rsidRDefault="00D8054F" w:rsidP="00D8054F">
            <w:pPr>
              <w:numPr>
                <w:ilvl w:val="0"/>
                <w:numId w:val="32"/>
              </w:numPr>
              <w:ind w:left="312" w:hanging="218"/>
              <w:contextualSpacing/>
              <w:rPr>
                <w:rFonts w:cs="Arial"/>
                <w:lang w:val="en-US"/>
              </w:rPr>
            </w:pPr>
            <w:r w:rsidRPr="00211674">
              <w:rPr>
                <w:rFonts w:ascii="Arial" w:hAnsi="Arial" w:cs="Arial"/>
                <w:lang w:val="en-US"/>
              </w:rPr>
              <w:t>Initiated measures to ensure sustainable correct partner scree</w:t>
            </w:r>
            <w:r>
              <w:rPr>
                <w:rFonts w:ascii="Arial" w:hAnsi="Arial" w:cs="Arial"/>
                <w:lang w:val="en-US"/>
              </w:rPr>
              <w:t>n</w:t>
            </w:r>
            <w:r w:rsidRPr="00211674">
              <w:rPr>
                <w:rFonts w:ascii="Arial" w:hAnsi="Arial" w:cs="Arial"/>
                <w:lang w:val="en-US"/>
              </w:rPr>
              <w:t>ing process</w:t>
            </w:r>
          </w:p>
        </w:tc>
      </w:tr>
      <w:tr w:rsidR="00D8054F" w14:paraId="48BE8F1F" w14:textId="77777777" w:rsidTr="00561D7E">
        <w:trPr>
          <w:trHeight w:val="724"/>
        </w:trPr>
        <w:tc>
          <w:tcPr>
            <w:tcW w:w="2019" w:type="dxa"/>
            <w:vMerge/>
            <w:tcMar>
              <w:top w:w="28" w:type="dxa"/>
              <w:bottom w:w="28" w:type="dxa"/>
            </w:tcMar>
          </w:tcPr>
          <w:p w14:paraId="1FD6880F" w14:textId="77777777" w:rsidR="00D8054F" w:rsidRPr="00D8054F" w:rsidRDefault="00D8054F" w:rsidP="00D8054F">
            <w:pPr>
              <w:spacing w:after="0" w:line="240" w:lineRule="auto"/>
              <w:rPr>
                <w:rFonts w:cs="Arial"/>
                <w:lang w:val="en-US"/>
              </w:rPr>
            </w:pPr>
          </w:p>
        </w:tc>
        <w:tc>
          <w:tcPr>
            <w:tcW w:w="1854" w:type="dxa"/>
            <w:tcMar>
              <w:top w:w="28" w:type="dxa"/>
              <w:bottom w:w="28" w:type="dxa"/>
            </w:tcMar>
          </w:tcPr>
          <w:p w14:paraId="042E700F" w14:textId="1DDBD8D5" w:rsidR="00D8054F" w:rsidRDefault="00D8054F" w:rsidP="00D8054F">
            <w:pPr>
              <w:rPr>
                <w:rFonts w:cs="Arial"/>
              </w:rPr>
            </w:pPr>
            <w:r w:rsidRPr="00211674">
              <w:rPr>
                <w:rFonts w:ascii="Arial" w:hAnsi="Arial" w:cs="Arial"/>
                <w:lang w:val="en-US"/>
              </w:rPr>
              <w:t>Focus Risk Topics</w:t>
            </w:r>
          </w:p>
        </w:tc>
        <w:tc>
          <w:tcPr>
            <w:tcW w:w="5517" w:type="dxa"/>
            <w:tcMar>
              <w:top w:w="28" w:type="dxa"/>
              <w:bottom w:w="28" w:type="dxa"/>
            </w:tcMar>
          </w:tcPr>
          <w:p w14:paraId="161A2A57" w14:textId="77777777" w:rsidR="00D8054F" w:rsidRPr="00211674" w:rsidRDefault="00D8054F" w:rsidP="00D8054F">
            <w:pPr>
              <w:numPr>
                <w:ilvl w:val="0"/>
                <w:numId w:val="32"/>
              </w:numPr>
              <w:ind w:left="312" w:hanging="218"/>
              <w:contextualSpacing/>
              <w:rPr>
                <w:rFonts w:ascii="Arial" w:hAnsi="Arial" w:cs="Arial"/>
                <w:lang w:val="en-US"/>
              </w:rPr>
            </w:pPr>
            <w:r w:rsidRPr="00211674">
              <w:rPr>
                <w:rFonts w:ascii="Arial" w:hAnsi="Arial" w:cs="Arial"/>
                <w:lang w:val="en-US"/>
              </w:rPr>
              <w:t>Relevant business with critical countries and with critical end-use (as per the ICP EX)</w:t>
            </w:r>
          </w:p>
          <w:p w14:paraId="048DA34E" w14:textId="04D6FF9C" w:rsidR="00D8054F" w:rsidRPr="00D8054F" w:rsidRDefault="00D8054F" w:rsidP="00D8054F">
            <w:pPr>
              <w:numPr>
                <w:ilvl w:val="0"/>
                <w:numId w:val="32"/>
              </w:numPr>
              <w:ind w:left="312" w:hanging="218"/>
              <w:contextualSpacing/>
              <w:rPr>
                <w:rFonts w:cs="Arial"/>
                <w:lang w:val="en-US"/>
              </w:rPr>
            </w:pPr>
            <w:r w:rsidRPr="00211674">
              <w:rPr>
                <w:rFonts w:ascii="Arial" w:hAnsi="Arial" w:cs="Arial"/>
                <w:lang w:val="en-US"/>
              </w:rPr>
              <w:t>EX measures for e-business (e.g. online shops), software and technology transfe</w:t>
            </w:r>
            <w:commentRangeStart w:id="10"/>
            <w:r w:rsidRPr="00211674">
              <w:rPr>
                <w:rFonts w:ascii="Arial" w:hAnsi="Arial" w:cs="Arial"/>
                <w:lang w:val="en-US"/>
              </w:rPr>
              <w:t>r</w:t>
            </w:r>
            <w:commentRangeEnd w:id="10"/>
            <w:r>
              <w:rPr>
                <w:rStyle w:val="Kommentarzeichen"/>
                <w:rFonts w:ascii="Arial" w:eastAsiaTheme="minorHAnsi" w:hAnsi="Arial" w:cstheme="minorBidi"/>
                <w:lang w:val="en-US" w:eastAsia="en-US"/>
              </w:rPr>
              <w:commentReference w:id="10"/>
            </w:r>
          </w:p>
        </w:tc>
      </w:tr>
    </w:tbl>
    <w:p w14:paraId="45B64566" w14:textId="68F35357" w:rsidR="003E5F34" w:rsidRDefault="003E5F34" w:rsidP="003E5F34"/>
    <w:p w14:paraId="59D126B1" w14:textId="47C63854" w:rsidR="00DE00C5" w:rsidRDefault="00DE00C5" w:rsidP="00DE00C5">
      <w:pPr>
        <w:pStyle w:val="KeinAbsatzformat"/>
        <w:rPr>
          <w:lang w:val="en-US"/>
        </w:rPr>
      </w:pPr>
    </w:p>
    <w:p w14:paraId="1A6BDB2A" w14:textId="36C39C45" w:rsidR="00DE00C5" w:rsidRDefault="00DE00C5" w:rsidP="00DE00C5">
      <w:pPr>
        <w:pStyle w:val="KeinAbsatzformat"/>
        <w:rPr>
          <w:lang w:val="en-US"/>
        </w:rPr>
      </w:pPr>
    </w:p>
    <w:p w14:paraId="094EDDE2" w14:textId="77777777" w:rsidR="00DE00C5" w:rsidRPr="00DE00C5" w:rsidRDefault="00DE00C5" w:rsidP="00DE00C5">
      <w:pPr>
        <w:pStyle w:val="KeinAbsatzformat"/>
        <w:rPr>
          <w:lang w:val="en-US"/>
        </w:rPr>
      </w:pPr>
    </w:p>
    <w:p w14:paraId="41CDDDE2" w14:textId="7C91323E" w:rsidR="003E5F34" w:rsidRPr="0055208D" w:rsidRDefault="003E5F34" w:rsidP="003E5F34">
      <w:pPr>
        <w:pStyle w:val="berschrift3"/>
        <w:numPr>
          <w:ilvl w:val="2"/>
          <w:numId w:val="34"/>
        </w:numPr>
        <w:spacing w:after="240"/>
        <w:jc w:val="both"/>
      </w:pPr>
      <w:bookmarkStart w:id="11" w:name="_Business_partners"/>
      <w:bookmarkEnd w:id="11"/>
      <w:r>
        <w:lastRenderedPageBreak/>
        <w:t>Business partners</w:t>
      </w:r>
    </w:p>
    <w:tbl>
      <w:tblPr>
        <w:tblStyle w:val="Tabellenraster4"/>
        <w:tblW w:w="0" w:type="auto"/>
        <w:tblInd w:w="108" w:type="dxa"/>
        <w:tblLayout w:type="fixed"/>
        <w:tblLook w:val="04A0" w:firstRow="1" w:lastRow="0" w:firstColumn="1" w:lastColumn="0" w:noHBand="0" w:noVBand="1"/>
      </w:tblPr>
      <w:tblGrid>
        <w:gridCol w:w="2019"/>
        <w:gridCol w:w="1843"/>
        <w:gridCol w:w="5528"/>
      </w:tblGrid>
      <w:tr w:rsidR="003E5F34" w14:paraId="6D73C9B1" w14:textId="77777777" w:rsidTr="00561D7E">
        <w:trPr>
          <w:trHeight w:val="226"/>
        </w:trPr>
        <w:tc>
          <w:tcPr>
            <w:tcW w:w="2019" w:type="dxa"/>
            <w:tcMar>
              <w:top w:w="28" w:type="dxa"/>
              <w:bottom w:w="28" w:type="dxa"/>
            </w:tcMar>
          </w:tcPr>
          <w:p w14:paraId="11C60763" w14:textId="77777777" w:rsidR="003E5F34" w:rsidRDefault="003E5F34" w:rsidP="003E5F34">
            <w:pPr>
              <w:rPr>
                <w:rFonts w:ascii="Arial" w:hAnsi="Arial" w:cs="Arial"/>
                <w:b/>
                <w:lang w:val="en-US"/>
              </w:rPr>
            </w:pPr>
            <w:r>
              <w:rPr>
                <w:rFonts w:ascii="Arial" w:hAnsi="Arial" w:cs="Arial"/>
                <w:b/>
                <w:lang w:val="en-US"/>
              </w:rPr>
              <w:t>Topic</w:t>
            </w:r>
          </w:p>
        </w:tc>
        <w:tc>
          <w:tcPr>
            <w:tcW w:w="7371" w:type="dxa"/>
            <w:gridSpan w:val="2"/>
            <w:tcMar>
              <w:top w:w="28" w:type="dxa"/>
              <w:bottom w:w="28" w:type="dxa"/>
            </w:tcMar>
          </w:tcPr>
          <w:p w14:paraId="75162419" w14:textId="77777777" w:rsidR="003E5F34" w:rsidRDefault="003E5F34" w:rsidP="003E5F34">
            <w:pPr>
              <w:rPr>
                <w:rFonts w:cs="Arial"/>
                <w:b/>
              </w:rPr>
            </w:pPr>
            <w:r>
              <w:rPr>
                <w:rFonts w:ascii="Arial" w:hAnsi="Arial" w:cs="Arial"/>
                <w:b/>
                <w:lang w:val="en-US"/>
              </w:rPr>
              <w:t>Business partners</w:t>
            </w:r>
          </w:p>
        </w:tc>
      </w:tr>
      <w:tr w:rsidR="003E5F34" w14:paraId="4FCD93D5" w14:textId="77777777" w:rsidTr="00561D7E">
        <w:trPr>
          <w:trHeight w:val="232"/>
        </w:trPr>
        <w:tc>
          <w:tcPr>
            <w:tcW w:w="2019" w:type="dxa"/>
            <w:tcMar>
              <w:top w:w="28" w:type="dxa"/>
              <w:bottom w:w="28" w:type="dxa"/>
            </w:tcMar>
          </w:tcPr>
          <w:p w14:paraId="0E0D79D3" w14:textId="77777777" w:rsidR="003E5F34" w:rsidRDefault="003E5F34" w:rsidP="003E5F34">
            <w:pPr>
              <w:rPr>
                <w:rFonts w:ascii="Arial" w:hAnsi="Arial" w:cs="Arial"/>
                <w:b/>
                <w:lang w:val="en-US"/>
              </w:rPr>
            </w:pPr>
            <w:r>
              <w:rPr>
                <w:rFonts w:ascii="Arial" w:hAnsi="Arial" w:cs="Arial"/>
                <w:b/>
                <w:lang w:val="en-US"/>
              </w:rPr>
              <w:t>Frequency</w:t>
            </w:r>
          </w:p>
        </w:tc>
        <w:tc>
          <w:tcPr>
            <w:tcW w:w="7371" w:type="dxa"/>
            <w:gridSpan w:val="2"/>
            <w:tcMar>
              <w:top w:w="28" w:type="dxa"/>
              <w:bottom w:w="28" w:type="dxa"/>
            </w:tcMar>
          </w:tcPr>
          <w:p w14:paraId="36074422" w14:textId="43A084E4" w:rsidR="003E5F34" w:rsidRDefault="00D8054F" w:rsidP="003E5F34">
            <w:pPr>
              <w:rPr>
                <w:rFonts w:ascii="Arial" w:hAnsi="Arial" w:cs="Arial"/>
                <w:lang w:val="en-US"/>
              </w:rPr>
            </w:pPr>
            <w:r>
              <w:rPr>
                <w:rFonts w:ascii="Arial" w:hAnsi="Arial" w:cs="Arial"/>
                <w:lang w:val="en-US"/>
              </w:rPr>
              <w:t xml:space="preserve">Quarterly </w:t>
            </w:r>
          </w:p>
        </w:tc>
      </w:tr>
      <w:tr w:rsidR="003E5F34" w14:paraId="3153BFD7" w14:textId="77777777" w:rsidTr="00561D7E">
        <w:trPr>
          <w:trHeight w:val="232"/>
        </w:trPr>
        <w:tc>
          <w:tcPr>
            <w:tcW w:w="2019" w:type="dxa"/>
            <w:vMerge w:val="restart"/>
            <w:tcMar>
              <w:top w:w="28" w:type="dxa"/>
              <w:bottom w:w="28" w:type="dxa"/>
            </w:tcMar>
          </w:tcPr>
          <w:p w14:paraId="77977043" w14:textId="77777777" w:rsidR="003E5F34" w:rsidRDefault="003E5F34" w:rsidP="003E5F34">
            <w:pPr>
              <w:rPr>
                <w:rFonts w:ascii="Arial" w:hAnsi="Arial" w:cs="Arial"/>
                <w:b/>
                <w:lang w:val="en-US"/>
              </w:rPr>
            </w:pPr>
            <w:r>
              <w:rPr>
                <w:rFonts w:ascii="Arial" w:hAnsi="Arial" w:cs="Arial"/>
                <w:b/>
                <w:lang w:val="en-US"/>
              </w:rPr>
              <w:t>Content</w:t>
            </w:r>
          </w:p>
          <w:p w14:paraId="07BAB4C7" w14:textId="77777777" w:rsidR="003E5F34" w:rsidRDefault="003E5F34" w:rsidP="003E5F34">
            <w:pPr>
              <w:jc w:val="center"/>
              <w:rPr>
                <w:rFonts w:ascii="Arial" w:hAnsi="Arial" w:cs="Arial"/>
                <w:b/>
                <w:lang w:val="en-US"/>
              </w:rPr>
            </w:pPr>
          </w:p>
          <w:p w14:paraId="20B5E221" w14:textId="77777777" w:rsidR="003E5F34" w:rsidRDefault="003E5F34" w:rsidP="003E5F34">
            <w:pPr>
              <w:rPr>
                <w:rFonts w:ascii="Arial" w:hAnsi="Arial" w:cs="Arial"/>
                <w:b/>
                <w:lang w:val="en-US"/>
              </w:rPr>
            </w:pPr>
          </w:p>
        </w:tc>
        <w:tc>
          <w:tcPr>
            <w:tcW w:w="1843" w:type="dxa"/>
            <w:tcMar>
              <w:top w:w="28" w:type="dxa"/>
              <w:bottom w:w="28" w:type="dxa"/>
            </w:tcMar>
          </w:tcPr>
          <w:p w14:paraId="7CB0C96D" w14:textId="77777777" w:rsidR="003E5F34" w:rsidRDefault="003E5F34" w:rsidP="003E5F34">
            <w:pPr>
              <w:rPr>
                <w:rFonts w:ascii="Arial" w:hAnsi="Arial" w:cs="Arial"/>
                <w:b/>
                <w:lang w:val="en-US"/>
              </w:rPr>
            </w:pPr>
            <w:r>
              <w:rPr>
                <w:rFonts w:ascii="Arial" w:hAnsi="Arial" w:cs="Arial"/>
                <w:b/>
                <w:lang w:val="en-US"/>
              </w:rPr>
              <w:t xml:space="preserve">Topics </w:t>
            </w:r>
          </w:p>
        </w:tc>
        <w:tc>
          <w:tcPr>
            <w:tcW w:w="5528" w:type="dxa"/>
          </w:tcPr>
          <w:p w14:paraId="252C58B4" w14:textId="77777777" w:rsidR="003E5F34" w:rsidRDefault="003E5F34" w:rsidP="003E5F34">
            <w:pPr>
              <w:rPr>
                <w:rFonts w:ascii="Arial" w:hAnsi="Arial" w:cs="Arial"/>
                <w:b/>
                <w:lang w:val="en-US"/>
              </w:rPr>
            </w:pPr>
            <w:r>
              <w:rPr>
                <w:rFonts w:ascii="Arial" w:hAnsi="Arial" w:cs="Arial"/>
                <w:b/>
                <w:lang w:val="en-US"/>
              </w:rPr>
              <w:t>Description</w:t>
            </w:r>
          </w:p>
        </w:tc>
      </w:tr>
      <w:tr w:rsidR="003E5F34" w14:paraId="1FD71EBD" w14:textId="77777777" w:rsidTr="00561D7E">
        <w:trPr>
          <w:trHeight w:val="724"/>
        </w:trPr>
        <w:tc>
          <w:tcPr>
            <w:tcW w:w="2019" w:type="dxa"/>
            <w:vMerge/>
            <w:tcMar>
              <w:top w:w="28" w:type="dxa"/>
              <w:bottom w:w="28" w:type="dxa"/>
            </w:tcMar>
          </w:tcPr>
          <w:p w14:paraId="74F37BC3" w14:textId="77777777" w:rsidR="003E5F34" w:rsidRDefault="003E5F34" w:rsidP="003E5F34">
            <w:pPr>
              <w:spacing w:after="0" w:line="240" w:lineRule="auto"/>
              <w:ind w:left="849" w:hanging="283"/>
              <w:jc w:val="both"/>
              <w:rPr>
                <w:rFonts w:cs="Arial"/>
              </w:rPr>
            </w:pPr>
          </w:p>
        </w:tc>
        <w:tc>
          <w:tcPr>
            <w:tcW w:w="1843" w:type="dxa"/>
            <w:tcMar>
              <w:top w:w="28" w:type="dxa"/>
              <w:bottom w:w="28" w:type="dxa"/>
            </w:tcMar>
          </w:tcPr>
          <w:p w14:paraId="3BDFCDD1" w14:textId="77777777" w:rsidR="003E5F34" w:rsidRDefault="003E5F34" w:rsidP="003E5F34">
            <w:pPr>
              <w:rPr>
                <w:rFonts w:ascii="Arial" w:hAnsi="Arial" w:cs="Arial"/>
                <w:lang w:val="en-US"/>
              </w:rPr>
            </w:pPr>
            <w:r>
              <w:rPr>
                <w:rFonts w:ascii="Arial" w:hAnsi="Arial" w:cs="Arial"/>
                <w:lang w:val="en-US"/>
              </w:rPr>
              <w:t xml:space="preserve">Management awareness </w:t>
            </w:r>
            <w:r>
              <w:rPr>
                <w:rFonts w:ascii="Arial" w:hAnsi="Arial" w:cs="Arial"/>
                <w:lang w:val="en-US"/>
              </w:rPr>
              <w:br/>
              <w:t>regarding responsibility</w:t>
            </w:r>
          </w:p>
        </w:tc>
        <w:tc>
          <w:tcPr>
            <w:tcW w:w="5528" w:type="dxa"/>
          </w:tcPr>
          <w:p w14:paraId="098B699C" w14:textId="2A514E7D" w:rsidR="00D8054F" w:rsidRDefault="00D8054F" w:rsidP="00D8054F">
            <w:pPr>
              <w:numPr>
                <w:ilvl w:val="0"/>
                <w:numId w:val="32"/>
              </w:numPr>
              <w:ind w:left="312" w:hanging="218"/>
              <w:contextualSpacing/>
              <w:rPr>
                <w:rFonts w:ascii="Arial" w:hAnsi="Arial" w:cs="Arial"/>
                <w:lang w:val="en-US"/>
              </w:rPr>
            </w:pPr>
            <w:r w:rsidRPr="00D8054F">
              <w:rPr>
                <w:rFonts w:ascii="Arial" w:hAnsi="Arial" w:cs="Arial"/>
                <w:lang w:val="en-US"/>
              </w:rPr>
              <w:t>reporting of significant changes in the BP portfolio (e.g.</w:t>
            </w:r>
            <w:r>
              <w:rPr>
                <w:rFonts w:ascii="Arial" w:hAnsi="Arial" w:cs="Arial"/>
                <w:lang w:val="en-US"/>
              </w:rPr>
              <w:t xml:space="preserve"> </w:t>
            </w:r>
            <w:r w:rsidRPr="00D8054F">
              <w:rPr>
                <w:rFonts w:ascii="Arial" w:hAnsi="Arial" w:cs="Arial"/>
                <w:lang w:val="en-US"/>
              </w:rPr>
              <w:t>new high-risk BPs)</w:t>
            </w:r>
          </w:p>
          <w:p w14:paraId="10C4914E" w14:textId="631F38CF" w:rsidR="00D8054F" w:rsidRPr="00D8054F" w:rsidRDefault="00D8054F" w:rsidP="00D8054F">
            <w:pPr>
              <w:numPr>
                <w:ilvl w:val="0"/>
                <w:numId w:val="32"/>
              </w:numPr>
              <w:ind w:left="312" w:hanging="218"/>
              <w:contextualSpacing/>
              <w:rPr>
                <w:rFonts w:ascii="Arial" w:hAnsi="Arial" w:cs="Arial"/>
                <w:lang w:val="en-US"/>
              </w:rPr>
            </w:pPr>
            <w:r w:rsidRPr="00D8054F">
              <w:rPr>
                <w:rFonts w:ascii="Arial" w:hAnsi="Arial" w:cs="Arial"/>
                <w:lang w:val="en-US"/>
              </w:rPr>
              <w:t>reporting of significant allegations of specific BPs (e.g. cases, press releases)</w:t>
            </w:r>
          </w:p>
          <w:p w14:paraId="39E4F6A6" w14:textId="44B8F4F7" w:rsidR="003E5F34" w:rsidRPr="00D8054F" w:rsidRDefault="003E5F34" w:rsidP="00D8054F">
            <w:pPr>
              <w:numPr>
                <w:ilvl w:val="0"/>
                <w:numId w:val="32"/>
              </w:numPr>
              <w:ind w:left="312" w:hanging="218"/>
              <w:contextualSpacing/>
              <w:rPr>
                <w:rFonts w:ascii="Arial" w:hAnsi="Arial" w:cs="Arial"/>
                <w:lang w:val="en-US"/>
              </w:rPr>
            </w:pPr>
            <w:r>
              <w:rPr>
                <w:rFonts w:ascii="Arial" w:hAnsi="Arial" w:cs="Arial"/>
                <w:lang w:val="en-US"/>
              </w:rPr>
              <w:t>Audit</w:t>
            </w:r>
            <w:r w:rsidR="00EA221B">
              <w:rPr>
                <w:rFonts w:ascii="Arial" w:hAnsi="Arial" w:cs="Arial"/>
                <w:lang w:val="en-US"/>
              </w:rPr>
              <w:t xml:space="preserve"> </w:t>
            </w:r>
            <w:r>
              <w:rPr>
                <w:rFonts w:ascii="Arial" w:hAnsi="Arial" w:cs="Arial"/>
                <w:lang w:val="en-US"/>
              </w:rPr>
              <w:t>findings regarding BPs</w:t>
            </w:r>
          </w:p>
        </w:tc>
      </w:tr>
      <w:tr w:rsidR="003E5F34" w14:paraId="7E857B06" w14:textId="77777777" w:rsidTr="00561D7E">
        <w:trPr>
          <w:trHeight w:val="724"/>
        </w:trPr>
        <w:tc>
          <w:tcPr>
            <w:tcW w:w="2019" w:type="dxa"/>
            <w:vMerge/>
            <w:tcMar>
              <w:top w:w="28" w:type="dxa"/>
              <w:bottom w:w="28" w:type="dxa"/>
            </w:tcMar>
          </w:tcPr>
          <w:p w14:paraId="1AC309BC" w14:textId="77777777" w:rsidR="003E5F34" w:rsidRDefault="003E5F34" w:rsidP="003E5F34">
            <w:pPr>
              <w:spacing w:after="0" w:line="240" w:lineRule="auto"/>
              <w:rPr>
                <w:rFonts w:cs="Arial"/>
                <w:b/>
                <w:lang w:val="en-US"/>
              </w:rPr>
            </w:pPr>
          </w:p>
        </w:tc>
        <w:tc>
          <w:tcPr>
            <w:tcW w:w="1843" w:type="dxa"/>
            <w:tcMar>
              <w:top w:w="28" w:type="dxa"/>
              <w:bottom w:w="28" w:type="dxa"/>
            </w:tcMar>
          </w:tcPr>
          <w:p w14:paraId="44F82E2B" w14:textId="2D86D52C" w:rsidR="003E5F34" w:rsidRDefault="003E5F34" w:rsidP="003E5F34">
            <w:pPr>
              <w:rPr>
                <w:rFonts w:ascii="Arial" w:hAnsi="Arial" w:cs="Arial"/>
                <w:lang w:val="en-US"/>
              </w:rPr>
            </w:pPr>
            <w:r>
              <w:rPr>
                <w:rFonts w:ascii="Arial" w:hAnsi="Arial" w:cs="Arial"/>
                <w:lang w:val="en-US"/>
              </w:rPr>
              <w:t xml:space="preserve">Business Partner landscape and environment </w:t>
            </w:r>
          </w:p>
        </w:tc>
        <w:tc>
          <w:tcPr>
            <w:tcW w:w="5528" w:type="dxa"/>
          </w:tcPr>
          <w:p w14:paraId="000FF061" w14:textId="701ED312" w:rsidR="003E5F34" w:rsidRDefault="003E5F34" w:rsidP="00D8054F">
            <w:pPr>
              <w:numPr>
                <w:ilvl w:val="0"/>
                <w:numId w:val="32"/>
              </w:numPr>
              <w:ind w:left="312" w:hanging="218"/>
              <w:contextualSpacing/>
              <w:rPr>
                <w:rFonts w:ascii="Arial" w:hAnsi="Arial" w:cs="Arial"/>
                <w:lang w:val="en-US"/>
              </w:rPr>
            </w:pPr>
            <w:r>
              <w:rPr>
                <w:rFonts w:ascii="Arial" w:hAnsi="Arial" w:cs="Arial"/>
                <w:lang w:val="en-US"/>
              </w:rPr>
              <w:t>e.g. review of need for the relationship/performance of BP, planned on-site visits (Compliance on site check),</w:t>
            </w:r>
          </w:p>
        </w:tc>
      </w:tr>
      <w:tr w:rsidR="003E5F34" w14:paraId="4FB7A825" w14:textId="77777777" w:rsidTr="00561D7E">
        <w:trPr>
          <w:trHeight w:val="724"/>
        </w:trPr>
        <w:tc>
          <w:tcPr>
            <w:tcW w:w="2019" w:type="dxa"/>
            <w:vMerge/>
            <w:tcMar>
              <w:top w:w="28" w:type="dxa"/>
              <w:bottom w:w="28" w:type="dxa"/>
            </w:tcMar>
          </w:tcPr>
          <w:p w14:paraId="61CD8173" w14:textId="77777777" w:rsidR="003E5F34" w:rsidRDefault="003E5F34" w:rsidP="003E5F34">
            <w:pPr>
              <w:spacing w:after="0" w:line="240" w:lineRule="auto"/>
              <w:rPr>
                <w:rFonts w:cs="Arial"/>
                <w:b/>
                <w:lang w:val="en-US"/>
              </w:rPr>
            </w:pPr>
          </w:p>
        </w:tc>
        <w:tc>
          <w:tcPr>
            <w:tcW w:w="1843" w:type="dxa"/>
            <w:tcMar>
              <w:top w:w="28" w:type="dxa"/>
              <w:bottom w:w="28" w:type="dxa"/>
            </w:tcMar>
          </w:tcPr>
          <w:p w14:paraId="23EC1263" w14:textId="77777777" w:rsidR="003E5F34" w:rsidRDefault="003E5F34" w:rsidP="003E5F34">
            <w:pPr>
              <w:rPr>
                <w:rFonts w:ascii="Arial" w:hAnsi="Arial" w:cs="Arial"/>
                <w:lang w:val="en-US"/>
              </w:rPr>
            </w:pPr>
            <w:r>
              <w:rPr>
                <w:rFonts w:ascii="Arial" w:hAnsi="Arial" w:cs="Arial"/>
                <w:lang w:val="en-US"/>
              </w:rPr>
              <w:t xml:space="preserve">Focal points/ </w:t>
            </w:r>
            <w:r>
              <w:rPr>
                <w:rFonts w:ascii="Arial" w:hAnsi="Arial" w:cs="Arial"/>
                <w:lang w:val="en-US"/>
              </w:rPr>
              <w:br/>
              <w:t>red flags</w:t>
            </w:r>
          </w:p>
        </w:tc>
        <w:tc>
          <w:tcPr>
            <w:tcW w:w="5528" w:type="dxa"/>
          </w:tcPr>
          <w:p w14:paraId="7AB61291" w14:textId="77777777" w:rsidR="003E5F34" w:rsidRDefault="003E5F34" w:rsidP="003E5F34">
            <w:pPr>
              <w:numPr>
                <w:ilvl w:val="0"/>
                <w:numId w:val="32"/>
              </w:numPr>
              <w:ind w:left="312" w:hanging="218"/>
              <w:contextualSpacing/>
              <w:rPr>
                <w:rFonts w:ascii="Arial" w:hAnsi="Arial" w:cs="Arial"/>
                <w:lang w:val="en-US"/>
              </w:rPr>
            </w:pPr>
            <w:r>
              <w:rPr>
                <w:rFonts w:ascii="Arial" w:hAnsi="Arial" w:cs="Arial"/>
                <w:lang w:val="en-US"/>
              </w:rPr>
              <w:t>BPs from other units</w:t>
            </w:r>
          </w:p>
          <w:p w14:paraId="35F33EA9" w14:textId="012EF789" w:rsidR="003E5F34" w:rsidRDefault="003E5F34" w:rsidP="003E5F34">
            <w:pPr>
              <w:numPr>
                <w:ilvl w:val="0"/>
                <w:numId w:val="32"/>
              </w:numPr>
              <w:ind w:left="312" w:hanging="218"/>
              <w:contextualSpacing/>
              <w:rPr>
                <w:rFonts w:ascii="Arial" w:hAnsi="Arial" w:cs="Arial"/>
                <w:lang w:val="en-US"/>
              </w:rPr>
            </w:pPr>
            <w:r>
              <w:rPr>
                <w:rFonts w:ascii="Arial" w:hAnsi="Arial" w:cs="Arial"/>
                <w:lang w:val="en-US"/>
              </w:rPr>
              <w:t xml:space="preserve">Highest-risk BP relationships </w:t>
            </w:r>
          </w:p>
        </w:tc>
      </w:tr>
    </w:tbl>
    <w:p w14:paraId="21D06548" w14:textId="77777777" w:rsidR="003E5F34" w:rsidRDefault="003E5F34" w:rsidP="003E5F34">
      <w:bookmarkStart w:id="12" w:name="_Export_control_topics"/>
      <w:bookmarkEnd w:id="12"/>
    </w:p>
    <w:p w14:paraId="68D3550B" w14:textId="52CA4E53" w:rsidR="003E5F34" w:rsidRPr="0055208D" w:rsidRDefault="003E5F34" w:rsidP="003E5F34">
      <w:pPr>
        <w:pStyle w:val="berschrift3"/>
        <w:numPr>
          <w:ilvl w:val="2"/>
          <w:numId w:val="34"/>
        </w:numPr>
        <w:spacing w:after="240"/>
        <w:jc w:val="both"/>
      </w:pPr>
      <w:bookmarkStart w:id="13" w:name="_Compliance_Communication_strategy"/>
      <w:bookmarkEnd w:id="13"/>
      <w:r>
        <w:t>Compliance Communication strategy and plan</w:t>
      </w:r>
    </w:p>
    <w:tbl>
      <w:tblPr>
        <w:tblStyle w:val="Tabellenraster8"/>
        <w:tblW w:w="0" w:type="auto"/>
        <w:tblInd w:w="108" w:type="dxa"/>
        <w:tblLook w:val="04A0" w:firstRow="1" w:lastRow="0" w:firstColumn="1" w:lastColumn="0" w:noHBand="0" w:noVBand="1"/>
      </w:tblPr>
      <w:tblGrid>
        <w:gridCol w:w="1843"/>
        <w:gridCol w:w="1985"/>
        <w:gridCol w:w="5528"/>
      </w:tblGrid>
      <w:tr w:rsidR="003E5F34" w14:paraId="0861393D" w14:textId="77777777" w:rsidTr="00561D7E">
        <w:trPr>
          <w:trHeight w:val="226"/>
        </w:trPr>
        <w:tc>
          <w:tcPr>
            <w:tcW w:w="1843" w:type="dxa"/>
            <w:shd w:val="clear" w:color="auto" w:fill="auto"/>
            <w:tcMar>
              <w:top w:w="28" w:type="dxa"/>
              <w:bottom w:w="28" w:type="dxa"/>
            </w:tcMar>
          </w:tcPr>
          <w:p w14:paraId="0E7273CC" w14:textId="77777777" w:rsidR="003E5F34" w:rsidRDefault="003E5F34" w:rsidP="003E5F34">
            <w:pPr>
              <w:rPr>
                <w:rFonts w:ascii="Arial" w:hAnsi="Arial" w:cs="Arial"/>
                <w:b/>
                <w:lang w:val="en-US"/>
              </w:rPr>
            </w:pPr>
            <w:r>
              <w:rPr>
                <w:rFonts w:ascii="Arial" w:hAnsi="Arial" w:cs="Arial"/>
                <w:b/>
                <w:lang w:val="en-US"/>
              </w:rPr>
              <w:t>Topic</w:t>
            </w:r>
          </w:p>
        </w:tc>
        <w:tc>
          <w:tcPr>
            <w:tcW w:w="7513" w:type="dxa"/>
            <w:gridSpan w:val="2"/>
            <w:shd w:val="clear" w:color="auto" w:fill="auto"/>
            <w:tcMar>
              <w:top w:w="28" w:type="dxa"/>
              <w:bottom w:w="28" w:type="dxa"/>
            </w:tcMar>
          </w:tcPr>
          <w:p w14:paraId="57D102B2" w14:textId="77777777" w:rsidR="003E5F34" w:rsidRDefault="003E5F34" w:rsidP="003E5F34">
            <w:pPr>
              <w:rPr>
                <w:rFonts w:ascii="Arial" w:hAnsi="Arial" w:cs="Arial"/>
                <w:b/>
                <w:lang w:val="en-US"/>
              </w:rPr>
            </w:pPr>
            <w:r>
              <w:rPr>
                <w:rFonts w:ascii="Arial" w:hAnsi="Arial" w:cs="Arial"/>
                <w:b/>
                <w:lang w:val="en-US"/>
              </w:rPr>
              <w:t xml:space="preserve">Compliance Communication strategy and plan </w:t>
            </w:r>
          </w:p>
        </w:tc>
      </w:tr>
      <w:tr w:rsidR="003E5F34" w14:paraId="70E0E273" w14:textId="77777777" w:rsidTr="00561D7E">
        <w:trPr>
          <w:trHeight w:val="232"/>
        </w:trPr>
        <w:tc>
          <w:tcPr>
            <w:tcW w:w="1843" w:type="dxa"/>
            <w:shd w:val="clear" w:color="auto" w:fill="auto"/>
            <w:tcMar>
              <w:top w:w="28" w:type="dxa"/>
              <w:bottom w:w="28" w:type="dxa"/>
            </w:tcMar>
          </w:tcPr>
          <w:p w14:paraId="14DD9315" w14:textId="77777777" w:rsidR="003E5F34" w:rsidRDefault="003E5F34" w:rsidP="003E5F34">
            <w:pPr>
              <w:rPr>
                <w:rFonts w:ascii="Arial" w:hAnsi="Arial" w:cs="Arial"/>
                <w:b/>
                <w:lang w:val="en-US"/>
              </w:rPr>
            </w:pPr>
            <w:r>
              <w:rPr>
                <w:rFonts w:ascii="Arial" w:hAnsi="Arial" w:cs="Arial"/>
                <w:b/>
                <w:lang w:val="en-US"/>
              </w:rPr>
              <w:t>Frequency</w:t>
            </w:r>
          </w:p>
        </w:tc>
        <w:tc>
          <w:tcPr>
            <w:tcW w:w="7513" w:type="dxa"/>
            <w:gridSpan w:val="2"/>
            <w:shd w:val="clear" w:color="auto" w:fill="auto"/>
            <w:tcMar>
              <w:top w:w="28" w:type="dxa"/>
              <w:bottom w:w="28" w:type="dxa"/>
            </w:tcMar>
          </w:tcPr>
          <w:p w14:paraId="13604FC5" w14:textId="1F50420D" w:rsidR="003E5F34" w:rsidRDefault="00D8054F" w:rsidP="003E5F34">
            <w:pPr>
              <w:rPr>
                <w:rFonts w:ascii="Arial" w:hAnsi="Arial" w:cs="Arial"/>
                <w:lang w:val="en-US"/>
              </w:rPr>
            </w:pPr>
            <w:r>
              <w:rPr>
                <w:rFonts w:ascii="Arial" w:hAnsi="Arial" w:cs="Arial"/>
                <w:lang w:val="en-US"/>
              </w:rPr>
              <w:t>Once per year</w:t>
            </w:r>
          </w:p>
        </w:tc>
      </w:tr>
      <w:tr w:rsidR="003E5F34" w14:paraId="06B76D91" w14:textId="77777777" w:rsidTr="000E53AF">
        <w:trPr>
          <w:trHeight w:val="232"/>
        </w:trPr>
        <w:tc>
          <w:tcPr>
            <w:tcW w:w="1843" w:type="dxa"/>
            <w:vMerge w:val="restart"/>
            <w:shd w:val="clear" w:color="auto" w:fill="auto"/>
            <w:tcMar>
              <w:top w:w="28" w:type="dxa"/>
              <w:bottom w:w="28" w:type="dxa"/>
            </w:tcMar>
          </w:tcPr>
          <w:p w14:paraId="0564A152" w14:textId="77777777" w:rsidR="003E5F34" w:rsidRDefault="003E5F34" w:rsidP="003E5F34">
            <w:pPr>
              <w:rPr>
                <w:rFonts w:ascii="Arial" w:hAnsi="Arial" w:cs="Arial"/>
                <w:b/>
                <w:lang w:val="en-US"/>
              </w:rPr>
            </w:pPr>
            <w:r>
              <w:rPr>
                <w:rFonts w:ascii="Arial" w:hAnsi="Arial" w:cs="Arial"/>
                <w:b/>
                <w:lang w:val="en-US"/>
              </w:rPr>
              <w:t>Content</w:t>
            </w:r>
          </w:p>
          <w:p w14:paraId="008D850F" w14:textId="77777777" w:rsidR="003E5F34" w:rsidRDefault="003E5F34" w:rsidP="003E5F34">
            <w:pPr>
              <w:rPr>
                <w:rFonts w:ascii="Arial" w:hAnsi="Arial" w:cs="Arial"/>
                <w:b/>
                <w:lang w:val="en-US"/>
              </w:rPr>
            </w:pPr>
            <w:r>
              <w:rPr>
                <w:rFonts w:ascii="Arial" w:hAnsi="Arial" w:cs="Arial"/>
                <w:b/>
                <w:lang w:val="en-US"/>
              </w:rPr>
              <w:t xml:space="preserve"> </w:t>
            </w:r>
          </w:p>
          <w:p w14:paraId="503641C0" w14:textId="77777777" w:rsidR="003E5F34" w:rsidRDefault="003E5F34" w:rsidP="003E5F34">
            <w:pPr>
              <w:rPr>
                <w:rFonts w:ascii="Arial" w:hAnsi="Arial" w:cs="Arial"/>
                <w:b/>
                <w:lang w:val="en-US"/>
              </w:rPr>
            </w:pPr>
          </w:p>
        </w:tc>
        <w:tc>
          <w:tcPr>
            <w:tcW w:w="1985" w:type="dxa"/>
            <w:shd w:val="clear" w:color="auto" w:fill="auto"/>
            <w:tcMar>
              <w:top w:w="28" w:type="dxa"/>
              <w:bottom w:w="28" w:type="dxa"/>
            </w:tcMar>
          </w:tcPr>
          <w:p w14:paraId="4C855085" w14:textId="77777777" w:rsidR="003E5F34" w:rsidRDefault="003E5F34" w:rsidP="003E5F34">
            <w:pPr>
              <w:rPr>
                <w:rFonts w:ascii="Arial" w:hAnsi="Arial" w:cs="Arial"/>
                <w:b/>
                <w:lang w:val="en-US"/>
              </w:rPr>
            </w:pPr>
            <w:r>
              <w:rPr>
                <w:rFonts w:ascii="Arial" w:hAnsi="Arial" w:cs="Arial"/>
                <w:b/>
                <w:lang w:val="en-US"/>
              </w:rPr>
              <w:t>Topics</w:t>
            </w:r>
          </w:p>
        </w:tc>
        <w:tc>
          <w:tcPr>
            <w:tcW w:w="5528" w:type="dxa"/>
            <w:shd w:val="clear" w:color="auto" w:fill="auto"/>
            <w:tcMar>
              <w:top w:w="28" w:type="dxa"/>
              <w:bottom w:w="28" w:type="dxa"/>
            </w:tcMar>
          </w:tcPr>
          <w:p w14:paraId="316EE798" w14:textId="77777777" w:rsidR="003E5F34" w:rsidRDefault="003E5F34" w:rsidP="003E5F34">
            <w:pPr>
              <w:rPr>
                <w:rFonts w:ascii="Arial" w:hAnsi="Arial" w:cs="Arial"/>
                <w:b/>
                <w:lang w:val="en-US"/>
              </w:rPr>
            </w:pPr>
            <w:r>
              <w:rPr>
                <w:rFonts w:ascii="Arial" w:hAnsi="Arial" w:cs="Arial"/>
                <w:b/>
                <w:lang w:val="en-US"/>
              </w:rPr>
              <w:t>Description</w:t>
            </w:r>
          </w:p>
        </w:tc>
      </w:tr>
      <w:tr w:rsidR="003E5F34" w14:paraId="23CB5FEF" w14:textId="77777777" w:rsidTr="000E53AF">
        <w:trPr>
          <w:trHeight w:val="232"/>
        </w:trPr>
        <w:tc>
          <w:tcPr>
            <w:tcW w:w="1843" w:type="dxa"/>
            <w:vMerge/>
            <w:shd w:val="clear" w:color="auto" w:fill="auto"/>
            <w:tcMar>
              <w:top w:w="28" w:type="dxa"/>
              <w:bottom w:w="28" w:type="dxa"/>
            </w:tcMar>
          </w:tcPr>
          <w:p w14:paraId="45F301C2" w14:textId="77777777" w:rsidR="003E5F34" w:rsidRDefault="003E5F34" w:rsidP="003E5F34">
            <w:pPr>
              <w:rPr>
                <w:rFonts w:ascii="Arial" w:hAnsi="Arial" w:cs="Arial"/>
                <w:lang w:val="en-US"/>
              </w:rPr>
            </w:pPr>
          </w:p>
        </w:tc>
        <w:tc>
          <w:tcPr>
            <w:tcW w:w="1985" w:type="dxa"/>
            <w:shd w:val="clear" w:color="auto" w:fill="auto"/>
            <w:tcMar>
              <w:top w:w="28" w:type="dxa"/>
              <w:bottom w:w="28" w:type="dxa"/>
            </w:tcMar>
          </w:tcPr>
          <w:p w14:paraId="16973E27" w14:textId="3C915D93" w:rsidR="003E5F34" w:rsidRDefault="00932F35" w:rsidP="003E5F34">
            <w:pPr>
              <w:rPr>
                <w:rFonts w:ascii="Arial" w:hAnsi="Arial" w:cs="Arial"/>
                <w:lang w:val="en-US"/>
              </w:rPr>
            </w:pPr>
            <w:proofErr w:type="spellStart"/>
            <w:r>
              <w:rPr>
                <w:rFonts w:ascii="Arial" w:hAnsi="Arial" w:cs="Arial"/>
                <w:lang w:val="en-US"/>
              </w:rPr>
              <w:t>Prozesse</w:t>
            </w:r>
            <w:proofErr w:type="spellEnd"/>
          </w:p>
          <w:p w14:paraId="43382D5E" w14:textId="77777777" w:rsidR="003E5F34" w:rsidRDefault="003E5F34" w:rsidP="003E5F34">
            <w:pPr>
              <w:rPr>
                <w:rFonts w:ascii="Arial" w:hAnsi="Arial" w:cs="Arial"/>
                <w:lang w:val="en-US"/>
              </w:rPr>
            </w:pPr>
          </w:p>
        </w:tc>
        <w:tc>
          <w:tcPr>
            <w:tcW w:w="5528" w:type="dxa"/>
            <w:shd w:val="clear" w:color="auto" w:fill="auto"/>
            <w:tcMar>
              <w:top w:w="28" w:type="dxa"/>
              <w:bottom w:w="28" w:type="dxa"/>
            </w:tcMar>
          </w:tcPr>
          <w:p w14:paraId="5D3148C3" w14:textId="70F1AE49" w:rsidR="003E5F34" w:rsidRPr="009E2D5C" w:rsidRDefault="003E5F34" w:rsidP="009E2D5C">
            <w:pPr>
              <w:numPr>
                <w:ilvl w:val="0"/>
                <w:numId w:val="32"/>
              </w:numPr>
              <w:ind w:left="312" w:hanging="218"/>
              <w:contextualSpacing/>
              <w:rPr>
                <w:rFonts w:ascii="Arial" w:hAnsi="Arial" w:cs="Arial"/>
                <w:lang w:val="en-US"/>
              </w:rPr>
            </w:pPr>
            <w:r w:rsidRPr="009E2D5C">
              <w:rPr>
                <w:rFonts w:ascii="Arial" w:hAnsi="Arial" w:cs="Arial"/>
                <w:lang w:val="en-US"/>
              </w:rPr>
              <w:t xml:space="preserve">Implementation and localization of global </w:t>
            </w:r>
            <w:r w:rsidR="009E2D5C" w:rsidRPr="009E2D5C">
              <w:rPr>
                <w:rFonts w:ascii="Arial" w:hAnsi="Arial" w:cs="Arial"/>
                <w:lang w:val="en-US"/>
              </w:rPr>
              <w:t>Communication strategy</w:t>
            </w:r>
            <w:r w:rsidRPr="009E2D5C">
              <w:rPr>
                <w:rFonts w:ascii="Arial" w:hAnsi="Arial" w:cs="Arial"/>
                <w:lang w:val="en-US"/>
              </w:rPr>
              <w:t xml:space="preserve"> and plan including</w:t>
            </w:r>
            <w:r w:rsidR="00D8054F" w:rsidRPr="009E2D5C">
              <w:rPr>
                <w:rFonts w:ascii="Arial" w:hAnsi="Arial" w:cs="Arial"/>
                <w:lang w:val="en-US"/>
              </w:rPr>
              <w:t>:</w:t>
            </w:r>
            <w:r w:rsidRPr="009E2D5C">
              <w:rPr>
                <w:rFonts w:ascii="Arial" w:hAnsi="Arial" w:cs="Arial"/>
                <w:lang w:val="en-US"/>
              </w:rPr>
              <w:t xml:space="preserve"> </w:t>
            </w:r>
          </w:p>
          <w:p w14:paraId="3606A86A" w14:textId="77777777" w:rsidR="009E2D5C" w:rsidRDefault="003E5F34" w:rsidP="009E2D5C">
            <w:pPr>
              <w:numPr>
                <w:ilvl w:val="1"/>
                <w:numId w:val="46"/>
              </w:numPr>
              <w:ind w:left="918"/>
              <w:contextualSpacing/>
              <w:rPr>
                <w:rFonts w:ascii="Arial" w:hAnsi="Arial" w:cs="Arial"/>
                <w:lang w:val="en-US"/>
              </w:rPr>
            </w:pPr>
            <w:r w:rsidRPr="009E2D5C">
              <w:rPr>
                <w:rFonts w:ascii="Arial" w:hAnsi="Arial" w:cs="Arial"/>
                <w:lang w:val="en-US"/>
              </w:rPr>
              <w:t>internal and external target group communication</w:t>
            </w:r>
          </w:p>
          <w:p w14:paraId="5CD0EEF8" w14:textId="4A30324E" w:rsidR="003E5F34" w:rsidRPr="009E2D5C" w:rsidRDefault="003E5F34" w:rsidP="009E2D5C">
            <w:pPr>
              <w:numPr>
                <w:ilvl w:val="1"/>
                <w:numId w:val="46"/>
              </w:numPr>
              <w:ind w:left="918"/>
              <w:contextualSpacing/>
              <w:rPr>
                <w:rFonts w:ascii="Arial" w:hAnsi="Arial" w:cs="Arial"/>
                <w:lang w:val="en-US"/>
              </w:rPr>
            </w:pPr>
            <w:r w:rsidRPr="009E2D5C">
              <w:rPr>
                <w:rFonts w:ascii="Arial" w:hAnsi="Arial" w:cs="Arial"/>
                <w:lang w:val="en-US"/>
              </w:rPr>
              <w:t>Tone from the Top</w:t>
            </w:r>
          </w:p>
          <w:p w14:paraId="7F5966D8" w14:textId="798D9DDB" w:rsidR="00D8054F" w:rsidRPr="00D8054F" w:rsidRDefault="00D8054F" w:rsidP="009E2D5C">
            <w:pPr>
              <w:numPr>
                <w:ilvl w:val="0"/>
                <w:numId w:val="32"/>
              </w:numPr>
              <w:ind w:left="312" w:hanging="218"/>
              <w:contextualSpacing/>
              <w:rPr>
                <w:lang w:val="en-US"/>
              </w:rPr>
            </w:pPr>
            <w:r w:rsidRPr="009E2D5C">
              <w:rPr>
                <w:rFonts w:ascii="Arial" w:hAnsi="Arial" w:cs="Arial"/>
                <w:lang w:val="en-US"/>
              </w:rPr>
              <w:t>Reporting on implementation status previously al</w:t>
            </w:r>
            <w:r w:rsidR="009E2D5C" w:rsidRPr="009E2D5C">
              <w:rPr>
                <w:rFonts w:ascii="Arial" w:hAnsi="Arial" w:cs="Arial"/>
                <w:lang w:val="en-US"/>
              </w:rPr>
              <w:t xml:space="preserve">igned </w:t>
            </w:r>
            <w:r w:rsidRPr="009E2D5C">
              <w:rPr>
                <w:rFonts w:ascii="Arial" w:hAnsi="Arial" w:cs="Arial"/>
                <w:lang w:val="en-US"/>
              </w:rPr>
              <w:t>communication activities</w:t>
            </w:r>
            <w:r>
              <w:rPr>
                <w:lang w:val="en-US"/>
              </w:rPr>
              <w:t xml:space="preserve"> </w:t>
            </w:r>
          </w:p>
        </w:tc>
      </w:tr>
    </w:tbl>
    <w:p w14:paraId="205C056F" w14:textId="1B208F17" w:rsidR="0055208D" w:rsidRPr="0055208D" w:rsidRDefault="0055208D" w:rsidP="003E5F34">
      <w:pPr>
        <w:pStyle w:val="berschrift3"/>
        <w:numPr>
          <w:ilvl w:val="2"/>
          <w:numId w:val="34"/>
        </w:numPr>
        <w:spacing w:after="240"/>
        <w:jc w:val="both"/>
      </w:pPr>
      <w:bookmarkStart w:id="14" w:name="_Data_Privacy"/>
      <w:bookmarkEnd w:id="14"/>
      <w:r>
        <w:t xml:space="preserve">Data Privacy </w:t>
      </w:r>
    </w:p>
    <w:tbl>
      <w:tblPr>
        <w:tblStyle w:val="Tabellenraster1"/>
        <w:tblW w:w="0" w:type="auto"/>
        <w:tblInd w:w="108" w:type="dxa"/>
        <w:tblLook w:val="04A0" w:firstRow="1" w:lastRow="0" w:firstColumn="1" w:lastColumn="0" w:noHBand="0" w:noVBand="1"/>
      </w:tblPr>
      <w:tblGrid>
        <w:gridCol w:w="1839"/>
        <w:gridCol w:w="1943"/>
        <w:gridCol w:w="6185"/>
      </w:tblGrid>
      <w:tr w:rsidR="001B54EB" w14:paraId="1C44B187" w14:textId="77777777" w:rsidTr="009E2D5C">
        <w:trPr>
          <w:trHeight w:val="147"/>
        </w:trPr>
        <w:tc>
          <w:tcPr>
            <w:tcW w:w="1839" w:type="dxa"/>
            <w:tcMar>
              <w:top w:w="28" w:type="dxa"/>
              <w:bottom w:w="28" w:type="dxa"/>
            </w:tcMar>
          </w:tcPr>
          <w:p w14:paraId="1C44B185" w14:textId="77777777" w:rsidR="001B54EB" w:rsidRDefault="002913D4">
            <w:pPr>
              <w:tabs>
                <w:tab w:val="left" w:pos="-108"/>
                <w:tab w:val="left" w:pos="1095"/>
              </w:tabs>
              <w:rPr>
                <w:rFonts w:ascii="Arial" w:hAnsi="Arial" w:cs="Arial"/>
                <w:b/>
                <w:lang w:val="en-US"/>
              </w:rPr>
            </w:pPr>
            <w:r>
              <w:rPr>
                <w:rFonts w:ascii="Arial" w:hAnsi="Arial" w:cs="Arial"/>
                <w:b/>
                <w:lang w:val="en-US"/>
              </w:rPr>
              <w:t>Topic</w:t>
            </w:r>
            <w:r>
              <w:rPr>
                <w:rFonts w:ascii="Arial" w:hAnsi="Arial" w:cs="Arial"/>
                <w:b/>
                <w:lang w:val="en-US"/>
              </w:rPr>
              <w:tab/>
            </w:r>
          </w:p>
        </w:tc>
        <w:tc>
          <w:tcPr>
            <w:tcW w:w="8128" w:type="dxa"/>
            <w:gridSpan w:val="2"/>
            <w:tcMar>
              <w:top w:w="28" w:type="dxa"/>
              <w:bottom w:w="28" w:type="dxa"/>
            </w:tcMar>
          </w:tcPr>
          <w:p w14:paraId="1C44B186" w14:textId="77777777" w:rsidR="001B54EB" w:rsidRDefault="002913D4">
            <w:pPr>
              <w:rPr>
                <w:rFonts w:ascii="Arial" w:hAnsi="Arial" w:cs="Arial"/>
                <w:b/>
                <w:lang w:val="en-US"/>
              </w:rPr>
            </w:pPr>
            <w:r>
              <w:rPr>
                <w:rFonts w:ascii="Arial" w:hAnsi="Arial" w:cs="Arial"/>
                <w:b/>
                <w:lang w:val="en-US"/>
              </w:rPr>
              <w:t xml:space="preserve">Data Privacy </w:t>
            </w:r>
          </w:p>
        </w:tc>
      </w:tr>
      <w:tr w:rsidR="001B54EB" w14:paraId="1C44B18A" w14:textId="77777777" w:rsidTr="009E2D5C">
        <w:trPr>
          <w:trHeight w:val="232"/>
        </w:trPr>
        <w:tc>
          <w:tcPr>
            <w:tcW w:w="1839" w:type="dxa"/>
            <w:tcMar>
              <w:top w:w="28" w:type="dxa"/>
              <w:bottom w:w="28" w:type="dxa"/>
            </w:tcMar>
          </w:tcPr>
          <w:p w14:paraId="1C44B188" w14:textId="77777777" w:rsidR="001B54EB" w:rsidRDefault="002913D4">
            <w:pPr>
              <w:rPr>
                <w:rFonts w:ascii="Arial" w:hAnsi="Arial" w:cs="Arial"/>
                <w:b/>
                <w:lang w:val="en-US"/>
              </w:rPr>
            </w:pPr>
            <w:r>
              <w:rPr>
                <w:rFonts w:ascii="Arial" w:hAnsi="Arial" w:cs="Arial"/>
                <w:b/>
                <w:lang w:val="en-US"/>
              </w:rPr>
              <w:t>Frequency</w:t>
            </w:r>
          </w:p>
        </w:tc>
        <w:tc>
          <w:tcPr>
            <w:tcW w:w="8128" w:type="dxa"/>
            <w:gridSpan w:val="2"/>
            <w:tcMar>
              <w:top w:w="28" w:type="dxa"/>
              <w:bottom w:w="28" w:type="dxa"/>
            </w:tcMar>
          </w:tcPr>
          <w:p w14:paraId="1C44B189" w14:textId="3C8F1DCF" w:rsidR="001B54EB" w:rsidRDefault="009E2D5C">
            <w:pPr>
              <w:rPr>
                <w:rFonts w:ascii="Arial" w:hAnsi="Arial" w:cs="Arial"/>
                <w:lang w:val="en-US"/>
              </w:rPr>
            </w:pPr>
            <w:r>
              <w:rPr>
                <w:rFonts w:ascii="Arial" w:hAnsi="Arial" w:cs="Arial"/>
                <w:lang w:val="en-US"/>
              </w:rPr>
              <w:t>Once per year</w:t>
            </w:r>
          </w:p>
        </w:tc>
      </w:tr>
      <w:tr w:rsidR="001B54EB" w14:paraId="1C44B193" w14:textId="77777777" w:rsidTr="009E2D5C">
        <w:trPr>
          <w:trHeight w:val="232"/>
        </w:trPr>
        <w:tc>
          <w:tcPr>
            <w:tcW w:w="1839" w:type="dxa"/>
            <w:vMerge w:val="restart"/>
            <w:tcMar>
              <w:top w:w="28" w:type="dxa"/>
              <w:bottom w:w="28" w:type="dxa"/>
            </w:tcMar>
          </w:tcPr>
          <w:p w14:paraId="1C44B18E" w14:textId="77777777" w:rsidR="001B54EB" w:rsidRDefault="002913D4">
            <w:pPr>
              <w:rPr>
                <w:rFonts w:ascii="Arial" w:hAnsi="Arial" w:cs="Arial"/>
                <w:lang w:val="en-US"/>
              </w:rPr>
            </w:pPr>
            <w:r>
              <w:rPr>
                <w:rFonts w:ascii="Arial" w:hAnsi="Arial" w:cs="Arial"/>
                <w:b/>
                <w:lang w:val="en-US"/>
              </w:rPr>
              <w:t>Content</w:t>
            </w:r>
          </w:p>
          <w:p w14:paraId="1C44B18F" w14:textId="77777777" w:rsidR="001B54EB" w:rsidRDefault="002913D4">
            <w:pPr>
              <w:rPr>
                <w:rFonts w:ascii="Arial" w:hAnsi="Arial" w:cs="Arial"/>
                <w:lang w:val="en-US"/>
              </w:rPr>
            </w:pPr>
            <w:r>
              <w:rPr>
                <w:rFonts w:ascii="Arial" w:hAnsi="Arial" w:cs="Arial"/>
                <w:lang w:val="en-US"/>
              </w:rPr>
              <w:lastRenderedPageBreak/>
              <w:t xml:space="preserve"> </w:t>
            </w:r>
          </w:p>
          <w:p w14:paraId="1C44B190" w14:textId="77777777" w:rsidR="001B54EB" w:rsidRDefault="001B54EB">
            <w:pPr>
              <w:rPr>
                <w:rFonts w:ascii="Arial" w:hAnsi="Arial" w:cs="Arial"/>
                <w:b/>
                <w:lang w:val="en-US"/>
              </w:rPr>
            </w:pPr>
          </w:p>
        </w:tc>
        <w:tc>
          <w:tcPr>
            <w:tcW w:w="1943" w:type="dxa"/>
            <w:tcMar>
              <w:top w:w="28" w:type="dxa"/>
              <w:bottom w:w="28" w:type="dxa"/>
            </w:tcMar>
          </w:tcPr>
          <w:p w14:paraId="1C44B191" w14:textId="77777777" w:rsidR="001B54EB" w:rsidRDefault="002913D4">
            <w:pPr>
              <w:rPr>
                <w:rFonts w:ascii="Arial" w:hAnsi="Arial" w:cs="Arial"/>
                <w:b/>
                <w:lang w:val="en-US"/>
              </w:rPr>
            </w:pPr>
            <w:r>
              <w:rPr>
                <w:rFonts w:ascii="Arial" w:hAnsi="Arial" w:cs="Arial"/>
                <w:b/>
                <w:lang w:val="en-US"/>
              </w:rPr>
              <w:lastRenderedPageBreak/>
              <w:t>Topics</w:t>
            </w:r>
          </w:p>
        </w:tc>
        <w:tc>
          <w:tcPr>
            <w:tcW w:w="6185" w:type="dxa"/>
            <w:tcMar>
              <w:top w:w="28" w:type="dxa"/>
              <w:bottom w:w="28" w:type="dxa"/>
            </w:tcMar>
          </w:tcPr>
          <w:p w14:paraId="1C44B192" w14:textId="77777777" w:rsidR="001B54EB" w:rsidRDefault="002913D4">
            <w:pPr>
              <w:rPr>
                <w:rFonts w:ascii="Arial" w:hAnsi="Arial" w:cs="Arial"/>
                <w:b/>
                <w:lang w:val="en-US"/>
              </w:rPr>
            </w:pPr>
            <w:r>
              <w:rPr>
                <w:rFonts w:ascii="Arial" w:hAnsi="Arial" w:cs="Arial"/>
                <w:b/>
                <w:lang w:val="en-US"/>
              </w:rPr>
              <w:t>Description</w:t>
            </w:r>
          </w:p>
        </w:tc>
      </w:tr>
      <w:tr w:rsidR="001B54EB" w14:paraId="1C44B19A" w14:textId="77777777" w:rsidTr="009E2D5C">
        <w:trPr>
          <w:trHeight w:val="724"/>
        </w:trPr>
        <w:tc>
          <w:tcPr>
            <w:tcW w:w="1839" w:type="dxa"/>
            <w:vMerge/>
            <w:tcMar>
              <w:top w:w="28" w:type="dxa"/>
              <w:bottom w:w="28" w:type="dxa"/>
            </w:tcMar>
          </w:tcPr>
          <w:p w14:paraId="1C44B194" w14:textId="77777777" w:rsidR="001B54EB" w:rsidRDefault="001B54EB">
            <w:pPr>
              <w:rPr>
                <w:rFonts w:ascii="Arial" w:hAnsi="Arial" w:cs="Arial"/>
                <w:lang w:val="en-US"/>
              </w:rPr>
            </w:pPr>
          </w:p>
        </w:tc>
        <w:tc>
          <w:tcPr>
            <w:tcW w:w="1943" w:type="dxa"/>
            <w:tcMar>
              <w:top w:w="28" w:type="dxa"/>
              <w:bottom w:w="28" w:type="dxa"/>
            </w:tcMar>
          </w:tcPr>
          <w:p w14:paraId="1C44B195" w14:textId="77777777" w:rsidR="001B54EB" w:rsidRDefault="002913D4">
            <w:pPr>
              <w:rPr>
                <w:rFonts w:ascii="Arial" w:hAnsi="Arial" w:cs="Arial"/>
                <w:lang w:val="en-US"/>
              </w:rPr>
            </w:pPr>
            <w:r>
              <w:rPr>
                <w:rFonts w:ascii="Arial" w:hAnsi="Arial" w:cs="Arial"/>
                <w:lang w:val="en-US"/>
              </w:rPr>
              <w:t>Cases and legal development. Business impact</w:t>
            </w:r>
          </w:p>
        </w:tc>
        <w:tc>
          <w:tcPr>
            <w:tcW w:w="6185" w:type="dxa"/>
            <w:tcMar>
              <w:top w:w="28" w:type="dxa"/>
              <w:bottom w:w="28" w:type="dxa"/>
            </w:tcMar>
          </w:tcPr>
          <w:p w14:paraId="1C44B196" w14:textId="77777777" w:rsidR="001B54EB" w:rsidRDefault="002913D4" w:rsidP="006873F3">
            <w:pPr>
              <w:numPr>
                <w:ilvl w:val="0"/>
                <w:numId w:val="32"/>
              </w:numPr>
              <w:ind w:left="312" w:hanging="218"/>
              <w:contextualSpacing/>
              <w:rPr>
                <w:rFonts w:ascii="Arial" w:hAnsi="Arial" w:cs="Arial"/>
                <w:lang w:val="en-US"/>
              </w:rPr>
            </w:pPr>
            <w:r>
              <w:rPr>
                <w:rFonts w:ascii="Arial" w:hAnsi="Arial" w:cs="Arial"/>
                <w:lang w:val="en-US"/>
              </w:rPr>
              <w:t xml:space="preserve">Cases within Siemens or other data breaches </w:t>
            </w:r>
          </w:p>
          <w:p w14:paraId="1C44B197" w14:textId="77777777" w:rsidR="001B54EB" w:rsidRPr="006873F3" w:rsidRDefault="002913D4" w:rsidP="006873F3">
            <w:pPr>
              <w:numPr>
                <w:ilvl w:val="0"/>
                <w:numId w:val="32"/>
              </w:numPr>
              <w:ind w:left="312" w:hanging="218"/>
              <w:contextualSpacing/>
              <w:rPr>
                <w:rFonts w:ascii="Arial" w:hAnsi="Arial" w:cs="Arial"/>
                <w:lang w:val="en-US"/>
              </w:rPr>
            </w:pPr>
            <w:r w:rsidRPr="006873F3">
              <w:rPr>
                <w:rFonts w:ascii="Arial" w:hAnsi="Arial" w:cs="Arial"/>
                <w:lang w:val="en-US"/>
              </w:rPr>
              <w:t>New data privacy requirements</w:t>
            </w:r>
          </w:p>
          <w:p w14:paraId="1C44B198" w14:textId="77777777" w:rsidR="001B54EB" w:rsidRPr="006873F3" w:rsidRDefault="002913D4" w:rsidP="006873F3">
            <w:pPr>
              <w:numPr>
                <w:ilvl w:val="0"/>
                <w:numId w:val="32"/>
              </w:numPr>
              <w:ind w:left="312" w:hanging="218"/>
              <w:contextualSpacing/>
              <w:rPr>
                <w:rFonts w:ascii="Arial" w:hAnsi="Arial" w:cs="Arial"/>
                <w:lang w:val="en-US"/>
              </w:rPr>
            </w:pPr>
            <w:r w:rsidRPr="006873F3">
              <w:rPr>
                <w:rFonts w:ascii="Arial" w:hAnsi="Arial" w:cs="Arial"/>
                <w:lang w:val="en-US"/>
              </w:rPr>
              <w:t xml:space="preserve">Results from internal audits </w:t>
            </w:r>
          </w:p>
          <w:p w14:paraId="1C44B199" w14:textId="77777777" w:rsidR="001B54EB" w:rsidRDefault="002913D4" w:rsidP="006873F3">
            <w:pPr>
              <w:numPr>
                <w:ilvl w:val="0"/>
                <w:numId w:val="32"/>
              </w:numPr>
              <w:ind w:left="312" w:hanging="218"/>
              <w:contextualSpacing/>
              <w:rPr>
                <w:rFonts w:ascii="Arial" w:hAnsi="Arial" w:cs="Arial"/>
                <w:lang w:val="en-US"/>
              </w:rPr>
            </w:pPr>
            <w:r>
              <w:rPr>
                <w:rFonts w:ascii="Arial" w:hAnsi="Arial" w:cs="Arial"/>
                <w:lang w:val="en-US"/>
              </w:rPr>
              <w:t xml:space="preserve">Business relevant questions of customers </w:t>
            </w:r>
            <w:proofErr w:type="gramStart"/>
            <w:r>
              <w:rPr>
                <w:rFonts w:ascii="Arial" w:hAnsi="Arial" w:cs="Arial"/>
                <w:lang w:val="en-US"/>
              </w:rPr>
              <w:t>in regard to</w:t>
            </w:r>
            <w:proofErr w:type="gramEnd"/>
            <w:r>
              <w:rPr>
                <w:rFonts w:ascii="Arial" w:hAnsi="Arial" w:cs="Arial"/>
                <w:lang w:val="en-US"/>
              </w:rPr>
              <w:t xml:space="preserve"> data privacy </w:t>
            </w:r>
          </w:p>
        </w:tc>
      </w:tr>
    </w:tbl>
    <w:p w14:paraId="6ECADBEE" w14:textId="77777777" w:rsidR="003E5F34" w:rsidRDefault="003E5F34" w:rsidP="003E5F34"/>
    <w:p w14:paraId="1C24452C" w14:textId="7764352A" w:rsidR="003E5F34" w:rsidRPr="0055208D" w:rsidRDefault="003E5F34" w:rsidP="003E5F34">
      <w:pPr>
        <w:pStyle w:val="berschrift3"/>
        <w:numPr>
          <w:ilvl w:val="2"/>
          <w:numId w:val="34"/>
        </w:numPr>
        <w:spacing w:after="240"/>
        <w:jc w:val="both"/>
      </w:pPr>
      <w:bookmarkStart w:id="15" w:name="_Compliance_Training"/>
      <w:bookmarkEnd w:id="15"/>
      <w:r>
        <w:t>Compliance Training</w:t>
      </w:r>
    </w:p>
    <w:tbl>
      <w:tblPr>
        <w:tblStyle w:val="Tabellenraster7"/>
        <w:tblW w:w="0" w:type="auto"/>
        <w:tblInd w:w="108" w:type="dxa"/>
        <w:tblLook w:val="04A0" w:firstRow="1" w:lastRow="0" w:firstColumn="1" w:lastColumn="0" w:noHBand="0" w:noVBand="1"/>
      </w:tblPr>
      <w:tblGrid>
        <w:gridCol w:w="1843"/>
        <w:gridCol w:w="1985"/>
        <w:gridCol w:w="5528"/>
      </w:tblGrid>
      <w:tr w:rsidR="003E5F34" w14:paraId="46D9A097" w14:textId="77777777" w:rsidTr="00561D7E">
        <w:trPr>
          <w:trHeight w:val="226"/>
        </w:trPr>
        <w:tc>
          <w:tcPr>
            <w:tcW w:w="1843" w:type="dxa"/>
            <w:tcMar>
              <w:top w:w="28" w:type="dxa"/>
              <w:bottom w:w="28" w:type="dxa"/>
            </w:tcMar>
          </w:tcPr>
          <w:p w14:paraId="367E63F4" w14:textId="77777777" w:rsidR="003E5F34" w:rsidRDefault="003E5F34" w:rsidP="003E5F34">
            <w:pPr>
              <w:rPr>
                <w:rFonts w:ascii="Arial" w:hAnsi="Arial" w:cs="Arial"/>
                <w:b/>
                <w:lang w:val="en-US"/>
              </w:rPr>
            </w:pPr>
            <w:r>
              <w:rPr>
                <w:rFonts w:ascii="Arial" w:hAnsi="Arial" w:cs="Arial"/>
                <w:b/>
                <w:lang w:val="en-US"/>
              </w:rPr>
              <w:t>Topic</w:t>
            </w:r>
          </w:p>
        </w:tc>
        <w:tc>
          <w:tcPr>
            <w:tcW w:w="7513" w:type="dxa"/>
            <w:gridSpan w:val="2"/>
            <w:tcMar>
              <w:top w:w="28" w:type="dxa"/>
              <w:bottom w:w="28" w:type="dxa"/>
            </w:tcMar>
          </w:tcPr>
          <w:p w14:paraId="29CD5F9C" w14:textId="77777777" w:rsidR="003E5F34" w:rsidRDefault="003E5F34" w:rsidP="003E5F34">
            <w:pPr>
              <w:rPr>
                <w:rFonts w:ascii="Arial" w:hAnsi="Arial" w:cs="Arial"/>
                <w:b/>
                <w:lang w:val="en-US"/>
              </w:rPr>
            </w:pPr>
            <w:r>
              <w:rPr>
                <w:rFonts w:ascii="Arial" w:hAnsi="Arial" w:cs="Arial"/>
                <w:b/>
                <w:lang w:val="en-US"/>
              </w:rPr>
              <w:t>Compliance Training</w:t>
            </w:r>
          </w:p>
        </w:tc>
      </w:tr>
      <w:tr w:rsidR="003E5F34" w14:paraId="326458E4" w14:textId="77777777" w:rsidTr="00561D7E">
        <w:trPr>
          <w:trHeight w:val="232"/>
        </w:trPr>
        <w:tc>
          <w:tcPr>
            <w:tcW w:w="1843" w:type="dxa"/>
            <w:tcMar>
              <w:top w:w="28" w:type="dxa"/>
              <w:bottom w:w="28" w:type="dxa"/>
            </w:tcMar>
          </w:tcPr>
          <w:p w14:paraId="25F28E2F" w14:textId="77777777" w:rsidR="003E5F34" w:rsidRDefault="003E5F34" w:rsidP="003E5F34">
            <w:pPr>
              <w:rPr>
                <w:rFonts w:ascii="Arial" w:hAnsi="Arial" w:cs="Arial"/>
                <w:b/>
                <w:lang w:val="en-US"/>
              </w:rPr>
            </w:pPr>
            <w:r>
              <w:rPr>
                <w:rFonts w:ascii="Arial" w:hAnsi="Arial" w:cs="Arial"/>
                <w:b/>
                <w:lang w:val="en-US"/>
              </w:rPr>
              <w:t>Frequency</w:t>
            </w:r>
          </w:p>
        </w:tc>
        <w:tc>
          <w:tcPr>
            <w:tcW w:w="7513" w:type="dxa"/>
            <w:gridSpan w:val="2"/>
            <w:tcMar>
              <w:top w:w="28" w:type="dxa"/>
              <w:bottom w:w="28" w:type="dxa"/>
            </w:tcMar>
          </w:tcPr>
          <w:p w14:paraId="654565EE" w14:textId="6D226211" w:rsidR="003E5F34" w:rsidRDefault="009E2D5C" w:rsidP="003E5F34">
            <w:pPr>
              <w:rPr>
                <w:rFonts w:ascii="Arial" w:hAnsi="Arial" w:cs="Arial"/>
                <w:lang w:val="en-US"/>
              </w:rPr>
            </w:pPr>
            <w:r>
              <w:rPr>
                <w:rFonts w:ascii="Arial" w:hAnsi="Arial" w:cs="Arial"/>
                <w:lang w:val="en-US"/>
              </w:rPr>
              <w:t>Once per year</w:t>
            </w:r>
          </w:p>
        </w:tc>
      </w:tr>
      <w:tr w:rsidR="003E5F34" w14:paraId="25437D3A" w14:textId="77777777" w:rsidTr="000E53AF">
        <w:trPr>
          <w:trHeight w:val="232"/>
        </w:trPr>
        <w:tc>
          <w:tcPr>
            <w:tcW w:w="1843" w:type="dxa"/>
            <w:vMerge w:val="restart"/>
            <w:tcMar>
              <w:top w:w="28" w:type="dxa"/>
              <w:bottom w:w="28" w:type="dxa"/>
            </w:tcMar>
          </w:tcPr>
          <w:p w14:paraId="2A312A33" w14:textId="77777777" w:rsidR="003E5F34" w:rsidRDefault="003E5F34" w:rsidP="003E5F34">
            <w:pPr>
              <w:rPr>
                <w:rFonts w:ascii="Arial" w:hAnsi="Arial" w:cs="Arial"/>
                <w:b/>
                <w:lang w:val="en-US"/>
              </w:rPr>
            </w:pPr>
            <w:r>
              <w:rPr>
                <w:rFonts w:ascii="Arial" w:hAnsi="Arial" w:cs="Arial"/>
                <w:b/>
                <w:lang w:val="en-US"/>
              </w:rPr>
              <w:t>Content</w:t>
            </w:r>
          </w:p>
          <w:p w14:paraId="3B2CA3E5" w14:textId="77777777" w:rsidR="003E5F34" w:rsidRDefault="003E5F34" w:rsidP="003E5F34">
            <w:pPr>
              <w:rPr>
                <w:rFonts w:ascii="Arial" w:hAnsi="Arial" w:cs="Arial"/>
                <w:b/>
                <w:lang w:val="en-US"/>
              </w:rPr>
            </w:pPr>
            <w:r>
              <w:rPr>
                <w:rFonts w:ascii="Arial" w:hAnsi="Arial" w:cs="Arial"/>
                <w:b/>
                <w:lang w:val="en-US"/>
              </w:rPr>
              <w:t xml:space="preserve"> </w:t>
            </w:r>
          </w:p>
          <w:p w14:paraId="3A9858F7" w14:textId="77777777" w:rsidR="003E5F34" w:rsidRDefault="003E5F34" w:rsidP="003E5F34">
            <w:pPr>
              <w:rPr>
                <w:rFonts w:ascii="Arial" w:hAnsi="Arial" w:cs="Arial"/>
                <w:b/>
                <w:lang w:val="en-US"/>
              </w:rPr>
            </w:pPr>
          </w:p>
        </w:tc>
        <w:tc>
          <w:tcPr>
            <w:tcW w:w="1985" w:type="dxa"/>
            <w:tcMar>
              <w:top w:w="28" w:type="dxa"/>
              <w:bottom w:w="28" w:type="dxa"/>
            </w:tcMar>
          </w:tcPr>
          <w:p w14:paraId="0199CE3B" w14:textId="77777777" w:rsidR="003E5F34" w:rsidRDefault="003E5F34" w:rsidP="003E5F34">
            <w:pPr>
              <w:rPr>
                <w:rFonts w:ascii="Arial" w:hAnsi="Arial" w:cs="Arial"/>
                <w:b/>
                <w:lang w:val="en-US"/>
              </w:rPr>
            </w:pPr>
            <w:r>
              <w:rPr>
                <w:rFonts w:ascii="Arial" w:hAnsi="Arial" w:cs="Arial"/>
                <w:b/>
                <w:lang w:val="en-US"/>
              </w:rPr>
              <w:t>Topics</w:t>
            </w:r>
          </w:p>
        </w:tc>
        <w:tc>
          <w:tcPr>
            <w:tcW w:w="5528" w:type="dxa"/>
            <w:tcMar>
              <w:top w:w="28" w:type="dxa"/>
              <w:bottom w:w="28" w:type="dxa"/>
            </w:tcMar>
          </w:tcPr>
          <w:p w14:paraId="04896064" w14:textId="77777777" w:rsidR="003E5F34" w:rsidRDefault="003E5F34" w:rsidP="003E5F34">
            <w:pPr>
              <w:rPr>
                <w:rFonts w:ascii="Arial" w:hAnsi="Arial" w:cs="Arial"/>
                <w:b/>
                <w:lang w:val="en-US"/>
              </w:rPr>
            </w:pPr>
            <w:r>
              <w:rPr>
                <w:rFonts w:ascii="Arial" w:hAnsi="Arial" w:cs="Arial"/>
                <w:b/>
                <w:lang w:val="en-US"/>
              </w:rPr>
              <w:t>Description</w:t>
            </w:r>
          </w:p>
        </w:tc>
      </w:tr>
      <w:tr w:rsidR="00061BB4" w14:paraId="76A68002" w14:textId="77777777" w:rsidTr="000E53AF">
        <w:trPr>
          <w:trHeight w:val="232"/>
        </w:trPr>
        <w:tc>
          <w:tcPr>
            <w:tcW w:w="1843" w:type="dxa"/>
            <w:vMerge/>
            <w:tcMar>
              <w:top w:w="28" w:type="dxa"/>
              <w:bottom w:w="28" w:type="dxa"/>
            </w:tcMar>
          </w:tcPr>
          <w:p w14:paraId="2927CF15" w14:textId="77777777" w:rsidR="00061BB4" w:rsidRDefault="00061BB4" w:rsidP="00061BB4">
            <w:pPr>
              <w:rPr>
                <w:rFonts w:ascii="Arial" w:hAnsi="Arial" w:cs="Arial"/>
                <w:lang w:val="en-US"/>
              </w:rPr>
            </w:pPr>
          </w:p>
        </w:tc>
        <w:tc>
          <w:tcPr>
            <w:tcW w:w="1985" w:type="dxa"/>
            <w:tcMar>
              <w:top w:w="28" w:type="dxa"/>
              <w:bottom w:w="28" w:type="dxa"/>
            </w:tcMar>
          </w:tcPr>
          <w:p w14:paraId="679FF914" w14:textId="77777777" w:rsidR="00061BB4" w:rsidRDefault="00061BB4" w:rsidP="00061BB4">
            <w:pPr>
              <w:rPr>
                <w:rFonts w:ascii="Arial" w:hAnsi="Arial" w:cs="Arial"/>
                <w:lang w:val="en-US"/>
              </w:rPr>
            </w:pPr>
            <w:r>
              <w:rPr>
                <w:rFonts w:ascii="Arial" w:hAnsi="Arial" w:cs="Arial"/>
                <w:lang w:val="en-US"/>
              </w:rPr>
              <w:t>For Lead Country COs:</w:t>
            </w:r>
          </w:p>
          <w:p w14:paraId="774032E1" w14:textId="2A547ECA" w:rsidR="00061BB4" w:rsidRPr="00061BB4" w:rsidRDefault="00061BB4" w:rsidP="00061BB4">
            <w:pPr>
              <w:rPr>
                <w:lang w:val="en-US"/>
              </w:rPr>
            </w:pPr>
            <w:r w:rsidRPr="00061BB4">
              <w:rPr>
                <w:rFonts w:ascii="Arial" w:hAnsi="Arial" w:cs="Arial"/>
                <w:lang w:val="en-US"/>
              </w:rPr>
              <w:t>2-year training roadmap</w:t>
            </w:r>
          </w:p>
        </w:tc>
        <w:tc>
          <w:tcPr>
            <w:tcW w:w="5528" w:type="dxa"/>
            <w:tcMar>
              <w:top w:w="28" w:type="dxa"/>
              <w:bottom w:w="28" w:type="dxa"/>
            </w:tcMar>
          </w:tcPr>
          <w:p w14:paraId="1B7DEE8A" w14:textId="3CC10FC2" w:rsidR="00061BB4" w:rsidRDefault="00061BB4" w:rsidP="006873F3">
            <w:pPr>
              <w:numPr>
                <w:ilvl w:val="0"/>
                <w:numId w:val="32"/>
              </w:numPr>
              <w:ind w:left="312" w:hanging="218"/>
              <w:contextualSpacing/>
              <w:rPr>
                <w:rFonts w:ascii="Arial" w:hAnsi="Arial" w:cs="Arial"/>
                <w:lang w:val="en-US"/>
              </w:rPr>
            </w:pPr>
            <w:bookmarkStart w:id="16" w:name="_Hlk51787718"/>
            <w:r w:rsidRPr="00061BB4">
              <w:rPr>
                <w:rFonts w:ascii="Arial" w:hAnsi="Arial" w:cs="Arial"/>
                <w:lang w:val="en-US"/>
              </w:rPr>
              <w:t>2-</w:t>
            </w:r>
            <w:r>
              <w:rPr>
                <w:rFonts w:ascii="Arial" w:hAnsi="Arial" w:cs="Arial"/>
                <w:lang w:val="en-US"/>
              </w:rPr>
              <w:t>Y</w:t>
            </w:r>
            <w:r w:rsidRPr="00061BB4">
              <w:rPr>
                <w:rFonts w:ascii="Arial" w:hAnsi="Arial" w:cs="Arial"/>
                <w:lang w:val="en-US"/>
              </w:rPr>
              <w:t>ear training roadmap</w:t>
            </w:r>
            <w:r>
              <w:rPr>
                <w:rFonts w:ascii="Arial" w:hAnsi="Arial" w:cs="Arial"/>
                <w:lang w:val="en-US"/>
              </w:rPr>
              <w:t xml:space="preserve"> incl.</w:t>
            </w:r>
            <w:r w:rsidRPr="00061BB4">
              <w:rPr>
                <w:rFonts w:ascii="Arial" w:hAnsi="Arial" w:cs="Arial"/>
                <w:lang w:val="en-US"/>
              </w:rPr>
              <w:t xml:space="preserve"> regional training landscape (global and local mandatory activities) and status of training activities</w:t>
            </w:r>
            <w:bookmarkEnd w:id="16"/>
            <w:r w:rsidRPr="00061BB4">
              <w:rPr>
                <w:rFonts w:ascii="Arial" w:hAnsi="Arial" w:cs="Arial"/>
                <w:lang w:val="en-US"/>
              </w:rPr>
              <w:t>. Approval needs to be documented in CRB minutes</w:t>
            </w:r>
            <w:r>
              <w:rPr>
                <w:rFonts w:ascii="Arial" w:hAnsi="Arial" w:cs="Arial"/>
                <w:lang w:val="en-US"/>
              </w:rPr>
              <w:t>.</w:t>
            </w:r>
          </w:p>
          <w:p w14:paraId="55866CCD" w14:textId="77777777" w:rsidR="00061BB4" w:rsidRPr="00061BB4" w:rsidRDefault="00061BB4" w:rsidP="006873F3">
            <w:pPr>
              <w:ind w:left="312"/>
              <w:contextualSpacing/>
              <w:rPr>
                <w:rFonts w:ascii="Arial" w:hAnsi="Arial" w:cs="Arial"/>
                <w:lang w:val="en-US"/>
              </w:rPr>
            </w:pPr>
          </w:p>
          <w:p w14:paraId="4934D283" w14:textId="2108E0D2" w:rsidR="00061BB4" w:rsidRDefault="00061BB4" w:rsidP="006873F3">
            <w:pPr>
              <w:numPr>
                <w:ilvl w:val="0"/>
                <w:numId w:val="32"/>
              </w:numPr>
              <w:ind w:left="312" w:hanging="218"/>
              <w:contextualSpacing/>
              <w:rPr>
                <w:rFonts w:ascii="Arial" w:hAnsi="Arial" w:cs="Arial"/>
                <w:lang w:val="en-US"/>
              </w:rPr>
            </w:pPr>
            <w:r w:rsidRPr="00061BB4">
              <w:rPr>
                <w:rFonts w:ascii="Arial" w:hAnsi="Arial" w:cs="Arial"/>
                <w:lang w:val="en-US"/>
              </w:rPr>
              <w:t>After one year: Interim review after one year: Implementation status and identified need for adaptations necessary for the following FY and approval of adaptations</w:t>
            </w:r>
          </w:p>
          <w:p w14:paraId="6CA5A4CA" w14:textId="77777777" w:rsidR="00061BB4" w:rsidRPr="006873F3" w:rsidRDefault="00061BB4" w:rsidP="006873F3">
            <w:pPr>
              <w:ind w:left="312"/>
              <w:contextualSpacing/>
              <w:rPr>
                <w:rFonts w:ascii="Arial" w:hAnsi="Arial" w:cs="Arial"/>
                <w:lang w:val="en-US"/>
              </w:rPr>
            </w:pPr>
          </w:p>
          <w:p w14:paraId="5CE92111" w14:textId="1AE776B0" w:rsidR="00061BB4" w:rsidRDefault="00061BB4" w:rsidP="006873F3">
            <w:pPr>
              <w:numPr>
                <w:ilvl w:val="0"/>
                <w:numId w:val="32"/>
              </w:numPr>
              <w:ind w:left="312" w:hanging="218"/>
              <w:contextualSpacing/>
              <w:rPr>
                <w:rFonts w:ascii="Arial" w:hAnsi="Arial" w:cs="Arial"/>
                <w:lang w:val="en-US"/>
              </w:rPr>
            </w:pPr>
            <w:r w:rsidRPr="00061BB4">
              <w:rPr>
                <w:rFonts w:ascii="Arial" w:hAnsi="Arial" w:cs="Arial"/>
                <w:lang w:val="en-US"/>
              </w:rPr>
              <w:t>After 2 years: Evaluation of complete implementation of the training roadmap and introduction of new training roadmap</w:t>
            </w:r>
          </w:p>
        </w:tc>
      </w:tr>
      <w:tr w:rsidR="00061BB4" w14:paraId="25F09E9A" w14:textId="77777777" w:rsidTr="000E53AF">
        <w:trPr>
          <w:trHeight w:val="724"/>
        </w:trPr>
        <w:tc>
          <w:tcPr>
            <w:tcW w:w="1843" w:type="dxa"/>
            <w:vMerge/>
            <w:tcMar>
              <w:top w:w="28" w:type="dxa"/>
              <w:bottom w:w="28" w:type="dxa"/>
            </w:tcMar>
          </w:tcPr>
          <w:p w14:paraId="6C89D013" w14:textId="77777777" w:rsidR="00061BB4" w:rsidRDefault="00061BB4" w:rsidP="00061BB4">
            <w:pPr>
              <w:rPr>
                <w:rFonts w:ascii="Arial" w:hAnsi="Arial" w:cs="Arial"/>
                <w:lang w:val="en-US"/>
              </w:rPr>
            </w:pPr>
          </w:p>
        </w:tc>
        <w:tc>
          <w:tcPr>
            <w:tcW w:w="1985" w:type="dxa"/>
            <w:tcMar>
              <w:top w:w="28" w:type="dxa"/>
              <w:bottom w:w="28" w:type="dxa"/>
            </w:tcMar>
          </w:tcPr>
          <w:p w14:paraId="7E0052C6" w14:textId="5BB93E40" w:rsidR="00061BB4" w:rsidRDefault="00061BB4" w:rsidP="00061BB4">
            <w:pPr>
              <w:rPr>
                <w:rFonts w:ascii="Arial" w:hAnsi="Arial" w:cs="Arial"/>
                <w:lang w:val="en-US"/>
              </w:rPr>
            </w:pPr>
            <w:r w:rsidRPr="00061BB4">
              <w:rPr>
                <w:rFonts w:ascii="Arial" w:hAnsi="Arial" w:cs="Arial"/>
                <w:lang w:val="en-US"/>
              </w:rPr>
              <w:t>For: Siemens Businesses (SI, DI, SMO), Service &amp; Governance CO: CO training landscape</w:t>
            </w:r>
          </w:p>
        </w:tc>
        <w:tc>
          <w:tcPr>
            <w:tcW w:w="5528" w:type="dxa"/>
            <w:tcMar>
              <w:top w:w="28" w:type="dxa"/>
              <w:bottom w:w="28" w:type="dxa"/>
            </w:tcMar>
          </w:tcPr>
          <w:p w14:paraId="6FC677D8" w14:textId="68148CB1" w:rsidR="006873F3" w:rsidRPr="006873F3" w:rsidRDefault="006873F3" w:rsidP="006873F3">
            <w:pPr>
              <w:numPr>
                <w:ilvl w:val="0"/>
                <w:numId w:val="32"/>
              </w:numPr>
              <w:ind w:left="312" w:hanging="218"/>
              <w:contextualSpacing/>
              <w:rPr>
                <w:rFonts w:ascii="Arial" w:hAnsi="Arial" w:cs="Arial"/>
                <w:lang w:val="en-US"/>
              </w:rPr>
            </w:pPr>
            <w:r w:rsidRPr="006873F3">
              <w:rPr>
                <w:rFonts w:ascii="Arial" w:hAnsi="Arial" w:cs="Arial"/>
                <w:lang w:val="en-US"/>
              </w:rPr>
              <w:t>Presentation of CO training landscape, incl. global mandatory activities and specific training needs according to current business risks</w:t>
            </w:r>
          </w:p>
          <w:p w14:paraId="6D746918" w14:textId="01D8A88A" w:rsidR="00061BB4" w:rsidRDefault="00061BB4" w:rsidP="006873F3">
            <w:pPr>
              <w:ind w:left="312"/>
              <w:contextualSpacing/>
              <w:rPr>
                <w:rFonts w:ascii="Arial" w:hAnsi="Arial" w:cs="Arial"/>
                <w:lang w:val="en-US"/>
              </w:rPr>
            </w:pPr>
          </w:p>
        </w:tc>
      </w:tr>
    </w:tbl>
    <w:p w14:paraId="34E83195" w14:textId="77777777" w:rsidR="00EA221B" w:rsidRPr="00EA221B" w:rsidRDefault="00EA221B" w:rsidP="00EA221B">
      <w:pPr>
        <w:pStyle w:val="KeinAbsatzformat"/>
        <w:rPr>
          <w:lang w:val="en-US"/>
        </w:rPr>
      </w:pPr>
    </w:p>
    <w:p w14:paraId="1C44B19B" w14:textId="77777777" w:rsidR="001B54EB" w:rsidRDefault="001B54EB">
      <w:bookmarkStart w:id="17" w:name="_High-risk_payments"/>
      <w:bookmarkEnd w:id="17"/>
    </w:p>
    <w:p w14:paraId="268B5433" w14:textId="50AF3E82" w:rsidR="0055208D" w:rsidRPr="0055208D" w:rsidRDefault="006873F3" w:rsidP="003E5F34">
      <w:pPr>
        <w:pStyle w:val="berschrift3"/>
        <w:numPr>
          <w:ilvl w:val="2"/>
          <w:numId w:val="34"/>
        </w:numPr>
        <w:spacing w:after="240"/>
        <w:jc w:val="both"/>
      </w:pPr>
      <w:bookmarkStart w:id="18" w:name="_Export_control_cases"/>
      <w:bookmarkStart w:id="19" w:name="_Status_of_mitigation"/>
      <w:bookmarkEnd w:id="18"/>
      <w:bookmarkEnd w:id="19"/>
      <w:r>
        <w:t>Compliance Risks</w:t>
      </w:r>
    </w:p>
    <w:tbl>
      <w:tblPr>
        <w:tblStyle w:val="Tabellenraster5"/>
        <w:tblW w:w="0" w:type="auto"/>
        <w:tblInd w:w="108" w:type="dxa"/>
        <w:tblLook w:val="04A0" w:firstRow="1" w:lastRow="0" w:firstColumn="1" w:lastColumn="0" w:noHBand="0" w:noVBand="1"/>
      </w:tblPr>
      <w:tblGrid>
        <w:gridCol w:w="1843"/>
        <w:gridCol w:w="1985"/>
        <w:gridCol w:w="5528"/>
      </w:tblGrid>
      <w:tr w:rsidR="001B54EB" w14:paraId="1C44B1DA" w14:textId="77777777" w:rsidTr="00561D7E">
        <w:trPr>
          <w:trHeight w:val="226"/>
        </w:trPr>
        <w:tc>
          <w:tcPr>
            <w:tcW w:w="1843" w:type="dxa"/>
            <w:tcMar>
              <w:top w:w="28" w:type="dxa"/>
              <w:bottom w:w="28" w:type="dxa"/>
            </w:tcMar>
          </w:tcPr>
          <w:p w14:paraId="1C44B1D8" w14:textId="77777777" w:rsidR="001B54EB" w:rsidRDefault="002913D4">
            <w:pPr>
              <w:rPr>
                <w:rFonts w:ascii="Arial" w:hAnsi="Arial" w:cs="Arial"/>
                <w:b/>
                <w:lang w:val="en-US"/>
              </w:rPr>
            </w:pPr>
            <w:r>
              <w:rPr>
                <w:rFonts w:ascii="Arial" w:hAnsi="Arial" w:cs="Arial"/>
                <w:b/>
                <w:lang w:val="en-US"/>
              </w:rPr>
              <w:t>Topic</w:t>
            </w:r>
          </w:p>
        </w:tc>
        <w:tc>
          <w:tcPr>
            <w:tcW w:w="7513" w:type="dxa"/>
            <w:gridSpan w:val="2"/>
            <w:tcMar>
              <w:top w:w="28" w:type="dxa"/>
              <w:bottom w:w="28" w:type="dxa"/>
            </w:tcMar>
          </w:tcPr>
          <w:p w14:paraId="1C44B1D9" w14:textId="4CC2ED90" w:rsidR="001B54EB" w:rsidRDefault="006873F3">
            <w:pPr>
              <w:rPr>
                <w:rFonts w:ascii="Arial" w:hAnsi="Arial" w:cs="Arial"/>
                <w:b/>
                <w:lang w:val="en-US"/>
              </w:rPr>
            </w:pPr>
            <w:r>
              <w:rPr>
                <w:rFonts w:ascii="Arial" w:hAnsi="Arial" w:cs="Arial"/>
                <w:b/>
                <w:lang w:val="en-US"/>
              </w:rPr>
              <w:t>Relevant Compliance Risks, Mitigation and Remediation Measures</w:t>
            </w:r>
          </w:p>
        </w:tc>
      </w:tr>
      <w:tr w:rsidR="001B54EB" w14:paraId="1C44B1DD" w14:textId="77777777" w:rsidTr="00561D7E">
        <w:trPr>
          <w:trHeight w:val="232"/>
        </w:trPr>
        <w:tc>
          <w:tcPr>
            <w:tcW w:w="1843" w:type="dxa"/>
            <w:tcMar>
              <w:top w:w="28" w:type="dxa"/>
              <w:bottom w:w="28" w:type="dxa"/>
            </w:tcMar>
          </w:tcPr>
          <w:p w14:paraId="1C44B1DB" w14:textId="77777777" w:rsidR="001B54EB" w:rsidRDefault="002913D4">
            <w:pPr>
              <w:rPr>
                <w:rFonts w:ascii="Arial" w:hAnsi="Arial" w:cs="Arial"/>
                <w:b/>
                <w:lang w:val="en-US"/>
              </w:rPr>
            </w:pPr>
            <w:r>
              <w:rPr>
                <w:rFonts w:ascii="Arial" w:hAnsi="Arial" w:cs="Arial"/>
                <w:b/>
                <w:lang w:val="en-US"/>
              </w:rPr>
              <w:t>Frequency</w:t>
            </w:r>
          </w:p>
        </w:tc>
        <w:tc>
          <w:tcPr>
            <w:tcW w:w="7513" w:type="dxa"/>
            <w:gridSpan w:val="2"/>
            <w:tcMar>
              <w:top w:w="28" w:type="dxa"/>
              <w:bottom w:w="28" w:type="dxa"/>
            </w:tcMar>
          </w:tcPr>
          <w:p w14:paraId="1C44B1DC" w14:textId="5C57D385" w:rsidR="001B54EB" w:rsidRDefault="006873F3">
            <w:pPr>
              <w:rPr>
                <w:rFonts w:ascii="Arial" w:hAnsi="Arial" w:cs="Arial"/>
                <w:lang w:val="en-US"/>
              </w:rPr>
            </w:pPr>
            <w:r>
              <w:rPr>
                <w:rFonts w:ascii="Arial" w:hAnsi="Arial" w:cs="Arial"/>
                <w:lang w:val="en-US"/>
              </w:rPr>
              <w:t>Quarterly</w:t>
            </w:r>
          </w:p>
        </w:tc>
      </w:tr>
      <w:tr w:rsidR="006873F3" w14:paraId="1C44B1E9" w14:textId="77777777" w:rsidTr="000E53AF">
        <w:trPr>
          <w:trHeight w:val="232"/>
        </w:trPr>
        <w:tc>
          <w:tcPr>
            <w:tcW w:w="1843" w:type="dxa"/>
            <w:vMerge w:val="restart"/>
            <w:tcMar>
              <w:top w:w="28" w:type="dxa"/>
              <w:bottom w:w="28" w:type="dxa"/>
            </w:tcMar>
          </w:tcPr>
          <w:p w14:paraId="1C44B1E4" w14:textId="77777777" w:rsidR="006873F3" w:rsidRDefault="006873F3">
            <w:pPr>
              <w:rPr>
                <w:rFonts w:ascii="Arial" w:hAnsi="Arial" w:cs="Arial"/>
                <w:b/>
                <w:lang w:val="en-US"/>
              </w:rPr>
            </w:pPr>
            <w:r>
              <w:rPr>
                <w:rFonts w:ascii="Arial" w:hAnsi="Arial" w:cs="Arial"/>
                <w:b/>
                <w:lang w:val="en-US"/>
              </w:rPr>
              <w:lastRenderedPageBreak/>
              <w:t>Content</w:t>
            </w:r>
          </w:p>
          <w:p w14:paraId="1C44B1E5" w14:textId="77777777" w:rsidR="006873F3" w:rsidRDefault="006873F3">
            <w:pPr>
              <w:rPr>
                <w:rFonts w:ascii="Arial" w:hAnsi="Arial" w:cs="Arial"/>
                <w:b/>
                <w:lang w:val="en-US"/>
              </w:rPr>
            </w:pPr>
            <w:r>
              <w:rPr>
                <w:rFonts w:ascii="Arial" w:hAnsi="Arial" w:cs="Arial"/>
                <w:b/>
                <w:lang w:val="en-US"/>
              </w:rPr>
              <w:t xml:space="preserve"> </w:t>
            </w:r>
          </w:p>
          <w:p w14:paraId="1C44B1E6" w14:textId="77777777" w:rsidR="006873F3" w:rsidRDefault="006873F3">
            <w:pPr>
              <w:rPr>
                <w:rFonts w:ascii="Arial" w:hAnsi="Arial" w:cs="Arial"/>
                <w:b/>
                <w:lang w:val="en-US"/>
              </w:rPr>
            </w:pPr>
          </w:p>
        </w:tc>
        <w:tc>
          <w:tcPr>
            <w:tcW w:w="1985" w:type="dxa"/>
            <w:tcMar>
              <w:top w:w="28" w:type="dxa"/>
              <w:bottom w:w="28" w:type="dxa"/>
            </w:tcMar>
          </w:tcPr>
          <w:p w14:paraId="1C44B1E7" w14:textId="77777777" w:rsidR="006873F3" w:rsidRDefault="006873F3">
            <w:pPr>
              <w:rPr>
                <w:rFonts w:ascii="Arial" w:hAnsi="Arial" w:cs="Arial"/>
                <w:b/>
                <w:lang w:val="en-US"/>
              </w:rPr>
            </w:pPr>
            <w:r>
              <w:rPr>
                <w:rFonts w:ascii="Arial" w:hAnsi="Arial" w:cs="Arial"/>
                <w:b/>
                <w:lang w:val="en-US"/>
              </w:rPr>
              <w:t>Topic</w:t>
            </w:r>
          </w:p>
        </w:tc>
        <w:tc>
          <w:tcPr>
            <w:tcW w:w="5528" w:type="dxa"/>
            <w:tcMar>
              <w:top w:w="28" w:type="dxa"/>
              <w:bottom w:w="28" w:type="dxa"/>
            </w:tcMar>
          </w:tcPr>
          <w:p w14:paraId="1C44B1E8" w14:textId="77777777" w:rsidR="006873F3" w:rsidRDefault="006873F3">
            <w:pPr>
              <w:rPr>
                <w:rFonts w:ascii="Arial" w:hAnsi="Arial" w:cs="Arial"/>
                <w:b/>
                <w:lang w:val="en-US"/>
              </w:rPr>
            </w:pPr>
            <w:r>
              <w:rPr>
                <w:rFonts w:ascii="Arial" w:hAnsi="Arial" w:cs="Arial"/>
                <w:b/>
                <w:lang w:val="en-US"/>
              </w:rPr>
              <w:t>Description</w:t>
            </w:r>
          </w:p>
        </w:tc>
      </w:tr>
      <w:tr w:rsidR="006873F3" w14:paraId="73679A0C" w14:textId="77777777" w:rsidTr="000E53AF">
        <w:trPr>
          <w:trHeight w:val="232"/>
        </w:trPr>
        <w:tc>
          <w:tcPr>
            <w:tcW w:w="1843" w:type="dxa"/>
            <w:vMerge/>
            <w:tcMar>
              <w:top w:w="28" w:type="dxa"/>
              <w:bottom w:w="28" w:type="dxa"/>
            </w:tcMar>
          </w:tcPr>
          <w:p w14:paraId="1DD3118A" w14:textId="77777777" w:rsidR="006873F3" w:rsidRDefault="006873F3">
            <w:pPr>
              <w:spacing w:after="0" w:line="240" w:lineRule="auto"/>
              <w:rPr>
                <w:rFonts w:cs="Arial"/>
                <w:b/>
              </w:rPr>
            </w:pPr>
          </w:p>
        </w:tc>
        <w:tc>
          <w:tcPr>
            <w:tcW w:w="1985" w:type="dxa"/>
            <w:tcMar>
              <w:top w:w="28" w:type="dxa"/>
              <w:bottom w:w="28" w:type="dxa"/>
            </w:tcMar>
          </w:tcPr>
          <w:p w14:paraId="45549919" w14:textId="15722690" w:rsidR="006873F3" w:rsidRPr="00AC6AB4" w:rsidRDefault="006873F3">
            <w:pPr>
              <w:rPr>
                <w:rFonts w:cs="Arial"/>
              </w:rPr>
            </w:pPr>
            <w:r w:rsidRPr="00AC6AB4">
              <w:rPr>
                <w:rFonts w:ascii="Arial" w:hAnsi="Arial" w:cs="Arial"/>
                <w:lang w:val="en-US"/>
              </w:rPr>
              <w:t>Compliance Risks</w:t>
            </w:r>
          </w:p>
        </w:tc>
        <w:tc>
          <w:tcPr>
            <w:tcW w:w="5528" w:type="dxa"/>
            <w:tcMar>
              <w:top w:w="28" w:type="dxa"/>
              <w:bottom w:w="28" w:type="dxa"/>
            </w:tcMar>
          </w:tcPr>
          <w:p w14:paraId="581EBC8B" w14:textId="1BD77219" w:rsidR="006873F3" w:rsidRPr="006873F3" w:rsidRDefault="006873F3" w:rsidP="006873F3">
            <w:pPr>
              <w:rPr>
                <w:rFonts w:ascii="Arial" w:hAnsi="Arial" w:cs="Arial"/>
                <w:lang w:val="en-US"/>
              </w:rPr>
            </w:pPr>
            <w:r w:rsidRPr="006873F3">
              <w:rPr>
                <w:rFonts w:ascii="Arial" w:hAnsi="Arial" w:cs="Arial"/>
                <w:lang w:val="en-US"/>
              </w:rPr>
              <w:t xml:space="preserve">Compliance Risks should be </w:t>
            </w:r>
            <w:r w:rsidR="00A10603">
              <w:rPr>
                <w:rFonts w:ascii="Arial" w:hAnsi="Arial" w:cs="Arial"/>
                <w:lang w:val="en-US"/>
              </w:rPr>
              <w:t xml:space="preserve">reported </w:t>
            </w:r>
            <w:r w:rsidRPr="006873F3">
              <w:rPr>
                <w:rFonts w:ascii="Arial" w:hAnsi="Arial" w:cs="Arial"/>
                <w:lang w:val="en-US"/>
              </w:rPr>
              <w:t>on a quarterly basis</w:t>
            </w:r>
            <w:r w:rsidR="00A10603">
              <w:rPr>
                <w:rFonts w:ascii="Arial" w:hAnsi="Arial" w:cs="Arial"/>
                <w:lang w:val="en-US"/>
              </w:rPr>
              <w:t>.</w:t>
            </w:r>
            <w:r w:rsidRPr="006873F3">
              <w:rPr>
                <w:rFonts w:ascii="Arial" w:hAnsi="Arial" w:cs="Arial"/>
                <w:lang w:val="en-US"/>
              </w:rPr>
              <w:t xml:space="preserve"> </w:t>
            </w:r>
          </w:p>
          <w:p w14:paraId="5982363D" w14:textId="278844D3" w:rsidR="006873F3" w:rsidRPr="006873F3" w:rsidRDefault="006873F3" w:rsidP="006873F3">
            <w:pPr>
              <w:rPr>
                <w:rFonts w:cs="Arial"/>
                <w:lang w:val="en-US"/>
              </w:rPr>
            </w:pPr>
            <w:r w:rsidRPr="006873F3">
              <w:rPr>
                <w:rFonts w:ascii="Arial" w:hAnsi="Arial" w:cs="Arial"/>
                <w:lang w:val="en-US"/>
              </w:rPr>
              <w:t>There are generally no restrictions regarding the selection of the risk topic</w:t>
            </w:r>
            <w:r w:rsidR="00A10603">
              <w:rPr>
                <w:rFonts w:ascii="Arial" w:hAnsi="Arial" w:cs="Arial"/>
                <w:lang w:val="en-US"/>
              </w:rPr>
              <w:t>(</w:t>
            </w:r>
            <w:r w:rsidRPr="006873F3">
              <w:rPr>
                <w:rFonts w:ascii="Arial" w:hAnsi="Arial" w:cs="Arial"/>
                <w:lang w:val="en-US"/>
              </w:rPr>
              <w:t>s</w:t>
            </w:r>
            <w:r w:rsidR="00A10603">
              <w:rPr>
                <w:rFonts w:ascii="Arial" w:hAnsi="Arial" w:cs="Arial"/>
                <w:lang w:val="en-US"/>
              </w:rPr>
              <w:t xml:space="preserve">) (overview of all risks or focus on one specific risk). </w:t>
            </w:r>
            <w:r w:rsidR="009E5C72">
              <w:rPr>
                <w:rFonts w:ascii="Arial" w:hAnsi="Arial" w:cs="Arial"/>
                <w:lang w:val="en-US"/>
              </w:rPr>
              <w:t>(Re)emerging Risks</w:t>
            </w:r>
            <w:r w:rsidR="00DE00C5">
              <w:rPr>
                <w:rStyle w:val="Funotenzeichen"/>
                <w:rFonts w:ascii="Arial" w:hAnsi="Arial" w:cs="Arial"/>
                <w:lang w:val="en-US"/>
              </w:rPr>
              <w:footnoteReference w:id="1"/>
            </w:r>
            <w:r w:rsidR="009E5C72">
              <w:rPr>
                <w:rFonts w:ascii="Arial" w:hAnsi="Arial" w:cs="Arial"/>
                <w:lang w:val="en-US"/>
              </w:rPr>
              <w:t xml:space="preserve"> should be considered as well</w:t>
            </w:r>
            <w:r w:rsidR="00650094">
              <w:rPr>
                <w:rFonts w:ascii="Arial" w:hAnsi="Arial" w:cs="Arial"/>
                <w:lang w:val="en-US"/>
              </w:rPr>
              <w:t>.</w:t>
            </w:r>
            <w:r w:rsidR="009E5C72">
              <w:rPr>
                <w:rFonts w:ascii="Arial" w:hAnsi="Arial" w:cs="Arial"/>
                <w:lang w:val="en-US"/>
              </w:rPr>
              <w:t xml:space="preserve"> </w:t>
            </w:r>
          </w:p>
        </w:tc>
      </w:tr>
      <w:tr w:rsidR="00AC6AB4" w14:paraId="28B7843C" w14:textId="77777777" w:rsidTr="00AC6AB4">
        <w:trPr>
          <w:trHeight w:val="237"/>
        </w:trPr>
        <w:tc>
          <w:tcPr>
            <w:tcW w:w="1843" w:type="dxa"/>
            <w:vMerge/>
            <w:tcMar>
              <w:top w:w="28" w:type="dxa"/>
              <w:bottom w:w="28" w:type="dxa"/>
            </w:tcMar>
          </w:tcPr>
          <w:p w14:paraId="78C895D0" w14:textId="77777777" w:rsidR="00AC6AB4" w:rsidRPr="00A10603" w:rsidRDefault="00AC6AB4">
            <w:pPr>
              <w:spacing w:after="0" w:line="240" w:lineRule="auto"/>
              <w:rPr>
                <w:rFonts w:cs="Arial"/>
                <w:b/>
                <w:lang w:val="en-US"/>
              </w:rPr>
            </w:pPr>
          </w:p>
        </w:tc>
        <w:tc>
          <w:tcPr>
            <w:tcW w:w="7513" w:type="dxa"/>
            <w:gridSpan w:val="2"/>
            <w:tcMar>
              <w:top w:w="28" w:type="dxa"/>
              <w:bottom w:w="28" w:type="dxa"/>
            </w:tcMar>
          </w:tcPr>
          <w:p w14:paraId="1CA60917" w14:textId="1A9B454C" w:rsidR="00AC6AB4" w:rsidRPr="00AC6AB4" w:rsidRDefault="00243ECE">
            <w:pPr>
              <w:rPr>
                <w:rFonts w:cs="Arial"/>
                <w:b/>
                <w:bCs/>
                <w:lang w:val="en-US"/>
              </w:rPr>
            </w:pPr>
            <w:r>
              <w:rPr>
                <w:rFonts w:ascii="Arial" w:hAnsi="Arial" w:cs="Arial"/>
                <w:b/>
                <w:bCs/>
                <w:lang w:val="en-US"/>
              </w:rPr>
              <w:t>Apart from reporting specific risks, following topics can be considered:</w:t>
            </w:r>
          </w:p>
        </w:tc>
      </w:tr>
      <w:tr w:rsidR="006873F3" w14:paraId="1C44B1ED" w14:textId="77777777" w:rsidTr="000E53AF">
        <w:trPr>
          <w:trHeight w:val="232"/>
        </w:trPr>
        <w:tc>
          <w:tcPr>
            <w:tcW w:w="1843" w:type="dxa"/>
            <w:vMerge/>
            <w:tcMar>
              <w:top w:w="28" w:type="dxa"/>
              <w:bottom w:w="28" w:type="dxa"/>
            </w:tcMar>
          </w:tcPr>
          <w:p w14:paraId="1C44B1EA" w14:textId="77777777" w:rsidR="006873F3" w:rsidRPr="006873F3" w:rsidRDefault="006873F3">
            <w:pPr>
              <w:spacing w:after="0" w:line="240" w:lineRule="auto"/>
              <w:rPr>
                <w:rFonts w:cs="Arial"/>
                <w:b/>
                <w:lang w:val="en-US"/>
              </w:rPr>
            </w:pPr>
          </w:p>
        </w:tc>
        <w:tc>
          <w:tcPr>
            <w:tcW w:w="1985" w:type="dxa"/>
            <w:tcMar>
              <w:top w:w="28" w:type="dxa"/>
              <w:bottom w:w="28" w:type="dxa"/>
            </w:tcMar>
          </w:tcPr>
          <w:p w14:paraId="1C44B1EB" w14:textId="77777777" w:rsidR="006873F3" w:rsidRDefault="006873F3">
            <w:pPr>
              <w:rPr>
                <w:rFonts w:ascii="Arial" w:hAnsi="Arial" w:cs="Arial"/>
                <w:lang w:val="en-US"/>
              </w:rPr>
            </w:pPr>
            <w:r>
              <w:rPr>
                <w:rFonts w:ascii="Arial" w:hAnsi="Arial" w:cs="Arial"/>
                <w:lang w:val="en-US"/>
              </w:rPr>
              <w:t>Status of risk mitigation (CRA and ERM)</w:t>
            </w:r>
          </w:p>
        </w:tc>
        <w:tc>
          <w:tcPr>
            <w:tcW w:w="5528" w:type="dxa"/>
            <w:tcMar>
              <w:top w:w="28" w:type="dxa"/>
              <w:bottom w:w="28" w:type="dxa"/>
            </w:tcMar>
          </w:tcPr>
          <w:p w14:paraId="1C44B1EC" w14:textId="51BE4621" w:rsidR="006873F3" w:rsidRDefault="006873F3">
            <w:pPr>
              <w:rPr>
                <w:rFonts w:ascii="Arial" w:hAnsi="Arial" w:cs="Arial"/>
                <w:lang w:val="en-US"/>
              </w:rPr>
            </w:pPr>
            <w:r>
              <w:rPr>
                <w:rFonts w:ascii="Arial" w:hAnsi="Arial" w:cs="Arial"/>
                <w:lang w:val="en-US"/>
              </w:rPr>
              <w:t xml:space="preserve">Report on the implementation status of the measures planned to mitigate identified risks </w:t>
            </w:r>
            <w:r w:rsidRPr="006873F3">
              <w:rPr>
                <w:rFonts w:ascii="Arial" w:hAnsi="Arial" w:cs="Arial"/>
                <w:lang w:val="en-US"/>
              </w:rPr>
              <w:t xml:space="preserve">resulting from continuous monitoring, CRA and </w:t>
            </w:r>
            <w:r>
              <w:rPr>
                <w:rFonts w:ascii="Arial" w:hAnsi="Arial" w:cs="Arial"/>
                <w:lang w:val="en-US"/>
              </w:rPr>
              <w:t>ERM</w:t>
            </w:r>
            <w:r w:rsidR="00243ECE">
              <w:rPr>
                <w:rFonts w:ascii="Arial" w:hAnsi="Arial" w:cs="Arial"/>
                <w:lang w:val="en-US"/>
              </w:rPr>
              <w:t>.</w:t>
            </w:r>
          </w:p>
        </w:tc>
      </w:tr>
      <w:tr w:rsidR="006873F3" w14:paraId="1C44B1F1" w14:textId="77777777" w:rsidTr="00EA221B">
        <w:trPr>
          <w:trHeight w:val="390"/>
        </w:trPr>
        <w:tc>
          <w:tcPr>
            <w:tcW w:w="1843" w:type="dxa"/>
            <w:vMerge/>
            <w:tcMar>
              <w:top w:w="28" w:type="dxa"/>
              <w:bottom w:w="28" w:type="dxa"/>
            </w:tcMar>
          </w:tcPr>
          <w:p w14:paraId="1C44B1EE" w14:textId="77777777" w:rsidR="006873F3" w:rsidRDefault="006873F3">
            <w:pPr>
              <w:spacing w:after="0" w:line="240" w:lineRule="auto"/>
              <w:rPr>
                <w:rFonts w:cs="Arial"/>
                <w:lang w:val="en-US"/>
              </w:rPr>
            </w:pPr>
          </w:p>
        </w:tc>
        <w:tc>
          <w:tcPr>
            <w:tcW w:w="1985" w:type="dxa"/>
            <w:tcMar>
              <w:top w:w="28" w:type="dxa"/>
              <w:bottom w:w="28" w:type="dxa"/>
            </w:tcMar>
          </w:tcPr>
          <w:p w14:paraId="1C44B1EF" w14:textId="5A4C2068" w:rsidR="006873F3" w:rsidRDefault="006873F3">
            <w:pPr>
              <w:rPr>
                <w:rFonts w:ascii="Arial" w:hAnsi="Arial" w:cs="Arial"/>
                <w:lang w:val="en-US"/>
              </w:rPr>
            </w:pPr>
            <w:r>
              <w:rPr>
                <w:rFonts w:ascii="Arial" w:hAnsi="Arial" w:cs="Arial"/>
                <w:lang w:val="en-US"/>
              </w:rPr>
              <w:t>Feedback Awareness Topics</w:t>
            </w:r>
          </w:p>
        </w:tc>
        <w:tc>
          <w:tcPr>
            <w:tcW w:w="5528" w:type="dxa"/>
            <w:tcMar>
              <w:top w:w="28" w:type="dxa"/>
              <w:bottom w:w="28" w:type="dxa"/>
            </w:tcMar>
          </w:tcPr>
          <w:p w14:paraId="1C44B1F0" w14:textId="4F22BD17" w:rsidR="006873F3" w:rsidRPr="006873F3" w:rsidRDefault="006873F3">
            <w:pPr>
              <w:rPr>
                <w:rFonts w:ascii="Arial" w:hAnsi="Arial" w:cs="Arial"/>
                <w:lang w:val="en-US"/>
              </w:rPr>
            </w:pPr>
            <w:r w:rsidRPr="006873F3">
              <w:rPr>
                <w:rFonts w:ascii="Arial" w:hAnsi="Arial" w:cs="Arial"/>
                <w:lang w:val="en-US"/>
              </w:rPr>
              <w:t xml:space="preserve">Statement on the applicability of the awareness topics (risk) based on the evaluation </w:t>
            </w:r>
            <w:proofErr w:type="gramStart"/>
            <w:r w:rsidRPr="006873F3">
              <w:rPr>
                <w:rFonts w:ascii="Arial" w:hAnsi="Arial" w:cs="Arial"/>
                <w:lang w:val="en-US"/>
              </w:rPr>
              <w:t>in the area of</w:t>
            </w:r>
            <w:proofErr w:type="gramEnd"/>
            <w:r w:rsidRPr="006873F3">
              <w:rPr>
                <w:rFonts w:ascii="Arial" w:hAnsi="Arial" w:cs="Arial"/>
                <w:lang w:val="en-US"/>
              </w:rPr>
              <w:t xml:space="preserve"> responsibility, including specific identified risks and planned mitigation measures. </w:t>
            </w:r>
            <w:hyperlink r:id="rId15" w:history="1">
              <w:r w:rsidRPr="006873F3">
                <w:rPr>
                  <w:rStyle w:val="Hyperlink"/>
                  <w:rFonts w:ascii="Arial" w:hAnsi="Arial" w:cs="Arial"/>
                  <w:lang w:val="en-US"/>
                </w:rPr>
                <w:t>Find the link here</w:t>
              </w:r>
            </w:hyperlink>
          </w:p>
        </w:tc>
      </w:tr>
      <w:tr w:rsidR="006873F3" w14:paraId="1C44B1F5" w14:textId="77777777" w:rsidTr="000E53AF">
        <w:trPr>
          <w:trHeight w:val="267"/>
        </w:trPr>
        <w:tc>
          <w:tcPr>
            <w:tcW w:w="1843" w:type="dxa"/>
            <w:vMerge/>
            <w:tcMar>
              <w:top w:w="28" w:type="dxa"/>
              <w:bottom w:w="28" w:type="dxa"/>
            </w:tcMar>
          </w:tcPr>
          <w:p w14:paraId="1C44B1F2" w14:textId="77777777" w:rsidR="006873F3" w:rsidRDefault="006873F3">
            <w:pPr>
              <w:spacing w:after="0" w:line="240" w:lineRule="auto"/>
              <w:rPr>
                <w:rFonts w:cs="Arial"/>
                <w:lang w:val="en-US"/>
              </w:rPr>
            </w:pPr>
          </w:p>
        </w:tc>
        <w:tc>
          <w:tcPr>
            <w:tcW w:w="1985" w:type="dxa"/>
            <w:tcMar>
              <w:top w:w="28" w:type="dxa"/>
              <w:bottom w:w="28" w:type="dxa"/>
            </w:tcMar>
          </w:tcPr>
          <w:p w14:paraId="1C44B1F3" w14:textId="1A6EB4C4" w:rsidR="006873F3" w:rsidRDefault="006873F3">
            <w:pPr>
              <w:rPr>
                <w:rFonts w:ascii="Arial" w:hAnsi="Arial" w:cs="Arial"/>
                <w:lang w:val="en-US"/>
              </w:rPr>
            </w:pPr>
            <w:r>
              <w:rPr>
                <w:rFonts w:ascii="Arial" w:hAnsi="Arial" w:cs="Arial"/>
                <w:lang w:val="en-US"/>
              </w:rPr>
              <w:t>CCP</w:t>
            </w:r>
          </w:p>
        </w:tc>
        <w:tc>
          <w:tcPr>
            <w:tcW w:w="5528" w:type="dxa"/>
            <w:tcMar>
              <w:top w:w="28" w:type="dxa"/>
              <w:bottom w:w="28" w:type="dxa"/>
            </w:tcMar>
          </w:tcPr>
          <w:p w14:paraId="1C44B1F4" w14:textId="6E694DDB" w:rsidR="006873F3" w:rsidRDefault="006873F3">
            <w:pPr>
              <w:rPr>
                <w:rFonts w:ascii="Arial" w:hAnsi="Arial" w:cs="Arial"/>
                <w:lang w:val="en-US"/>
              </w:rPr>
            </w:pPr>
            <w:r>
              <w:rPr>
                <w:rFonts w:ascii="Arial" w:hAnsi="Arial" w:cs="Arial"/>
                <w:lang w:val="en-US"/>
              </w:rPr>
              <w:t>Status of remediation of deficiencies</w:t>
            </w:r>
            <w:r w:rsidR="00AC6AB4">
              <w:rPr>
                <w:rFonts w:ascii="Arial" w:hAnsi="Arial" w:cs="Arial"/>
                <w:lang w:val="en-US"/>
              </w:rPr>
              <w:t xml:space="preserve">. </w:t>
            </w:r>
          </w:p>
        </w:tc>
      </w:tr>
    </w:tbl>
    <w:p w14:paraId="1C44B255" w14:textId="77777777" w:rsidR="001B54EB" w:rsidRDefault="001B54EB">
      <w:pPr>
        <w:pStyle w:val="KeinAbsatzformat"/>
        <w:rPr>
          <w:lang w:val="en-US"/>
        </w:rPr>
      </w:pPr>
    </w:p>
    <w:p w14:paraId="1C44B278" w14:textId="34054830" w:rsidR="001B54EB" w:rsidRDefault="002913D4" w:rsidP="003E5F34">
      <w:pPr>
        <w:pStyle w:val="berschrift3"/>
        <w:numPr>
          <w:ilvl w:val="2"/>
          <w:numId w:val="34"/>
        </w:numPr>
        <w:spacing w:after="240"/>
        <w:jc w:val="both"/>
      </w:pPr>
      <w:r>
        <w:lastRenderedPageBreak/>
        <w:t xml:space="preserve">Optional topics </w:t>
      </w:r>
    </w:p>
    <w:p w14:paraId="1C44B279" w14:textId="39B8C31C" w:rsidR="001B54EB" w:rsidRDefault="002913D4">
      <w:r>
        <w:t xml:space="preserve">Optional topics are important topics that can and should be reported in a CRB when applicable and if necessary, at the discretion of the Compliance Officer. The Compliance Officer decides whether to include a topic, taking into consideration his or her own observations or inputs from relevant internal sources – such as the results of a CRA workshop, case-related or audit findings – and external developments. The CEO/Head of the </w:t>
      </w:r>
      <w:r w:rsidR="00C01770">
        <w:t>Company Unit</w:t>
      </w:r>
      <w:r>
        <w:t xml:space="preserve"> may also decide to include further topics. It is recommended that such decisions be documented in writing together with the key considerations.</w:t>
      </w:r>
    </w:p>
    <w:p w14:paraId="1C44B27A" w14:textId="77777777" w:rsidR="001B54EB" w:rsidRDefault="002913D4">
      <w:r>
        <w:t xml:space="preserve"> </w:t>
      </w:r>
    </w:p>
    <w:p w14:paraId="1C44B27B" w14:textId="77777777" w:rsidR="001B54EB" w:rsidRDefault="002913D4">
      <w:r>
        <w:t>The following table contains a non-exhaustive list of optional topics and a proposed frequency for the CRB. The topics can be presented in a qualitative and/or quantitative way, and any reporting style may be chosen.</w:t>
      </w:r>
    </w:p>
    <w:p w14:paraId="1C44B27C" w14:textId="77777777" w:rsidR="001B54EB" w:rsidRDefault="001B54EB">
      <w:pPr>
        <w:pStyle w:val="KeinAbsatzformat"/>
        <w:rPr>
          <w:lang w:val="en-US"/>
        </w:rPr>
      </w:pPr>
    </w:p>
    <w:tbl>
      <w:tblPr>
        <w:tblStyle w:val="Tabellenraster10"/>
        <w:tblW w:w="9321" w:type="dxa"/>
        <w:tblLayout w:type="fixed"/>
        <w:tblCellMar>
          <w:top w:w="57" w:type="dxa"/>
          <w:left w:w="0" w:type="dxa"/>
          <w:bottom w:w="57" w:type="dxa"/>
          <w:right w:w="0" w:type="dxa"/>
        </w:tblCellMar>
        <w:tblLook w:val="04A0" w:firstRow="1" w:lastRow="0" w:firstColumn="1" w:lastColumn="0" w:noHBand="0" w:noVBand="1"/>
      </w:tblPr>
      <w:tblGrid>
        <w:gridCol w:w="5778"/>
        <w:gridCol w:w="885"/>
        <w:gridCol w:w="886"/>
        <w:gridCol w:w="886"/>
        <w:gridCol w:w="886"/>
      </w:tblGrid>
      <w:tr w:rsidR="001B54EB" w14:paraId="1C44B27F" w14:textId="77777777" w:rsidTr="00561D7E">
        <w:trPr>
          <w:trHeight w:val="207"/>
        </w:trPr>
        <w:tc>
          <w:tcPr>
            <w:tcW w:w="5778" w:type="dxa"/>
            <w:tcBorders>
              <w:top w:val="nil"/>
              <w:left w:val="nil"/>
            </w:tcBorders>
            <w:vAlign w:val="center"/>
          </w:tcPr>
          <w:p w14:paraId="1C44B27D" w14:textId="77777777" w:rsidR="001B54EB" w:rsidRDefault="001B54EB">
            <w:pPr>
              <w:spacing w:before="120" w:after="0" w:line="280" w:lineRule="exact"/>
              <w:ind w:right="565"/>
              <w:rPr>
                <w:rFonts w:eastAsia="MS PGothic" w:cs="Arial"/>
                <w:b/>
                <w:bCs/>
                <w:kern w:val="24"/>
                <w:lang w:val="en-US"/>
              </w:rPr>
            </w:pPr>
          </w:p>
        </w:tc>
        <w:tc>
          <w:tcPr>
            <w:tcW w:w="3543" w:type="dxa"/>
            <w:gridSpan w:val="4"/>
            <w:vAlign w:val="center"/>
          </w:tcPr>
          <w:p w14:paraId="1C44B27E" w14:textId="77777777" w:rsidR="001B54EB" w:rsidRDefault="002913D4">
            <w:pPr>
              <w:spacing w:after="0" w:line="240" w:lineRule="auto"/>
              <w:textAlignment w:val="baseline"/>
              <w:rPr>
                <w:rFonts w:ascii="Arial" w:eastAsia="MS PGothic" w:hAnsi="Arial" w:cs="Arial"/>
                <w:b/>
                <w:bCs/>
                <w:kern w:val="24"/>
              </w:rPr>
            </w:pPr>
            <w:proofErr w:type="spellStart"/>
            <w:r>
              <w:rPr>
                <w:rFonts w:ascii="Arial" w:eastAsia="MS PGothic" w:hAnsi="Arial" w:cs="Arial"/>
                <w:b/>
                <w:bCs/>
                <w:kern w:val="24"/>
              </w:rPr>
              <w:t>Proposed</w:t>
            </w:r>
            <w:proofErr w:type="spellEnd"/>
            <w:r>
              <w:rPr>
                <w:rFonts w:ascii="Arial" w:eastAsia="MS PGothic" w:hAnsi="Arial" w:cs="Arial"/>
                <w:b/>
                <w:bCs/>
                <w:kern w:val="24"/>
              </w:rPr>
              <w:t xml:space="preserve"> </w:t>
            </w:r>
            <w:proofErr w:type="spellStart"/>
            <w:r>
              <w:rPr>
                <w:rFonts w:ascii="Arial" w:eastAsia="MS PGothic" w:hAnsi="Arial" w:cs="Arial"/>
                <w:b/>
                <w:bCs/>
                <w:kern w:val="24"/>
              </w:rPr>
              <w:t>frequency</w:t>
            </w:r>
            <w:proofErr w:type="spellEnd"/>
          </w:p>
        </w:tc>
      </w:tr>
      <w:tr w:rsidR="001B54EB" w14:paraId="1C44B285" w14:textId="77777777" w:rsidTr="00561D7E">
        <w:trPr>
          <w:trHeight w:val="207"/>
        </w:trPr>
        <w:tc>
          <w:tcPr>
            <w:tcW w:w="5778" w:type="dxa"/>
            <w:vAlign w:val="center"/>
          </w:tcPr>
          <w:p w14:paraId="1C44B280" w14:textId="77777777" w:rsidR="001B54EB" w:rsidRDefault="002913D4">
            <w:pPr>
              <w:spacing w:after="0" w:line="240" w:lineRule="auto"/>
              <w:ind w:hanging="14"/>
              <w:textAlignment w:val="baseline"/>
              <w:rPr>
                <w:rFonts w:ascii="Arial" w:hAnsi="Arial" w:cs="Arial"/>
              </w:rPr>
            </w:pPr>
            <w:r>
              <w:rPr>
                <w:rFonts w:ascii="Arial" w:eastAsia="MS PGothic" w:hAnsi="Arial" w:cs="Arial"/>
                <w:b/>
                <w:bCs/>
                <w:kern w:val="24"/>
              </w:rPr>
              <w:t xml:space="preserve">  Optional </w:t>
            </w:r>
            <w:proofErr w:type="spellStart"/>
            <w:r>
              <w:rPr>
                <w:rFonts w:ascii="Arial" w:eastAsia="MS PGothic" w:hAnsi="Arial" w:cs="Arial"/>
                <w:b/>
                <w:bCs/>
                <w:kern w:val="24"/>
              </w:rPr>
              <w:t>topics</w:t>
            </w:r>
            <w:proofErr w:type="spellEnd"/>
          </w:p>
        </w:tc>
        <w:tc>
          <w:tcPr>
            <w:tcW w:w="885" w:type="dxa"/>
            <w:vAlign w:val="center"/>
          </w:tcPr>
          <w:p w14:paraId="1C44B281" w14:textId="77777777" w:rsidR="001B54EB" w:rsidRDefault="002913D4">
            <w:pPr>
              <w:spacing w:after="0" w:line="240" w:lineRule="auto"/>
              <w:textAlignment w:val="baseline"/>
              <w:rPr>
                <w:rFonts w:ascii="Arial" w:hAnsi="Arial" w:cs="Arial"/>
              </w:rPr>
            </w:pPr>
            <w:r>
              <w:rPr>
                <w:rFonts w:ascii="Arial" w:eastAsia="MS PGothic" w:hAnsi="Arial" w:cs="Arial"/>
                <w:b/>
                <w:bCs/>
                <w:kern w:val="24"/>
              </w:rPr>
              <w:t>Q1</w:t>
            </w:r>
          </w:p>
        </w:tc>
        <w:tc>
          <w:tcPr>
            <w:tcW w:w="886" w:type="dxa"/>
            <w:vAlign w:val="center"/>
          </w:tcPr>
          <w:p w14:paraId="1C44B282" w14:textId="77777777" w:rsidR="001B54EB" w:rsidRDefault="002913D4">
            <w:pPr>
              <w:spacing w:after="0" w:line="240" w:lineRule="auto"/>
              <w:ind w:left="1"/>
              <w:textAlignment w:val="baseline"/>
              <w:rPr>
                <w:rFonts w:ascii="Arial" w:hAnsi="Arial" w:cs="Arial"/>
              </w:rPr>
            </w:pPr>
            <w:r>
              <w:rPr>
                <w:rFonts w:ascii="Arial" w:eastAsia="MS PGothic" w:hAnsi="Arial" w:cs="Arial"/>
                <w:b/>
                <w:bCs/>
                <w:kern w:val="24"/>
              </w:rPr>
              <w:t>Q2</w:t>
            </w:r>
          </w:p>
        </w:tc>
        <w:tc>
          <w:tcPr>
            <w:tcW w:w="886" w:type="dxa"/>
            <w:vAlign w:val="center"/>
          </w:tcPr>
          <w:p w14:paraId="1C44B283" w14:textId="77777777" w:rsidR="001B54EB" w:rsidRDefault="002913D4">
            <w:pPr>
              <w:tabs>
                <w:tab w:val="left" w:pos="280"/>
              </w:tabs>
              <w:spacing w:after="0" w:line="240" w:lineRule="auto"/>
              <w:textAlignment w:val="baseline"/>
              <w:rPr>
                <w:rFonts w:ascii="Arial" w:hAnsi="Arial" w:cs="Arial"/>
              </w:rPr>
            </w:pPr>
            <w:r>
              <w:rPr>
                <w:rFonts w:ascii="Arial" w:eastAsia="MS PGothic" w:hAnsi="Arial" w:cs="Arial"/>
                <w:b/>
                <w:bCs/>
                <w:kern w:val="24"/>
              </w:rPr>
              <w:t>Q3</w:t>
            </w:r>
          </w:p>
        </w:tc>
        <w:tc>
          <w:tcPr>
            <w:tcW w:w="886" w:type="dxa"/>
            <w:vAlign w:val="center"/>
          </w:tcPr>
          <w:p w14:paraId="1C44B284" w14:textId="77777777" w:rsidR="001B54EB" w:rsidRDefault="002913D4">
            <w:pPr>
              <w:spacing w:after="0" w:line="240" w:lineRule="auto"/>
              <w:textAlignment w:val="baseline"/>
              <w:rPr>
                <w:rFonts w:ascii="Arial" w:hAnsi="Arial" w:cs="Arial"/>
              </w:rPr>
            </w:pPr>
            <w:r>
              <w:rPr>
                <w:rFonts w:ascii="Arial" w:eastAsia="MS PGothic" w:hAnsi="Arial" w:cs="Arial"/>
                <w:b/>
                <w:bCs/>
                <w:kern w:val="24"/>
              </w:rPr>
              <w:t>Q4</w:t>
            </w:r>
          </w:p>
        </w:tc>
      </w:tr>
      <w:tr w:rsidR="001B54EB" w14:paraId="1C44B28B" w14:textId="77777777" w:rsidTr="00561D7E">
        <w:trPr>
          <w:trHeight w:val="253"/>
        </w:trPr>
        <w:tc>
          <w:tcPr>
            <w:tcW w:w="5778" w:type="dxa"/>
            <w:vAlign w:val="center"/>
          </w:tcPr>
          <w:p w14:paraId="1C44B286" w14:textId="77777777" w:rsidR="001B54EB" w:rsidRDefault="002913D4">
            <w:pPr>
              <w:spacing w:after="0" w:line="240" w:lineRule="auto"/>
              <w:ind w:left="144" w:hanging="14"/>
              <w:textAlignment w:val="baseline"/>
              <w:rPr>
                <w:rFonts w:ascii="Arial" w:hAnsi="Arial" w:cs="Arial"/>
              </w:rPr>
            </w:pPr>
            <w:r>
              <w:rPr>
                <w:rFonts w:ascii="Arial" w:eastAsia="MS PGothic" w:hAnsi="Arial" w:cs="Arial"/>
                <w:iCs/>
                <w:kern w:val="24"/>
              </w:rPr>
              <w:t xml:space="preserve">Anti-money </w:t>
            </w:r>
            <w:proofErr w:type="spellStart"/>
            <w:r>
              <w:rPr>
                <w:rFonts w:ascii="Arial" w:eastAsia="MS PGothic" w:hAnsi="Arial" w:cs="Arial"/>
                <w:iCs/>
                <w:kern w:val="24"/>
              </w:rPr>
              <w:t>laundering</w:t>
            </w:r>
            <w:proofErr w:type="spellEnd"/>
          </w:p>
        </w:tc>
        <w:tc>
          <w:tcPr>
            <w:tcW w:w="885" w:type="dxa"/>
            <w:vAlign w:val="center"/>
          </w:tcPr>
          <w:p w14:paraId="1C44B287" w14:textId="77777777" w:rsidR="001B54EB" w:rsidRDefault="002913D4">
            <w:pPr>
              <w:spacing w:after="0" w:line="240" w:lineRule="auto"/>
              <w:textAlignment w:val="baseline"/>
              <w:rPr>
                <w:rFonts w:ascii="Arial" w:hAnsi="Arial" w:cs="Arial"/>
              </w:rPr>
            </w:pPr>
            <w:r>
              <w:rPr>
                <w:rFonts w:ascii="Arial" w:eastAsia="MS PGothic" w:hAnsi="Arial" w:cs="Arial"/>
                <w:kern w:val="24"/>
              </w:rPr>
              <w:t>o</w:t>
            </w:r>
          </w:p>
        </w:tc>
        <w:tc>
          <w:tcPr>
            <w:tcW w:w="886" w:type="dxa"/>
            <w:vAlign w:val="center"/>
          </w:tcPr>
          <w:p w14:paraId="1C44B288" w14:textId="77777777" w:rsidR="001B54EB" w:rsidRDefault="002913D4">
            <w:pPr>
              <w:spacing w:after="0" w:line="240" w:lineRule="auto"/>
              <w:ind w:left="1"/>
              <w:textAlignment w:val="baseline"/>
              <w:rPr>
                <w:rFonts w:ascii="Arial" w:hAnsi="Arial" w:cs="Arial"/>
              </w:rPr>
            </w:pPr>
            <w:r>
              <w:rPr>
                <w:rFonts w:ascii="Arial" w:eastAsia="MS PGothic" w:hAnsi="Arial" w:cs="Arial"/>
                <w:kern w:val="24"/>
              </w:rPr>
              <w:t>o</w:t>
            </w:r>
          </w:p>
        </w:tc>
        <w:tc>
          <w:tcPr>
            <w:tcW w:w="886" w:type="dxa"/>
            <w:vAlign w:val="center"/>
          </w:tcPr>
          <w:p w14:paraId="1C44B289" w14:textId="77777777" w:rsidR="001B54EB" w:rsidRDefault="002913D4">
            <w:pPr>
              <w:tabs>
                <w:tab w:val="left" w:pos="280"/>
              </w:tabs>
              <w:spacing w:after="0" w:line="240" w:lineRule="auto"/>
              <w:textAlignment w:val="baseline"/>
              <w:rPr>
                <w:rFonts w:ascii="Arial" w:hAnsi="Arial" w:cs="Arial"/>
              </w:rPr>
            </w:pPr>
            <w:r>
              <w:rPr>
                <w:rFonts w:ascii="Arial" w:eastAsia="MS PGothic" w:hAnsi="Arial" w:cs="Arial"/>
                <w:kern w:val="24"/>
              </w:rPr>
              <w:t>o</w:t>
            </w:r>
          </w:p>
        </w:tc>
        <w:tc>
          <w:tcPr>
            <w:tcW w:w="886" w:type="dxa"/>
            <w:vAlign w:val="center"/>
          </w:tcPr>
          <w:p w14:paraId="1C44B28A" w14:textId="77777777" w:rsidR="001B54EB" w:rsidRDefault="002913D4">
            <w:pPr>
              <w:spacing w:after="0" w:line="240" w:lineRule="auto"/>
              <w:textAlignment w:val="baseline"/>
              <w:rPr>
                <w:rFonts w:ascii="Arial" w:hAnsi="Arial" w:cs="Arial"/>
              </w:rPr>
            </w:pPr>
            <w:r>
              <w:rPr>
                <w:rFonts w:ascii="Arial" w:eastAsia="MS PGothic" w:hAnsi="Arial" w:cs="Arial"/>
                <w:kern w:val="24"/>
              </w:rPr>
              <w:t>o</w:t>
            </w:r>
          </w:p>
        </w:tc>
      </w:tr>
      <w:tr w:rsidR="001B54EB" w14:paraId="1C44B291" w14:textId="77777777" w:rsidTr="00561D7E">
        <w:trPr>
          <w:trHeight w:val="150"/>
        </w:trPr>
        <w:tc>
          <w:tcPr>
            <w:tcW w:w="5778" w:type="dxa"/>
            <w:vAlign w:val="center"/>
          </w:tcPr>
          <w:p w14:paraId="1C44B28C" w14:textId="77777777" w:rsidR="001B54EB" w:rsidRDefault="002913D4">
            <w:pPr>
              <w:spacing w:after="0" w:line="240" w:lineRule="auto"/>
              <w:ind w:left="144" w:hanging="14"/>
              <w:textAlignment w:val="baseline"/>
              <w:rPr>
                <w:rFonts w:ascii="Arial" w:hAnsi="Arial" w:cs="Arial"/>
              </w:rPr>
            </w:pPr>
            <w:r>
              <w:rPr>
                <w:rFonts w:ascii="Arial" w:eastAsia="MS PGothic" w:hAnsi="Arial" w:cs="Arial"/>
                <w:iCs/>
                <w:kern w:val="24"/>
              </w:rPr>
              <w:t>Collective Action</w:t>
            </w:r>
          </w:p>
        </w:tc>
        <w:tc>
          <w:tcPr>
            <w:tcW w:w="885" w:type="dxa"/>
            <w:vAlign w:val="center"/>
          </w:tcPr>
          <w:p w14:paraId="1C44B28D" w14:textId="77777777" w:rsidR="001B54EB" w:rsidRDefault="002913D4">
            <w:pPr>
              <w:spacing w:after="0" w:line="240" w:lineRule="auto"/>
              <w:textAlignment w:val="baseline"/>
              <w:rPr>
                <w:rFonts w:ascii="Arial" w:hAnsi="Arial" w:cs="Arial"/>
              </w:rPr>
            </w:pPr>
            <w:r>
              <w:rPr>
                <w:rFonts w:ascii="Arial" w:eastAsia="MS PGothic" w:hAnsi="Arial" w:cs="Arial"/>
                <w:kern w:val="24"/>
              </w:rPr>
              <w:t>o</w:t>
            </w:r>
          </w:p>
        </w:tc>
        <w:tc>
          <w:tcPr>
            <w:tcW w:w="886" w:type="dxa"/>
            <w:vAlign w:val="center"/>
          </w:tcPr>
          <w:p w14:paraId="1C44B28E" w14:textId="77777777" w:rsidR="001B54EB" w:rsidRDefault="001B54EB">
            <w:pPr>
              <w:spacing w:after="0" w:line="240" w:lineRule="auto"/>
              <w:ind w:left="1"/>
              <w:rPr>
                <w:rFonts w:ascii="Arial" w:hAnsi="Arial" w:cs="Arial"/>
              </w:rPr>
            </w:pPr>
          </w:p>
        </w:tc>
        <w:tc>
          <w:tcPr>
            <w:tcW w:w="886" w:type="dxa"/>
            <w:vAlign w:val="center"/>
          </w:tcPr>
          <w:p w14:paraId="1C44B28F" w14:textId="77777777" w:rsidR="001B54EB" w:rsidRDefault="002913D4">
            <w:pPr>
              <w:tabs>
                <w:tab w:val="left" w:pos="280"/>
              </w:tabs>
              <w:spacing w:after="0" w:line="240" w:lineRule="auto"/>
              <w:textAlignment w:val="baseline"/>
              <w:rPr>
                <w:rFonts w:ascii="Arial" w:hAnsi="Arial" w:cs="Arial"/>
              </w:rPr>
            </w:pPr>
            <w:r>
              <w:rPr>
                <w:rFonts w:ascii="Arial" w:eastAsia="MS PGothic" w:hAnsi="Arial" w:cs="Arial"/>
                <w:kern w:val="24"/>
              </w:rPr>
              <w:t>o</w:t>
            </w:r>
          </w:p>
        </w:tc>
        <w:tc>
          <w:tcPr>
            <w:tcW w:w="886" w:type="dxa"/>
            <w:vAlign w:val="center"/>
          </w:tcPr>
          <w:p w14:paraId="1C44B290" w14:textId="77777777" w:rsidR="001B54EB" w:rsidRDefault="001B54EB">
            <w:pPr>
              <w:spacing w:after="0" w:line="240" w:lineRule="auto"/>
              <w:rPr>
                <w:rFonts w:ascii="Arial" w:hAnsi="Arial" w:cs="Arial"/>
              </w:rPr>
            </w:pPr>
          </w:p>
        </w:tc>
      </w:tr>
      <w:tr w:rsidR="001B54EB" w14:paraId="1C44B297" w14:textId="77777777" w:rsidTr="00561D7E">
        <w:trPr>
          <w:trHeight w:val="223"/>
        </w:trPr>
        <w:tc>
          <w:tcPr>
            <w:tcW w:w="5778" w:type="dxa"/>
            <w:vAlign w:val="center"/>
          </w:tcPr>
          <w:p w14:paraId="1C44B292" w14:textId="77777777" w:rsidR="001B54EB" w:rsidRDefault="002913D4">
            <w:pPr>
              <w:spacing w:after="0" w:line="240" w:lineRule="auto"/>
              <w:ind w:left="144" w:hanging="14"/>
              <w:textAlignment w:val="baseline"/>
              <w:rPr>
                <w:rFonts w:ascii="Arial" w:hAnsi="Arial" w:cs="Arial"/>
              </w:rPr>
            </w:pPr>
            <w:r>
              <w:rPr>
                <w:rFonts w:ascii="Arial" w:eastAsia="MS PGothic" w:hAnsi="Arial" w:cs="Arial"/>
                <w:iCs/>
                <w:kern w:val="24"/>
              </w:rPr>
              <w:t xml:space="preserve">Competition and </w:t>
            </w:r>
            <w:proofErr w:type="spellStart"/>
            <w:r>
              <w:rPr>
                <w:rFonts w:ascii="Arial" w:eastAsia="MS PGothic" w:hAnsi="Arial" w:cs="Arial"/>
                <w:iCs/>
                <w:kern w:val="24"/>
              </w:rPr>
              <w:t>compliance</w:t>
            </w:r>
            <w:proofErr w:type="spellEnd"/>
            <w:r>
              <w:rPr>
                <w:rFonts w:ascii="Arial" w:eastAsia="MS PGothic" w:hAnsi="Arial" w:cs="Arial"/>
                <w:iCs/>
                <w:kern w:val="24"/>
              </w:rPr>
              <w:t xml:space="preserve"> (Antitrust)</w:t>
            </w:r>
          </w:p>
        </w:tc>
        <w:tc>
          <w:tcPr>
            <w:tcW w:w="885" w:type="dxa"/>
            <w:vAlign w:val="center"/>
          </w:tcPr>
          <w:p w14:paraId="1C44B293" w14:textId="77777777" w:rsidR="001B54EB" w:rsidRDefault="002913D4">
            <w:pPr>
              <w:spacing w:after="0" w:line="240" w:lineRule="auto"/>
              <w:textAlignment w:val="baseline"/>
              <w:rPr>
                <w:rFonts w:ascii="Arial" w:hAnsi="Arial" w:cs="Arial"/>
              </w:rPr>
            </w:pPr>
            <w:r>
              <w:rPr>
                <w:rFonts w:ascii="Arial" w:eastAsia="MS PGothic" w:hAnsi="Arial" w:cs="Arial"/>
                <w:kern w:val="24"/>
              </w:rPr>
              <w:t>o</w:t>
            </w:r>
          </w:p>
        </w:tc>
        <w:tc>
          <w:tcPr>
            <w:tcW w:w="886" w:type="dxa"/>
            <w:vAlign w:val="center"/>
          </w:tcPr>
          <w:p w14:paraId="1C44B294" w14:textId="77777777" w:rsidR="001B54EB" w:rsidRDefault="002913D4">
            <w:pPr>
              <w:spacing w:after="0" w:line="240" w:lineRule="auto"/>
              <w:ind w:left="1"/>
              <w:textAlignment w:val="baseline"/>
              <w:rPr>
                <w:rFonts w:ascii="Arial" w:hAnsi="Arial" w:cs="Arial"/>
              </w:rPr>
            </w:pPr>
            <w:r>
              <w:rPr>
                <w:rFonts w:ascii="Arial" w:eastAsia="MS PGothic" w:hAnsi="Arial" w:cs="Arial"/>
                <w:kern w:val="24"/>
              </w:rPr>
              <w:t>o</w:t>
            </w:r>
          </w:p>
        </w:tc>
        <w:tc>
          <w:tcPr>
            <w:tcW w:w="886" w:type="dxa"/>
            <w:vAlign w:val="center"/>
          </w:tcPr>
          <w:p w14:paraId="1C44B295" w14:textId="77777777" w:rsidR="001B54EB" w:rsidRDefault="002913D4">
            <w:pPr>
              <w:tabs>
                <w:tab w:val="left" w:pos="280"/>
              </w:tabs>
              <w:spacing w:after="0" w:line="240" w:lineRule="auto"/>
              <w:textAlignment w:val="baseline"/>
              <w:rPr>
                <w:rFonts w:ascii="Arial" w:hAnsi="Arial" w:cs="Arial"/>
              </w:rPr>
            </w:pPr>
            <w:r>
              <w:rPr>
                <w:rFonts w:ascii="Arial" w:eastAsia="MS PGothic" w:hAnsi="Arial" w:cs="Arial"/>
                <w:kern w:val="24"/>
              </w:rPr>
              <w:t>o</w:t>
            </w:r>
          </w:p>
        </w:tc>
        <w:tc>
          <w:tcPr>
            <w:tcW w:w="886" w:type="dxa"/>
            <w:vAlign w:val="center"/>
          </w:tcPr>
          <w:p w14:paraId="1C44B296" w14:textId="77777777" w:rsidR="001B54EB" w:rsidRDefault="002913D4">
            <w:pPr>
              <w:spacing w:after="0" w:line="240" w:lineRule="auto"/>
              <w:textAlignment w:val="baseline"/>
              <w:rPr>
                <w:rFonts w:ascii="Arial" w:hAnsi="Arial" w:cs="Arial"/>
              </w:rPr>
            </w:pPr>
            <w:r>
              <w:rPr>
                <w:rFonts w:ascii="Arial" w:eastAsia="MS PGothic" w:hAnsi="Arial" w:cs="Arial"/>
                <w:kern w:val="24"/>
              </w:rPr>
              <w:t>o</w:t>
            </w:r>
          </w:p>
        </w:tc>
      </w:tr>
      <w:tr w:rsidR="001B54EB" w14:paraId="1C44B29D" w14:textId="77777777" w:rsidTr="00561D7E">
        <w:trPr>
          <w:trHeight w:val="155"/>
        </w:trPr>
        <w:tc>
          <w:tcPr>
            <w:tcW w:w="5778" w:type="dxa"/>
            <w:vAlign w:val="center"/>
          </w:tcPr>
          <w:p w14:paraId="1C44B298" w14:textId="77777777" w:rsidR="001B54EB" w:rsidRDefault="002913D4">
            <w:pPr>
              <w:spacing w:after="0" w:line="240" w:lineRule="auto"/>
              <w:ind w:left="144" w:hanging="14"/>
              <w:textAlignment w:val="baseline"/>
              <w:rPr>
                <w:rFonts w:ascii="Arial" w:hAnsi="Arial" w:cs="Arial"/>
              </w:rPr>
            </w:pPr>
            <w:r>
              <w:rPr>
                <w:rFonts w:ascii="Arial" w:eastAsia="MS PGothic" w:hAnsi="Arial" w:cs="Arial"/>
                <w:iCs/>
                <w:kern w:val="24"/>
              </w:rPr>
              <w:t xml:space="preserve">Compliance </w:t>
            </w:r>
            <w:proofErr w:type="spellStart"/>
            <w:r>
              <w:rPr>
                <w:rFonts w:ascii="Arial" w:eastAsia="MS PGothic" w:hAnsi="Arial" w:cs="Arial"/>
                <w:iCs/>
                <w:kern w:val="24"/>
              </w:rPr>
              <w:t>communications</w:t>
            </w:r>
            <w:proofErr w:type="spellEnd"/>
          </w:p>
        </w:tc>
        <w:tc>
          <w:tcPr>
            <w:tcW w:w="885" w:type="dxa"/>
            <w:vAlign w:val="center"/>
          </w:tcPr>
          <w:p w14:paraId="1C44B299" w14:textId="77777777" w:rsidR="001B54EB" w:rsidRDefault="001B54EB">
            <w:pPr>
              <w:spacing w:after="0" w:line="240" w:lineRule="auto"/>
              <w:rPr>
                <w:rFonts w:ascii="Arial" w:hAnsi="Arial" w:cs="Arial"/>
              </w:rPr>
            </w:pPr>
          </w:p>
        </w:tc>
        <w:tc>
          <w:tcPr>
            <w:tcW w:w="886" w:type="dxa"/>
            <w:vAlign w:val="center"/>
          </w:tcPr>
          <w:p w14:paraId="1C44B29A" w14:textId="77777777" w:rsidR="001B54EB" w:rsidRDefault="002913D4">
            <w:pPr>
              <w:spacing w:after="0" w:line="240" w:lineRule="auto"/>
              <w:ind w:left="1"/>
              <w:textAlignment w:val="baseline"/>
              <w:rPr>
                <w:rFonts w:ascii="Arial" w:hAnsi="Arial" w:cs="Arial"/>
              </w:rPr>
            </w:pPr>
            <w:r>
              <w:rPr>
                <w:rFonts w:ascii="Arial" w:eastAsia="MS PGothic" w:hAnsi="Arial" w:cs="Arial"/>
                <w:kern w:val="24"/>
              </w:rPr>
              <w:t>o</w:t>
            </w:r>
          </w:p>
        </w:tc>
        <w:tc>
          <w:tcPr>
            <w:tcW w:w="886" w:type="dxa"/>
            <w:vAlign w:val="center"/>
          </w:tcPr>
          <w:p w14:paraId="1C44B29B" w14:textId="77777777" w:rsidR="001B54EB" w:rsidRDefault="001B54EB">
            <w:pPr>
              <w:spacing w:after="0" w:line="240" w:lineRule="auto"/>
              <w:rPr>
                <w:rFonts w:ascii="Arial" w:hAnsi="Arial" w:cs="Arial"/>
              </w:rPr>
            </w:pPr>
          </w:p>
        </w:tc>
        <w:tc>
          <w:tcPr>
            <w:tcW w:w="886" w:type="dxa"/>
            <w:vAlign w:val="center"/>
          </w:tcPr>
          <w:p w14:paraId="1C44B29C" w14:textId="77777777" w:rsidR="001B54EB" w:rsidRDefault="002913D4">
            <w:pPr>
              <w:spacing w:after="0" w:line="240" w:lineRule="auto"/>
              <w:textAlignment w:val="baseline"/>
              <w:rPr>
                <w:rFonts w:ascii="Arial" w:hAnsi="Arial" w:cs="Arial"/>
              </w:rPr>
            </w:pPr>
            <w:r>
              <w:rPr>
                <w:rFonts w:ascii="Arial" w:eastAsia="MS PGothic" w:hAnsi="Arial" w:cs="Arial"/>
                <w:kern w:val="24"/>
              </w:rPr>
              <w:t>o</w:t>
            </w:r>
          </w:p>
        </w:tc>
      </w:tr>
      <w:tr w:rsidR="001B54EB" w14:paraId="1C44B2A3" w14:textId="77777777" w:rsidTr="00561D7E">
        <w:trPr>
          <w:trHeight w:val="155"/>
        </w:trPr>
        <w:tc>
          <w:tcPr>
            <w:tcW w:w="5778" w:type="dxa"/>
            <w:vAlign w:val="center"/>
          </w:tcPr>
          <w:p w14:paraId="1C44B29E" w14:textId="7CC9423B" w:rsidR="001B54EB" w:rsidRDefault="002913D4">
            <w:pPr>
              <w:spacing w:after="0" w:line="240" w:lineRule="auto"/>
              <w:ind w:left="144" w:hanging="14"/>
              <w:textAlignment w:val="baseline"/>
              <w:rPr>
                <w:rFonts w:ascii="Arial" w:hAnsi="Arial" w:cs="Arial"/>
              </w:rPr>
            </w:pPr>
            <w:r>
              <w:rPr>
                <w:rFonts w:ascii="Arial" w:eastAsia="MS PGothic" w:hAnsi="Arial" w:cs="Arial"/>
                <w:iCs/>
                <w:kern w:val="24"/>
              </w:rPr>
              <w:t xml:space="preserve">Compliance Control </w:t>
            </w:r>
            <w:proofErr w:type="spellStart"/>
            <w:r w:rsidR="00C61945">
              <w:rPr>
                <w:rFonts w:ascii="Arial" w:eastAsia="MS PGothic" w:hAnsi="Arial" w:cs="Arial"/>
                <w:iCs/>
                <w:kern w:val="24"/>
              </w:rPr>
              <w:t>P</w:t>
            </w:r>
            <w:r>
              <w:rPr>
                <w:rFonts w:ascii="Arial" w:eastAsia="MS PGothic" w:hAnsi="Arial" w:cs="Arial"/>
                <w:iCs/>
                <w:kern w:val="24"/>
              </w:rPr>
              <w:t>r</w:t>
            </w:r>
            <w:r w:rsidR="00C61945">
              <w:rPr>
                <w:rFonts w:ascii="Arial" w:eastAsia="MS PGothic" w:hAnsi="Arial" w:cs="Arial"/>
                <w:iCs/>
                <w:kern w:val="24"/>
              </w:rPr>
              <w:t>ogram</w:t>
            </w:r>
            <w:proofErr w:type="spellEnd"/>
          </w:p>
        </w:tc>
        <w:tc>
          <w:tcPr>
            <w:tcW w:w="885" w:type="dxa"/>
            <w:vAlign w:val="center"/>
          </w:tcPr>
          <w:p w14:paraId="1C44B29F" w14:textId="77777777" w:rsidR="001B54EB" w:rsidRDefault="001B54EB">
            <w:pPr>
              <w:spacing w:after="0" w:line="240" w:lineRule="auto"/>
              <w:rPr>
                <w:rFonts w:ascii="Arial" w:hAnsi="Arial" w:cs="Arial"/>
              </w:rPr>
            </w:pPr>
          </w:p>
        </w:tc>
        <w:tc>
          <w:tcPr>
            <w:tcW w:w="886" w:type="dxa"/>
            <w:vAlign w:val="center"/>
          </w:tcPr>
          <w:p w14:paraId="1C44B2A0" w14:textId="77777777" w:rsidR="001B54EB" w:rsidRDefault="001B54EB">
            <w:pPr>
              <w:spacing w:after="0" w:line="240" w:lineRule="auto"/>
              <w:ind w:left="1"/>
              <w:rPr>
                <w:rFonts w:ascii="Arial" w:hAnsi="Arial" w:cs="Arial"/>
              </w:rPr>
            </w:pPr>
          </w:p>
        </w:tc>
        <w:tc>
          <w:tcPr>
            <w:tcW w:w="886" w:type="dxa"/>
            <w:vAlign w:val="center"/>
          </w:tcPr>
          <w:p w14:paraId="1C44B2A1" w14:textId="77777777" w:rsidR="001B54EB" w:rsidRDefault="002913D4">
            <w:pPr>
              <w:tabs>
                <w:tab w:val="left" w:pos="280"/>
              </w:tabs>
              <w:spacing w:after="0" w:line="240" w:lineRule="auto"/>
              <w:textAlignment w:val="baseline"/>
              <w:rPr>
                <w:rFonts w:ascii="Arial" w:hAnsi="Arial" w:cs="Arial"/>
              </w:rPr>
            </w:pPr>
            <w:r>
              <w:rPr>
                <w:rFonts w:ascii="Arial" w:eastAsia="MS PGothic" w:hAnsi="Arial" w:cs="Arial"/>
                <w:kern w:val="24"/>
              </w:rPr>
              <w:t>o</w:t>
            </w:r>
          </w:p>
        </w:tc>
        <w:tc>
          <w:tcPr>
            <w:tcW w:w="886" w:type="dxa"/>
            <w:vAlign w:val="center"/>
          </w:tcPr>
          <w:p w14:paraId="1C44B2A2" w14:textId="77777777" w:rsidR="001B54EB" w:rsidRDefault="001B54EB">
            <w:pPr>
              <w:spacing w:after="0" w:line="240" w:lineRule="auto"/>
              <w:textAlignment w:val="baseline"/>
              <w:rPr>
                <w:rFonts w:ascii="Arial" w:hAnsi="Arial" w:cs="Arial"/>
              </w:rPr>
            </w:pPr>
          </w:p>
        </w:tc>
      </w:tr>
      <w:tr w:rsidR="001B54EB" w14:paraId="1C44B2A9" w14:textId="77777777" w:rsidTr="00561D7E">
        <w:trPr>
          <w:trHeight w:val="191"/>
        </w:trPr>
        <w:tc>
          <w:tcPr>
            <w:tcW w:w="5778" w:type="dxa"/>
            <w:vAlign w:val="center"/>
          </w:tcPr>
          <w:p w14:paraId="1C44B2A4" w14:textId="77777777" w:rsidR="001B54EB" w:rsidRDefault="002913D4">
            <w:pPr>
              <w:spacing w:after="0" w:line="240" w:lineRule="auto"/>
              <w:ind w:left="144" w:hanging="14"/>
              <w:textAlignment w:val="baseline"/>
              <w:rPr>
                <w:rFonts w:ascii="Arial" w:hAnsi="Arial" w:cs="Arial"/>
              </w:rPr>
            </w:pPr>
            <w:r>
              <w:rPr>
                <w:rFonts w:ascii="Arial" w:eastAsia="MS PGothic" w:hAnsi="Arial" w:cs="Arial"/>
                <w:iCs/>
                <w:kern w:val="24"/>
              </w:rPr>
              <w:t xml:space="preserve">Compliance in </w:t>
            </w:r>
            <w:proofErr w:type="spellStart"/>
            <w:r>
              <w:rPr>
                <w:rFonts w:ascii="Arial" w:eastAsia="MS PGothic" w:hAnsi="Arial" w:cs="Arial"/>
                <w:iCs/>
                <w:kern w:val="24"/>
              </w:rPr>
              <w:t>minority</w:t>
            </w:r>
            <w:proofErr w:type="spellEnd"/>
            <w:r>
              <w:rPr>
                <w:rFonts w:ascii="Arial" w:eastAsia="MS PGothic" w:hAnsi="Arial" w:cs="Arial"/>
                <w:iCs/>
                <w:kern w:val="24"/>
              </w:rPr>
              <w:t xml:space="preserve"> </w:t>
            </w:r>
            <w:proofErr w:type="spellStart"/>
            <w:r>
              <w:rPr>
                <w:rFonts w:ascii="Arial" w:eastAsia="MS PGothic" w:hAnsi="Arial" w:cs="Arial"/>
                <w:iCs/>
                <w:kern w:val="24"/>
              </w:rPr>
              <w:t>investments</w:t>
            </w:r>
            <w:proofErr w:type="spellEnd"/>
          </w:p>
        </w:tc>
        <w:tc>
          <w:tcPr>
            <w:tcW w:w="885" w:type="dxa"/>
            <w:vAlign w:val="center"/>
          </w:tcPr>
          <w:p w14:paraId="1C44B2A5" w14:textId="77777777" w:rsidR="001B54EB" w:rsidRDefault="002913D4">
            <w:pPr>
              <w:spacing w:after="0" w:line="240" w:lineRule="auto"/>
              <w:textAlignment w:val="baseline"/>
              <w:rPr>
                <w:rFonts w:ascii="Arial" w:hAnsi="Arial" w:cs="Arial"/>
              </w:rPr>
            </w:pPr>
            <w:r>
              <w:rPr>
                <w:rFonts w:ascii="Arial" w:eastAsia="MS PGothic" w:hAnsi="Arial" w:cs="Arial"/>
                <w:kern w:val="24"/>
              </w:rPr>
              <w:t>o</w:t>
            </w:r>
          </w:p>
        </w:tc>
        <w:tc>
          <w:tcPr>
            <w:tcW w:w="886" w:type="dxa"/>
            <w:vAlign w:val="center"/>
          </w:tcPr>
          <w:p w14:paraId="1C44B2A6" w14:textId="77777777" w:rsidR="001B54EB" w:rsidRDefault="001B54EB">
            <w:pPr>
              <w:spacing w:after="0" w:line="240" w:lineRule="auto"/>
              <w:ind w:left="1"/>
              <w:rPr>
                <w:rFonts w:ascii="Arial" w:hAnsi="Arial" w:cs="Arial"/>
              </w:rPr>
            </w:pPr>
          </w:p>
        </w:tc>
        <w:tc>
          <w:tcPr>
            <w:tcW w:w="886" w:type="dxa"/>
            <w:vAlign w:val="center"/>
          </w:tcPr>
          <w:p w14:paraId="1C44B2A7" w14:textId="77777777" w:rsidR="001B54EB" w:rsidRDefault="002913D4">
            <w:pPr>
              <w:tabs>
                <w:tab w:val="left" w:pos="280"/>
              </w:tabs>
              <w:spacing w:after="0" w:line="240" w:lineRule="auto"/>
              <w:textAlignment w:val="baseline"/>
              <w:rPr>
                <w:rFonts w:ascii="Arial" w:hAnsi="Arial" w:cs="Arial"/>
              </w:rPr>
            </w:pPr>
            <w:r>
              <w:rPr>
                <w:rFonts w:ascii="Arial" w:eastAsia="MS PGothic" w:hAnsi="Arial" w:cs="Arial"/>
                <w:kern w:val="24"/>
              </w:rPr>
              <w:t>o</w:t>
            </w:r>
          </w:p>
        </w:tc>
        <w:tc>
          <w:tcPr>
            <w:tcW w:w="886" w:type="dxa"/>
            <w:vAlign w:val="center"/>
          </w:tcPr>
          <w:p w14:paraId="1C44B2A8" w14:textId="77777777" w:rsidR="001B54EB" w:rsidRDefault="001B54EB">
            <w:pPr>
              <w:spacing w:after="0" w:line="240" w:lineRule="auto"/>
              <w:rPr>
                <w:rFonts w:ascii="Arial" w:hAnsi="Arial" w:cs="Arial"/>
              </w:rPr>
            </w:pPr>
          </w:p>
        </w:tc>
      </w:tr>
      <w:tr w:rsidR="001B54EB" w14:paraId="1C44B2AF" w14:textId="77777777" w:rsidTr="00561D7E">
        <w:trPr>
          <w:trHeight w:val="155"/>
        </w:trPr>
        <w:tc>
          <w:tcPr>
            <w:tcW w:w="5778" w:type="dxa"/>
            <w:vAlign w:val="center"/>
          </w:tcPr>
          <w:p w14:paraId="1C44B2AA" w14:textId="77777777" w:rsidR="001B54EB" w:rsidRDefault="002913D4">
            <w:pPr>
              <w:spacing w:after="0" w:line="240" w:lineRule="auto"/>
              <w:ind w:left="144" w:hanging="14"/>
              <w:textAlignment w:val="baseline"/>
              <w:rPr>
                <w:rFonts w:ascii="Arial" w:hAnsi="Arial" w:cs="Arial"/>
              </w:rPr>
            </w:pPr>
            <w:r>
              <w:rPr>
                <w:rFonts w:ascii="Arial" w:eastAsia="MS PGothic" w:hAnsi="Arial" w:cs="Arial"/>
                <w:iCs/>
                <w:kern w:val="24"/>
              </w:rPr>
              <w:t xml:space="preserve">Gifts and </w:t>
            </w:r>
            <w:proofErr w:type="spellStart"/>
            <w:r>
              <w:rPr>
                <w:rFonts w:ascii="Arial" w:eastAsia="MS PGothic" w:hAnsi="Arial" w:cs="Arial"/>
                <w:iCs/>
                <w:kern w:val="24"/>
              </w:rPr>
              <w:t>hospitality</w:t>
            </w:r>
            <w:proofErr w:type="spellEnd"/>
            <w:r>
              <w:rPr>
                <w:rFonts w:ascii="Arial" w:eastAsia="MS PGothic" w:hAnsi="Arial" w:cs="Arial"/>
                <w:iCs/>
                <w:kern w:val="24"/>
              </w:rPr>
              <w:t xml:space="preserve"> </w:t>
            </w:r>
          </w:p>
        </w:tc>
        <w:tc>
          <w:tcPr>
            <w:tcW w:w="885" w:type="dxa"/>
            <w:vAlign w:val="center"/>
          </w:tcPr>
          <w:p w14:paraId="1C44B2AB" w14:textId="77777777" w:rsidR="001B54EB" w:rsidRDefault="002913D4">
            <w:pPr>
              <w:spacing w:after="0" w:line="240" w:lineRule="auto"/>
              <w:textAlignment w:val="baseline"/>
              <w:rPr>
                <w:rFonts w:ascii="Arial" w:hAnsi="Arial" w:cs="Arial"/>
              </w:rPr>
            </w:pPr>
            <w:r>
              <w:rPr>
                <w:rFonts w:ascii="Arial" w:eastAsia="MS PGothic" w:hAnsi="Arial" w:cs="Arial"/>
                <w:kern w:val="24"/>
              </w:rPr>
              <w:t>o</w:t>
            </w:r>
          </w:p>
        </w:tc>
        <w:tc>
          <w:tcPr>
            <w:tcW w:w="886" w:type="dxa"/>
            <w:vAlign w:val="center"/>
          </w:tcPr>
          <w:p w14:paraId="1C44B2AC" w14:textId="77777777" w:rsidR="001B54EB" w:rsidRDefault="002913D4">
            <w:pPr>
              <w:spacing w:after="0" w:line="240" w:lineRule="auto"/>
              <w:ind w:left="1"/>
              <w:textAlignment w:val="baseline"/>
              <w:rPr>
                <w:rFonts w:ascii="Arial" w:hAnsi="Arial" w:cs="Arial"/>
              </w:rPr>
            </w:pPr>
            <w:r>
              <w:rPr>
                <w:rFonts w:ascii="Arial" w:eastAsia="MS PGothic" w:hAnsi="Arial" w:cs="Arial"/>
                <w:kern w:val="24"/>
              </w:rPr>
              <w:t>o</w:t>
            </w:r>
          </w:p>
        </w:tc>
        <w:tc>
          <w:tcPr>
            <w:tcW w:w="886" w:type="dxa"/>
            <w:vAlign w:val="center"/>
          </w:tcPr>
          <w:p w14:paraId="1C44B2AD" w14:textId="77777777" w:rsidR="001B54EB" w:rsidRDefault="002913D4">
            <w:pPr>
              <w:tabs>
                <w:tab w:val="left" w:pos="280"/>
              </w:tabs>
              <w:spacing w:after="0" w:line="240" w:lineRule="auto"/>
              <w:textAlignment w:val="baseline"/>
              <w:rPr>
                <w:rFonts w:ascii="Arial" w:hAnsi="Arial" w:cs="Arial"/>
              </w:rPr>
            </w:pPr>
            <w:r>
              <w:rPr>
                <w:rFonts w:ascii="Arial" w:eastAsia="MS PGothic" w:hAnsi="Arial" w:cs="Arial"/>
                <w:kern w:val="24"/>
              </w:rPr>
              <w:t>o</w:t>
            </w:r>
          </w:p>
        </w:tc>
        <w:tc>
          <w:tcPr>
            <w:tcW w:w="886" w:type="dxa"/>
            <w:vAlign w:val="center"/>
          </w:tcPr>
          <w:p w14:paraId="1C44B2AE" w14:textId="77777777" w:rsidR="001B54EB" w:rsidRDefault="002913D4">
            <w:pPr>
              <w:spacing w:after="0" w:line="240" w:lineRule="auto"/>
              <w:textAlignment w:val="baseline"/>
              <w:rPr>
                <w:rFonts w:ascii="Arial" w:hAnsi="Arial" w:cs="Arial"/>
              </w:rPr>
            </w:pPr>
            <w:r>
              <w:rPr>
                <w:rFonts w:ascii="Arial" w:eastAsia="MS PGothic" w:hAnsi="Arial" w:cs="Arial"/>
                <w:kern w:val="24"/>
              </w:rPr>
              <w:t>o</w:t>
            </w:r>
          </w:p>
        </w:tc>
      </w:tr>
      <w:tr w:rsidR="001B54EB" w14:paraId="1C44B2B5" w14:textId="77777777" w:rsidTr="00561D7E">
        <w:trPr>
          <w:trHeight w:val="155"/>
        </w:trPr>
        <w:tc>
          <w:tcPr>
            <w:tcW w:w="5778" w:type="dxa"/>
            <w:vAlign w:val="center"/>
          </w:tcPr>
          <w:p w14:paraId="1C44B2B0" w14:textId="77777777" w:rsidR="001B54EB" w:rsidRDefault="002913D4">
            <w:pPr>
              <w:spacing w:after="0" w:line="240" w:lineRule="auto"/>
              <w:ind w:left="144" w:hanging="14"/>
              <w:textAlignment w:val="baseline"/>
              <w:rPr>
                <w:rFonts w:ascii="Arial" w:eastAsia="MS PGothic" w:hAnsi="Arial" w:cs="Arial"/>
                <w:iCs/>
                <w:kern w:val="24"/>
              </w:rPr>
            </w:pPr>
            <w:r>
              <w:rPr>
                <w:rFonts w:ascii="Arial" w:eastAsia="MS PGothic" w:hAnsi="Arial" w:cs="Arial"/>
                <w:iCs/>
                <w:kern w:val="24"/>
              </w:rPr>
              <w:t>Human Rights</w:t>
            </w:r>
          </w:p>
        </w:tc>
        <w:tc>
          <w:tcPr>
            <w:tcW w:w="885" w:type="dxa"/>
            <w:vAlign w:val="center"/>
          </w:tcPr>
          <w:p w14:paraId="1C44B2B1" w14:textId="77777777" w:rsidR="001B54EB" w:rsidRDefault="002913D4">
            <w:pPr>
              <w:spacing w:after="0" w:line="240" w:lineRule="auto"/>
              <w:textAlignment w:val="baseline"/>
              <w:rPr>
                <w:rFonts w:ascii="Arial" w:eastAsia="MS PGothic" w:hAnsi="Arial" w:cs="Arial"/>
                <w:kern w:val="24"/>
              </w:rPr>
            </w:pPr>
            <w:r>
              <w:rPr>
                <w:rFonts w:ascii="Arial" w:eastAsia="MS PGothic" w:hAnsi="Arial" w:cs="Arial"/>
                <w:kern w:val="24"/>
              </w:rPr>
              <w:t>o</w:t>
            </w:r>
          </w:p>
        </w:tc>
        <w:tc>
          <w:tcPr>
            <w:tcW w:w="886" w:type="dxa"/>
            <w:vAlign w:val="center"/>
          </w:tcPr>
          <w:p w14:paraId="1C44B2B2" w14:textId="77777777" w:rsidR="001B54EB" w:rsidRDefault="001B54EB">
            <w:pPr>
              <w:spacing w:after="0" w:line="240" w:lineRule="auto"/>
              <w:ind w:left="1"/>
              <w:textAlignment w:val="baseline"/>
              <w:rPr>
                <w:rFonts w:ascii="Arial" w:eastAsia="MS PGothic" w:hAnsi="Arial" w:cs="Arial"/>
                <w:kern w:val="24"/>
              </w:rPr>
            </w:pPr>
          </w:p>
        </w:tc>
        <w:tc>
          <w:tcPr>
            <w:tcW w:w="886" w:type="dxa"/>
            <w:vAlign w:val="center"/>
          </w:tcPr>
          <w:p w14:paraId="1C44B2B3" w14:textId="77777777" w:rsidR="001B54EB" w:rsidRDefault="002913D4">
            <w:pPr>
              <w:tabs>
                <w:tab w:val="left" w:pos="280"/>
              </w:tabs>
              <w:spacing w:after="0" w:line="240" w:lineRule="auto"/>
              <w:textAlignment w:val="baseline"/>
              <w:rPr>
                <w:rFonts w:ascii="Arial" w:eastAsia="MS PGothic" w:hAnsi="Arial" w:cs="Arial"/>
                <w:kern w:val="24"/>
              </w:rPr>
            </w:pPr>
            <w:r>
              <w:rPr>
                <w:rFonts w:ascii="Arial" w:eastAsia="MS PGothic" w:hAnsi="Arial" w:cs="Arial"/>
                <w:kern w:val="24"/>
              </w:rPr>
              <w:t>o</w:t>
            </w:r>
          </w:p>
        </w:tc>
        <w:tc>
          <w:tcPr>
            <w:tcW w:w="886" w:type="dxa"/>
            <w:vAlign w:val="center"/>
          </w:tcPr>
          <w:p w14:paraId="1C44B2B4" w14:textId="77777777" w:rsidR="001B54EB" w:rsidRDefault="001B54EB">
            <w:pPr>
              <w:spacing w:after="0" w:line="240" w:lineRule="auto"/>
              <w:textAlignment w:val="baseline"/>
              <w:rPr>
                <w:rFonts w:ascii="Arial" w:eastAsia="MS PGothic" w:hAnsi="Arial" w:cs="Arial"/>
                <w:kern w:val="24"/>
              </w:rPr>
            </w:pPr>
          </w:p>
        </w:tc>
      </w:tr>
      <w:tr w:rsidR="001B54EB" w14:paraId="1C44B2BB" w14:textId="77777777" w:rsidTr="00561D7E">
        <w:trPr>
          <w:trHeight w:val="155"/>
        </w:trPr>
        <w:tc>
          <w:tcPr>
            <w:tcW w:w="5778" w:type="dxa"/>
            <w:vAlign w:val="center"/>
          </w:tcPr>
          <w:p w14:paraId="1C44B2B6" w14:textId="77777777" w:rsidR="001B54EB" w:rsidRDefault="002913D4">
            <w:pPr>
              <w:spacing w:after="0" w:line="240" w:lineRule="auto"/>
              <w:ind w:left="144" w:hanging="14"/>
              <w:textAlignment w:val="baseline"/>
              <w:rPr>
                <w:rFonts w:ascii="Arial" w:hAnsi="Arial" w:cs="Arial"/>
              </w:rPr>
            </w:pPr>
            <w:r>
              <w:rPr>
                <w:rFonts w:ascii="Arial" w:eastAsia="MS PGothic" w:hAnsi="Arial" w:cs="Arial"/>
                <w:iCs/>
                <w:kern w:val="24"/>
              </w:rPr>
              <w:t xml:space="preserve">Mergers and </w:t>
            </w:r>
            <w:proofErr w:type="spellStart"/>
            <w:r>
              <w:rPr>
                <w:rFonts w:ascii="Arial" w:eastAsia="MS PGothic" w:hAnsi="Arial" w:cs="Arial"/>
                <w:iCs/>
                <w:kern w:val="24"/>
              </w:rPr>
              <w:t>acquisitions</w:t>
            </w:r>
            <w:proofErr w:type="spellEnd"/>
          </w:p>
        </w:tc>
        <w:tc>
          <w:tcPr>
            <w:tcW w:w="885" w:type="dxa"/>
            <w:vAlign w:val="center"/>
          </w:tcPr>
          <w:p w14:paraId="1C44B2B7" w14:textId="77777777" w:rsidR="001B54EB" w:rsidRDefault="001B54EB">
            <w:pPr>
              <w:spacing w:after="0" w:line="240" w:lineRule="auto"/>
              <w:rPr>
                <w:rFonts w:ascii="Arial" w:hAnsi="Arial" w:cs="Arial"/>
              </w:rPr>
            </w:pPr>
          </w:p>
        </w:tc>
        <w:tc>
          <w:tcPr>
            <w:tcW w:w="886" w:type="dxa"/>
            <w:vAlign w:val="center"/>
          </w:tcPr>
          <w:p w14:paraId="1C44B2B8" w14:textId="77777777" w:rsidR="001B54EB" w:rsidRDefault="002913D4">
            <w:pPr>
              <w:spacing w:after="0" w:line="240" w:lineRule="auto"/>
              <w:ind w:left="1"/>
              <w:textAlignment w:val="baseline"/>
              <w:rPr>
                <w:rFonts w:ascii="Arial" w:hAnsi="Arial" w:cs="Arial"/>
              </w:rPr>
            </w:pPr>
            <w:r>
              <w:rPr>
                <w:rFonts w:ascii="Arial" w:eastAsia="MS PGothic" w:hAnsi="Arial" w:cs="Arial"/>
                <w:kern w:val="24"/>
              </w:rPr>
              <w:t>o</w:t>
            </w:r>
          </w:p>
        </w:tc>
        <w:tc>
          <w:tcPr>
            <w:tcW w:w="886" w:type="dxa"/>
            <w:vAlign w:val="center"/>
          </w:tcPr>
          <w:p w14:paraId="1C44B2B9" w14:textId="77777777" w:rsidR="001B54EB" w:rsidRDefault="001B54EB">
            <w:pPr>
              <w:spacing w:after="0" w:line="240" w:lineRule="auto"/>
              <w:rPr>
                <w:rFonts w:ascii="Arial" w:hAnsi="Arial" w:cs="Arial"/>
              </w:rPr>
            </w:pPr>
          </w:p>
        </w:tc>
        <w:tc>
          <w:tcPr>
            <w:tcW w:w="886" w:type="dxa"/>
            <w:vAlign w:val="center"/>
          </w:tcPr>
          <w:p w14:paraId="1C44B2BA" w14:textId="77777777" w:rsidR="001B54EB" w:rsidRDefault="002913D4">
            <w:pPr>
              <w:spacing w:after="0" w:line="240" w:lineRule="auto"/>
              <w:textAlignment w:val="baseline"/>
              <w:rPr>
                <w:rFonts w:ascii="Arial" w:hAnsi="Arial" w:cs="Arial"/>
              </w:rPr>
            </w:pPr>
            <w:r>
              <w:rPr>
                <w:rFonts w:ascii="Arial" w:eastAsia="MS PGothic" w:hAnsi="Arial" w:cs="Arial"/>
                <w:kern w:val="24"/>
              </w:rPr>
              <w:t>o</w:t>
            </w:r>
          </w:p>
        </w:tc>
      </w:tr>
      <w:tr w:rsidR="001B54EB" w14:paraId="1C44B2C1" w14:textId="77777777" w:rsidTr="00561D7E">
        <w:trPr>
          <w:trHeight w:val="155"/>
        </w:trPr>
        <w:tc>
          <w:tcPr>
            <w:tcW w:w="5778" w:type="dxa"/>
            <w:vAlign w:val="center"/>
          </w:tcPr>
          <w:p w14:paraId="1C44B2BC" w14:textId="77777777" w:rsidR="001B54EB" w:rsidRDefault="002913D4">
            <w:pPr>
              <w:spacing w:after="0" w:line="240" w:lineRule="auto"/>
              <w:ind w:left="144" w:hanging="14"/>
              <w:textAlignment w:val="baseline"/>
              <w:rPr>
                <w:rFonts w:ascii="Arial" w:hAnsi="Arial" w:cs="Arial"/>
              </w:rPr>
            </w:pPr>
            <w:r>
              <w:rPr>
                <w:rFonts w:ascii="Arial" w:eastAsia="MS PGothic" w:hAnsi="Arial" w:cs="Arial"/>
                <w:iCs/>
                <w:kern w:val="24"/>
              </w:rPr>
              <w:t xml:space="preserve">Permanent </w:t>
            </w:r>
            <w:proofErr w:type="spellStart"/>
            <w:r>
              <w:rPr>
                <w:rFonts w:ascii="Arial" w:eastAsia="MS PGothic" w:hAnsi="Arial" w:cs="Arial"/>
                <w:iCs/>
                <w:kern w:val="24"/>
              </w:rPr>
              <w:t>establishments</w:t>
            </w:r>
            <w:proofErr w:type="spellEnd"/>
            <w:r>
              <w:rPr>
                <w:rFonts w:ascii="Arial" w:eastAsia="MS PGothic" w:hAnsi="Arial" w:cs="Arial"/>
                <w:iCs/>
                <w:kern w:val="24"/>
              </w:rPr>
              <w:t xml:space="preserve"> </w:t>
            </w:r>
          </w:p>
        </w:tc>
        <w:tc>
          <w:tcPr>
            <w:tcW w:w="885" w:type="dxa"/>
            <w:vAlign w:val="center"/>
          </w:tcPr>
          <w:p w14:paraId="1C44B2BD" w14:textId="77777777" w:rsidR="001B54EB" w:rsidRDefault="002913D4">
            <w:pPr>
              <w:spacing w:after="0" w:line="240" w:lineRule="auto"/>
              <w:textAlignment w:val="baseline"/>
              <w:rPr>
                <w:rFonts w:ascii="Arial" w:hAnsi="Arial" w:cs="Arial"/>
              </w:rPr>
            </w:pPr>
            <w:r>
              <w:rPr>
                <w:rFonts w:ascii="Arial" w:eastAsia="MS PGothic" w:hAnsi="Arial" w:cs="Arial"/>
                <w:kern w:val="24"/>
              </w:rPr>
              <w:t>o</w:t>
            </w:r>
          </w:p>
        </w:tc>
        <w:tc>
          <w:tcPr>
            <w:tcW w:w="886" w:type="dxa"/>
            <w:vAlign w:val="center"/>
          </w:tcPr>
          <w:p w14:paraId="1C44B2BE" w14:textId="77777777" w:rsidR="001B54EB" w:rsidRDefault="001B54EB">
            <w:pPr>
              <w:spacing w:after="0" w:line="240" w:lineRule="auto"/>
              <w:ind w:left="1"/>
              <w:rPr>
                <w:rFonts w:ascii="Arial" w:hAnsi="Arial" w:cs="Arial"/>
              </w:rPr>
            </w:pPr>
          </w:p>
        </w:tc>
        <w:tc>
          <w:tcPr>
            <w:tcW w:w="886" w:type="dxa"/>
            <w:vAlign w:val="center"/>
          </w:tcPr>
          <w:p w14:paraId="1C44B2BF" w14:textId="77777777" w:rsidR="001B54EB" w:rsidRDefault="002913D4">
            <w:pPr>
              <w:tabs>
                <w:tab w:val="left" w:pos="280"/>
              </w:tabs>
              <w:spacing w:after="0" w:line="240" w:lineRule="auto"/>
              <w:textAlignment w:val="baseline"/>
              <w:rPr>
                <w:rFonts w:ascii="Arial" w:hAnsi="Arial" w:cs="Arial"/>
              </w:rPr>
            </w:pPr>
            <w:r>
              <w:rPr>
                <w:rFonts w:ascii="Arial" w:eastAsia="MS PGothic" w:hAnsi="Arial" w:cs="Arial"/>
                <w:kern w:val="24"/>
              </w:rPr>
              <w:t>o</w:t>
            </w:r>
          </w:p>
        </w:tc>
        <w:tc>
          <w:tcPr>
            <w:tcW w:w="886" w:type="dxa"/>
            <w:vAlign w:val="center"/>
          </w:tcPr>
          <w:p w14:paraId="1C44B2C0" w14:textId="77777777" w:rsidR="001B54EB" w:rsidRDefault="001B54EB">
            <w:pPr>
              <w:spacing w:after="0" w:line="240" w:lineRule="auto"/>
              <w:rPr>
                <w:rFonts w:ascii="Arial" w:hAnsi="Arial" w:cs="Arial"/>
              </w:rPr>
            </w:pPr>
          </w:p>
        </w:tc>
      </w:tr>
      <w:tr w:rsidR="001B54EB" w14:paraId="1C44B2C7" w14:textId="77777777" w:rsidTr="00561D7E">
        <w:trPr>
          <w:trHeight w:val="155"/>
        </w:trPr>
        <w:tc>
          <w:tcPr>
            <w:tcW w:w="5778" w:type="dxa"/>
            <w:vAlign w:val="center"/>
          </w:tcPr>
          <w:p w14:paraId="1C44B2C2" w14:textId="77777777" w:rsidR="001B54EB" w:rsidRDefault="002913D4">
            <w:pPr>
              <w:spacing w:after="0" w:line="240" w:lineRule="auto"/>
              <w:ind w:left="144" w:hanging="14"/>
              <w:textAlignment w:val="baseline"/>
              <w:rPr>
                <w:rFonts w:ascii="Arial" w:hAnsi="Arial" w:cs="Arial"/>
              </w:rPr>
            </w:pPr>
            <w:proofErr w:type="spellStart"/>
            <w:r>
              <w:rPr>
                <w:rFonts w:ascii="Arial" w:eastAsia="MS PGothic" w:hAnsi="Arial" w:cs="Arial"/>
                <w:iCs/>
                <w:kern w:val="24"/>
              </w:rPr>
              <w:t>Procurement</w:t>
            </w:r>
            <w:proofErr w:type="spellEnd"/>
            <w:r>
              <w:rPr>
                <w:rFonts w:ascii="Arial" w:eastAsia="MS PGothic" w:hAnsi="Arial" w:cs="Arial"/>
                <w:iCs/>
                <w:kern w:val="24"/>
              </w:rPr>
              <w:t xml:space="preserve">, </w:t>
            </w:r>
            <w:proofErr w:type="spellStart"/>
            <w:r>
              <w:rPr>
                <w:rFonts w:ascii="Arial" w:eastAsia="MS PGothic" w:hAnsi="Arial" w:cs="Arial"/>
                <w:iCs/>
                <w:kern w:val="24"/>
              </w:rPr>
              <w:t>purchasing</w:t>
            </w:r>
            <w:proofErr w:type="spellEnd"/>
            <w:r>
              <w:rPr>
                <w:rFonts w:ascii="Arial" w:eastAsia="MS PGothic" w:hAnsi="Arial" w:cs="Arial"/>
                <w:iCs/>
                <w:kern w:val="24"/>
              </w:rPr>
              <w:t xml:space="preserve"> and </w:t>
            </w:r>
            <w:proofErr w:type="spellStart"/>
            <w:r>
              <w:rPr>
                <w:rFonts w:ascii="Arial" w:eastAsia="MS PGothic" w:hAnsi="Arial" w:cs="Arial"/>
                <w:iCs/>
                <w:kern w:val="24"/>
              </w:rPr>
              <w:t>payments</w:t>
            </w:r>
            <w:proofErr w:type="spellEnd"/>
          </w:p>
        </w:tc>
        <w:tc>
          <w:tcPr>
            <w:tcW w:w="885" w:type="dxa"/>
            <w:vAlign w:val="center"/>
          </w:tcPr>
          <w:p w14:paraId="1C44B2C3" w14:textId="77777777" w:rsidR="001B54EB" w:rsidRDefault="002913D4">
            <w:pPr>
              <w:spacing w:after="0" w:line="240" w:lineRule="auto"/>
              <w:textAlignment w:val="baseline"/>
              <w:rPr>
                <w:rFonts w:ascii="Arial" w:hAnsi="Arial" w:cs="Arial"/>
              </w:rPr>
            </w:pPr>
            <w:r>
              <w:rPr>
                <w:rFonts w:ascii="Arial" w:eastAsia="MS PGothic" w:hAnsi="Arial" w:cs="Arial"/>
                <w:kern w:val="24"/>
              </w:rPr>
              <w:t>o</w:t>
            </w:r>
          </w:p>
        </w:tc>
        <w:tc>
          <w:tcPr>
            <w:tcW w:w="886" w:type="dxa"/>
            <w:vAlign w:val="center"/>
          </w:tcPr>
          <w:p w14:paraId="1C44B2C4" w14:textId="77777777" w:rsidR="001B54EB" w:rsidRDefault="002913D4">
            <w:pPr>
              <w:spacing w:after="0" w:line="240" w:lineRule="auto"/>
              <w:ind w:left="1"/>
              <w:textAlignment w:val="baseline"/>
              <w:rPr>
                <w:rFonts w:ascii="Arial" w:hAnsi="Arial" w:cs="Arial"/>
              </w:rPr>
            </w:pPr>
            <w:r>
              <w:rPr>
                <w:rFonts w:ascii="Arial" w:eastAsia="MS PGothic" w:hAnsi="Arial" w:cs="Arial"/>
                <w:kern w:val="24"/>
              </w:rPr>
              <w:t>o</w:t>
            </w:r>
          </w:p>
        </w:tc>
        <w:tc>
          <w:tcPr>
            <w:tcW w:w="886" w:type="dxa"/>
            <w:vAlign w:val="center"/>
          </w:tcPr>
          <w:p w14:paraId="1C44B2C5" w14:textId="77777777" w:rsidR="001B54EB" w:rsidRDefault="002913D4">
            <w:pPr>
              <w:tabs>
                <w:tab w:val="left" w:pos="280"/>
              </w:tabs>
              <w:spacing w:after="0" w:line="240" w:lineRule="auto"/>
              <w:textAlignment w:val="baseline"/>
              <w:rPr>
                <w:rFonts w:ascii="Arial" w:hAnsi="Arial" w:cs="Arial"/>
              </w:rPr>
            </w:pPr>
            <w:r>
              <w:rPr>
                <w:rFonts w:ascii="Arial" w:eastAsia="MS PGothic" w:hAnsi="Arial" w:cs="Arial"/>
                <w:kern w:val="24"/>
              </w:rPr>
              <w:t>o</w:t>
            </w:r>
          </w:p>
        </w:tc>
        <w:tc>
          <w:tcPr>
            <w:tcW w:w="886" w:type="dxa"/>
            <w:vAlign w:val="center"/>
          </w:tcPr>
          <w:p w14:paraId="1C44B2C6" w14:textId="77777777" w:rsidR="001B54EB" w:rsidRDefault="002913D4">
            <w:pPr>
              <w:spacing w:after="0" w:line="240" w:lineRule="auto"/>
              <w:textAlignment w:val="baseline"/>
              <w:rPr>
                <w:rFonts w:ascii="Arial" w:hAnsi="Arial" w:cs="Arial"/>
              </w:rPr>
            </w:pPr>
            <w:r>
              <w:rPr>
                <w:rFonts w:ascii="Arial" w:eastAsia="MS PGothic" w:hAnsi="Arial" w:cs="Arial"/>
                <w:kern w:val="24"/>
              </w:rPr>
              <w:t>o</w:t>
            </w:r>
          </w:p>
        </w:tc>
      </w:tr>
      <w:tr w:rsidR="001B54EB" w14:paraId="1C44B2CD" w14:textId="77777777" w:rsidTr="00561D7E">
        <w:trPr>
          <w:trHeight w:val="155"/>
        </w:trPr>
        <w:tc>
          <w:tcPr>
            <w:tcW w:w="5778" w:type="dxa"/>
            <w:vAlign w:val="center"/>
          </w:tcPr>
          <w:p w14:paraId="1C44B2C8" w14:textId="77777777" w:rsidR="001B54EB" w:rsidRDefault="002913D4">
            <w:pPr>
              <w:spacing w:after="0" w:line="240" w:lineRule="auto"/>
              <w:ind w:left="144" w:hanging="14"/>
              <w:textAlignment w:val="baseline"/>
              <w:rPr>
                <w:rFonts w:ascii="Arial" w:hAnsi="Arial" w:cs="Arial"/>
                <w:lang w:val="en-US"/>
              </w:rPr>
            </w:pPr>
            <w:r>
              <w:rPr>
                <w:rFonts w:ascii="Arial" w:eastAsia="MS PGothic" w:hAnsi="Arial" w:cs="Arial"/>
                <w:iCs/>
                <w:kern w:val="24"/>
                <w:lang w:val="en-US"/>
              </w:rPr>
              <w:t>Project management (sales and execution phases)</w:t>
            </w:r>
          </w:p>
        </w:tc>
        <w:tc>
          <w:tcPr>
            <w:tcW w:w="885" w:type="dxa"/>
            <w:vAlign w:val="center"/>
          </w:tcPr>
          <w:p w14:paraId="1C44B2C9" w14:textId="77777777" w:rsidR="001B54EB" w:rsidRDefault="001B54EB">
            <w:pPr>
              <w:spacing w:after="0" w:line="240" w:lineRule="auto"/>
              <w:rPr>
                <w:rFonts w:ascii="Arial" w:hAnsi="Arial" w:cs="Arial"/>
                <w:lang w:val="en-US"/>
              </w:rPr>
            </w:pPr>
          </w:p>
        </w:tc>
        <w:tc>
          <w:tcPr>
            <w:tcW w:w="886" w:type="dxa"/>
            <w:vAlign w:val="center"/>
          </w:tcPr>
          <w:p w14:paraId="1C44B2CA" w14:textId="77777777" w:rsidR="001B54EB" w:rsidRDefault="002913D4">
            <w:pPr>
              <w:spacing w:after="0" w:line="240" w:lineRule="auto"/>
              <w:ind w:left="1"/>
              <w:textAlignment w:val="baseline"/>
              <w:rPr>
                <w:rFonts w:ascii="Arial" w:hAnsi="Arial" w:cs="Arial"/>
              </w:rPr>
            </w:pPr>
            <w:r>
              <w:rPr>
                <w:rFonts w:ascii="Arial" w:eastAsia="MS PGothic" w:hAnsi="Arial" w:cs="Arial"/>
                <w:kern w:val="24"/>
              </w:rPr>
              <w:t>o</w:t>
            </w:r>
          </w:p>
        </w:tc>
        <w:tc>
          <w:tcPr>
            <w:tcW w:w="886" w:type="dxa"/>
            <w:vAlign w:val="center"/>
          </w:tcPr>
          <w:p w14:paraId="1C44B2CB" w14:textId="77777777" w:rsidR="001B54EB" w:rsidRDefault="001B54EB">
            <w:pPr>
              <w:spacing w:after="0" w:line="240" w:lineRule="auto"/>
              <w:rPr>
                <w:rFonts w:ascii="Arial" w:hAnsi="Arial" w:cs="Arial"/>
              </w:rPr>
            </w:pPr>
          </w:p>
        </w:tc>
        <w:tc>
          <w:tcPr>
            <w:tcW w:w="886" w:type="dxa"/>
            <w:vAlign w:val="center"/>
          </w:tcPr>
          <w:p w14:paraId="1C44B2CC" w14:textId="77777777" w:rsidR="001B54EB" w:rsidRDefault="002913D4">
            <w:pPr>
              <w:spacing w:after="0" w:line="240" w:lineRule="auto"/>
              <w:textAlignment w:val="baseline"/>
              <w:rPr>
                <w:rFonts w:ascii="Arial" w:hAnsi="Arial" w:cs="Arial"/>
              </w:rPr>
            </w:pPr>
            <w:r>
              <w:rPr>
                <w:rFonts w:ascii="Arial" w:eastAsia="MS PGothic" w:hAnsi="Arial" w:cs="Arial"/>
                <w:kern w:val="24"/>
              </w:rPr>
              <w:t>o</w:t>
            </w:r>
          </w:p>
        </w:tc>
      </w:tr>
      <w:tr w:rsidR="001B54EB" w14:paraId="1C44B2D3" w14:textId="77777777" w:rsidTr="00561D7E">
        <w:trPr>
          <w:trHeight w:val="155"/>
        </w:trPr>
        <w:tc>
          <w:tcPr>
            <w:tcW w:w="5778" w:type="dxa"/>
            <w:vAlign w:val="center"/>
          </w:tcPr>
          <w:p w14:paraId="1C44B2CE" w14:textId="77777777" w:rsidR="001B54EB" w:rsidRDefault="002913D4">
            <w:pPr>
              <w:spacing w:after="0" w:line="240" w:lineRule="auto"/>
              <w:ind w:left="144" w:hanging="14"/>
              <w:textAlignment w:val="baseline"/>
              <w:rPr>
                <w:rFonts w:ascii="Arial" w:hAnsi="Arial" w:cs="Arial"/>
              </w:rPr>
            </w:pPr>
            <w:r>
              <w:rPr>
                <w:rFonts w:ascii="Arial" w:eastAsia="MS PGothic" w:hAnsi="Arial" w:cs="Arial"/>
                <w:iCs/>
                <w:kern w:val="24"/>
              </w:rPr>
              <w:t xml:space="preserve">Rules, </w:t>
            </w:r>
            <w:proofErr w:type="spellStart"/>
            <w:r>
              <w:rPr>
                <w:rFonts w:ascii="Arial" w:eastAsia="MS PGothic" w:hAnsi="Arial" w:cs="Arial"/>
                <w:iCs/>
                <w:kern w:val="24"/>
              </w:rPr>
              <w:t>regulation</w:t>
            </w:r>
            <w:proofErr w:type="spellEnd"/>
            <w:r>
              <w:rPr>
                <w:rFonts w:ascii="Arial" w:eastAsia="MS PGothic" w:hAnsi="Arial" w:cs="Arial"/>
                <w:iCs/>
                <w:kern w:val="24"/>
              </w:rPr>
              <w:t xml:space="preserve"> and </w:t>
            </w:r>
            <w:proofErr w:type="spellStart"/>
            <w:r>
              <w:rPr>
                <w:rFonts w:ascii="Arial" w:eastAsia="MS PGothic" w:hAnsi="Arial" w:cs="Arial"/>
                <w:iCs/>
                <w:kern w:val="24"/>
              </w:rPr>
              <w:t>circulars</w:t>
            </w:r>
            <w:proofErr w:type="spellEnd"/>
          </w:p>
        </w:tc>
        <w:tc>
          <w:tcPr>
            <w:tcW w:w="885" w:type="dxa"/>
            <w:vAlign w:val="center"/>
          </w:tcPr>
          <w:p w14:paraId="1C44B2CF" w14:textId="77777777" w:rsidR="001B54EB" w:rsidRDefault="002913D4">
            <w:pPr>
              <w:spacing w:after="0" w:line="240" w:lineRule="auto"/>
              <w:textAlignment w:val="baseline"/>
              <w:rPr>
                <w:rFonts w:ascii="Arial" w:hAnsi="Arial" w:cs="Arial"/>
              </w:rPr>
            </w:pPr>
            <w:r>
              <w:rPr>
                <w:rFonts w:ascii="Arial" w:eastAsia="MS PGothic" w:hAnsi="Arial" w:cs="Arial"/>
                <w:kern w:val="24"/>
              </w:rPr>
              <w:t>o</w:t>
            </w:r>
          </w:p>
        </w:tc>
        <w:tc>
          <w:tcPr>
            <w:tcW w:w="886" w:type="dxa"/>
            <w:vAlign w:val="center"/>
          </w:tcPr>
          <w:p w14:paraId="1C44B2D0" w14:textId="77777777" w:rsidR="001B54EB" w:rsidRDefault="002913D4">
            <w:pPr>
              <w:spacing w:after="0" w:line="240" w:lineRule="auto"/>
              <w:ind w:left="1"/>
              <w:textAlignment w:val="baseline"/>
              <w:rPr>
                <w:rFonts w:ascii="Arial" w:hAnsi="Arial" w:cs="Arial"/>
              </w:rPr>
            </w:pPr>
            <w:r>
              <w:rPr>
                <w:rFonts w:ascii="Arial" w:eastAsia="MS PGothic" w:hAnsi="Arial" w:cs="Arial"/>
                <w:kern w:val="24"/>
              </w:rPr>
              <w:t>o</w:t>
            </w:r>
          </w:p>
        </w:tc>
        <w:tc>
          <w:tcPr>
            <w:tcW w:w="886" w:type="dxa"/>
            <w:vAlign w:val="center"/>
          </w:tcPr>
          <w:p w14:paraId="1C44B2D1" w14:textId="77777777" w:rsidR="001B54EB" w:rsidRDefault="002913D4">
            <w:pPr>
              <w:tabs>
                <w:tab w:val="left" w:pos="280"/>
              </w:tabs>
              <w:spacing w:after="0" w:line="240" w:lineRule="auto"/>
              <w:textAlignment w:val="baseline"/>
              <w:rPr>
                <w:rFonts w:ascii="Arial" w:hAnsi="Arial" w:cs="Arial"/>
              </w:rPr>
            </w:pPr>
            <w:r>
              <w:rPr>
                <w:rFonts w:ascii="Arial" w:eastAsia="MS PGothic" w:hAnsi="Arial" w:cs="Arial"/>
                <w:kern w:val="24"/>
              </w:rPr>
              <w:t>o</w:t>
            </w:r>
          </w:p>
        </w:tc>
        <w:tc>
          <w:tcPr>
            <w:tcW w:w="886" w:type="dxa"/>
            <w:vAlign w:val="center"/>
          </w:tcPr>
          <w:p w14:paraId="1C44B2D2" w14:textId="77777777" w:rsidR="001B54EB" w:rsidRDefault="002913D4">
            <w:pPr>
              <w:spacing w:after="0" w:line="240" w:lineRule="auto"/>
              <w:textAlignment w:val="baseline"/>
              <w:rPr>
                <w:rFonts w:ascii="Arial" w:hAnsi="Arial" w:cs="Arial"/>
              </w:rPr>
            </w:pPr>
            <w:r>
              <w:rPr>
                <w:rFonts w:ascii="Arial" w:eastAsia="MS PGothic" w:hAnsi="Arial" w:cs="Arial"/>
                <w:kern w:val="24"/>
              </w:rPr>
              <w:t>o</w:t>
            </w:r>
          </w:p>
        </w:tc>
      </w:tr>
      <w:tr w:rsidR="001B54EB" w14:paraId="1C44B2D9" w14:textId="77777777" w:rsidTr="00561D7E">
        <w:trPr>
          <w:trHeight w:val="155"/>
        </w:trPr>
        <w:tc>
          <w:tcPr>
            <w:tcW w:w="5778" w:type="dxa"/>
            <w:vAlign w:val="center"/>
          </w:tcPr>
          <w:p w14:paraId="1C44B2D4" w14:textId="77777777" w:rsidR="001B54EB" w:rsidRDefault="002913D4">
            <w:pPr>
              <w:spacing w:after="0" w:line="240" w:lineRule="auto"/>
              <w:ind w:left="144" w:hanging="14"/>
              <w:textAlignment w:val="baseline"/>
              <w:rPr>
                <w:rFonts w:ascii="Arial" w:hAnsi="Arial" w:cs="Arial"/>
                <w:b/>
                <w:bCs/>
                <w:lang w:val="en-US"/>
              </w:rPr>
            </w:pPr>
            <w:r>
              <w:rPr>
                <w:rFonts w:ascii="Arial" w:eastAsia="MS PGothic" w:hAnsi="Arial" w:cs="Arial"/>
                <w:iCs/>
                <w:kern w:val="24"/>
                <w:lang w:val="en-US"/>
              </w:rPr>
              <w:t>Results of the Siemens Global Engagement Survey for the Integrity &amp; Compliance category</w:t>
            </w:r>
          </w:p>
        </w:tc>
        <w:tc>
          <w:tcPr>
            <w:tcW w:w="885" w:type="dxa"/>
            <w:vAlign w:val="center"/>
          </w:tcPr>
          <w:p w14:paraId="1C44B2D5" w14:textId="77777777" w:rsidR="001B54EB" w:rsidRDefault="001B54EB">
            <w:pPr>
              <w:spacing w:after="0" w:line="240" w:lineRule="auto"/>
              <w:rPr>
                <w:rFonts w:ascii="Arial" w:hAnsi="Arial" w:cs="Arial"/>
                <w:lang w:val="en-US"/>
              </w:rPr>
            </w:pPr>
          </w:p>
        </w:tc>
        <w:tc>
          <w:tcPr>
            <w:tcW w:w="886" w:type="dxa"/>
            <w:vAlign w:val="center"/>
          </w:tcPr>
          <w:p w14:paraId="1C44B2D6" w14:textId="77777777" w:rsidR="001B54EB" w:rsidRDefault="001B54EB">
            <w:pPr>
              <w:spacing w:after="0" w:line="240" w:lineRule="auto"/>
              <w:ind w:left="1"/>
              <w:rPr>
                <w:rFonts w:ascii="Arial" w:hAnsi="Arial" w:cs="Arial"/>
                <w:lang w:val="en-US"/>
              </w:rPr>
            </w:pPr>
          </w:p>
        </w:tc>
        <w:tc>
          <w:tcPr>
            <w:tcW w:w="886" w:type="dxa"/>
            <w:vAlign w:val="center"/>
          </w:tcPr>
          <w:p w14:paraId="1C44B2D7" w14:textId="77777777" w:rsidR="001B54EB" w:rsidRDefault="002913D4">
            <w:pPr>
              <w:tabs>
                <w:tab w:val="left" w:pos="280"/>
              </w:tabs>
              <w:spacing w:after="0" w:line="240" w:lineRule="auto"/>
              <w:textAlignment w:val="baseline"/>
              <w:rPr>
                <w:rFonts w:ascii="Arial" w:hAnsi="Arial" w:cs="Arial"/>
              </w:rPr>
            </w:pPr>
            <w:r>
              <w:rPr>
                <w:rFonts w:ascii="Arial" w:eastAsia="MS PGothic" w:hAnsi="Arial" w:cs="Arial"/>
                <w:kern w:val="24"/>
              </w:rPr>
              <w:t>o</w:t>
            </w:r>
          </w:p>
        </w:tc>
        <w:tc>
          <w:tcPr>
            <w:tcW w:w="886" w:type="dxa"/>
            <w:vAlign w:val="center"/>
          </w:tcPr>
          <w:p w14:paraId="1C44B2D8" w14:textId="77777777" w:rsidR="001B54EB" w:rsidRDefault="001B54EB">
            <w:pPr>
              <w:spacing w:after="0" w:line="240" w:lineRule="auto"/>
              <w:rPr>
                <w:rFonts w:ascii="Arial" w:hAnsi="Arial" w:cs="Arial"/>
              </w:rPr>
            </w:pPr>
          </w:p>
        </w:tc>
      </w:tr>
      <w:tr w:rsidR="001B54EB" w14:paraId="1C44B2DF" w14:textId="77777777" w:rsidTr="00561D7E">
        <w:trPr>
          <w:trHeight w:val="155"/>
        </w:trPr>
        <w:tc>
          <w:tcPr>
            <w:tcW w:w="5778" w:type="dxa"/>
            <w:vAlign w:val="center"/>
          </w:tcPr>
          <w:p w14:paraId="1C44B2DA" w14:textId="77777777" w:rsidR="001B54EB" w:rsidRDefault="002913D4">
            <w:pPr>
              <w:spacing w:after="0" w:line="240" w:lineRule="auto"/>
              <w:ind w:left="144" w:hanging="14"/>
              <w:textAlignment w:val="baseline"/>
              <w:rPr>
                <w:rFonts w:ascii="Arial" w:hAnsi="Arial" w:cs="Arial"/>
              </w:rPr>
            </w:pPr>
            <w:proofErr w:type="spellStart"/>
            <w:r>
              <w:rPr>
                <w:rFonts w:ascii="Arial" w:eastAsia="MS PGothic" w:hAnsi="Arial" w:cs="Arial"/>
                <w:iCs/>
                <w:kern w:val="24"/>
              </w:rPr>
              <w:t>SpoDoM</w:t>
            </w:r>
            <w:proofErr w:type="spellEnd"/>
            <w:r>
              <w:rPr>
                <w:rFonts w:ascii="Arial" w:eastAsia="MS PGothic" w:hAnsi="Arial" w:cs="Arial"/>
                <w:iCs/>
                <w:kern w:val="24"/>
              </w:rPr>
              <w:t xml:space="preserve"> (</w:t>
            </w:r>
            <w:proofErr w:type="spellStart"/>
            <w:r>
              <w:rPr>
                <w:rFonts w:ascii="Arial" w:eastAsia="MS PGothic" w:hAnsi="Arial" w:cs="Arial"/>
                <w:iCs/>
                <w:kern w:val="24"/>
              </w:rPr>
              <w:t>compliance-related</w:t>
            </w:r>
            <w:proofErr w:type="spellEnd"/>
            <w:r>
              <w:rPr>
                <w:rFonts w:ascii="Arial" w:eastAsia="MS PGothic" w:hAnsi="Arial" w:cs="Arial"/>
                <w:iCs/>
                <w:kern w:val="24"/>
              </w:rPr>
              <w:t xml:space="preserve"> </w:t>
            </w:r>
            <w:proofErr w:type="spellStart"/>
            <w:r>
              <w:rPr>
                <w:rFonts w:ascii="Arial" w:eastAsia="MS PGothic" w:hAnsi="Arial" w:cs="Arial"/>
                <w:iCs/>
                <w:kern w:val="24"/>
              </w:rPr>
              <w:t>topics</w:t>
            </w:r>
            <w:proofErr w:type="spellEnd"/>
            <w:r>
              <w:rPr>
                <w:rFonts w:ascii="Arial" w:eastAsia="MS PGothic" w:hAnsi="Arial" w:cs="Arial"/>
                <w:iCs/>
                <w:kern w:val="24"/>
              </w:rPr>
              <w:t>)</w:t>
            </w:r>
          </w:p>
        </w:tc>
        <w:tc>
          <w:tcPr>
            <w:tcW w:w="885" w:type="dxa"/>
            <w:vAlign w:val="center"/>
          </w:tcPr>
          <w:p w14:paraId="1C44B2DB" w14:textId="77777777" w:rsidR="001B54EB" w:rsidRDefault="002913D4">
            <w:pPr>
              <w:spacing w:after="0" w:line="240" w:lineRule="auto"/>
              <w:textAlignment w:val="baseline"/>
              <w:rPr>
                <w:rFonts w:ascii="Arial" w:hAnsi="Arial" w:cs="Arial"/>
              </w:rPr>
            </w:pPr>
            <w:r>
              <w:rPr>
                <w:rFonts w:ascii="Arial" w:eastAsia="MS PGothic" w:hAnsi="Arial" w:cs="Arial"/>
                <w:kern w:val="24"/>
              </w:rPr>
              <w:t>o</w:t>
            </w:r>
          </w:p>
        </w:tc>
        <w:tc>
          <w:tcPr>
            <w:tcW w:w="886" w:type="dxa"/>
            <w:vAlign w:val="center"/>
          </w:tcPr>
          <w:p w14:paraId="1C44B2DC" w14:textId="77777777" w:rsidR="001B54EB" w:rsidRDefault="001B54EB">
            <w:pPr>
              <w:spacing w:after="0" w:line="240" w:lineRule="auto"/>
              <w:ind w:left="1"/>
              <w:rPr>
                <w:rFonts w:ascii="Arial" w:hAnsi="Arial" w:cs="Arial"/>
              </w:rPr>
            </w:pPr>
          </w:p>
        </w:tc>
        <w:tc>
          <w:tcPr>
            <w:tcW w:w="886" w:type="dxa"/>
            <w:vAlign w:val="center"/>
          </w:tcPr>
          <w:p w14:paraId="1C44B2DD" w14:textId="77777777" w:rsidR="001B54EB" w:rsidRDefault="001B54EB">
            <w:pPr>
              <w:tabs>
                <w:tab w:val="left" w:pos="280"/>
              </w:tabs>
              <w:spacing w:after="0" w:line="240" w:lineRule="auto"/>
              <w:textAlignment w:val="baseline"/>
              <w:rPr>
                <w:rFonts w:ascii="Arial" w:hAnsi="Arial" w:cs="Arial"/>
              </w:rPr>
            </w:pPr>
          </w:p>
        </w:tc>
        <w:tc>
          <w:tcPr>
            <w:tcW w:w="886" w:type="dxa"/>
            <w:vAlign w:val="center"/>
          </w:tcPr>
          <w:p w14:paraId="1C44B2DE" w14:textId="77777777" w:rsidR="001B54EB" w:rsidRDefault="001B54EB">
            <w:pPr>
              <w:spacing w:after="0" w:line="240" w:lineRule="auto"/>
              <w:rPr>
                <w:rFonts w:ascii="Arial" w:hAnsi="Arial" w:cs="Arial"/>
              </w:rPr>
            </w:pPr>
          </w:p>
        </w:tc>
      </w:tr>
      <w:tr w:rsidR="001B54EB" w14:paraId="1C44B2E5" w14:textId="77777777" w:rsidTr="00561D7E">
        <w:trPr>
          <w:trHeight w:val="155"/>
        </w:trPr>
        <w:tc>
          <w:tcPr>
            <w:tcW w:w="5778" w:type="dxa"/>
            <w:vAlign w:val="center"/>
          </w:tcPr>
          <w:p w14:paraId="1C44B2E0" w14:textId="57F66891" w:rsidR="001B54EB" w:rsidRDefault="002913D4">
            <w:pPr>
              <w:spacing w:after="0" w:line="240" w:lineRule="auto"/>
              <w:ind w:left="144" w:hanging="14"/>
              <w:textAlignment w:val="baseline"/>
              <w:rPr>
                <w:rFonts w:ascii="Arial" w:eastAsia="MS PGothic" w:hAnsi="Arial" w:cs="Arial"/>
                <w:b/>
                <w:bCs/>
                <w:iCs/>
                <w:kern w:val="24"/>
                <w:lang w:val="en-US"/>
              </w:rPr>
            </w:pPr>
            <w:r>
              <w:rPr>
                <w:rFonts w:ascii="Arial" w:eastAsia="MS PGothic" w:hAnsi="Arial" w:cs="Arial"/>
                <w:iCs/>
                <w:kern w:val="24"/>
                <w:lang w:val="en-US"/>
              </w:rPr>
              <w:t>Significant developments in the regulatory environment</w:t>
            </w:r>
            <w:r>
              <w:rPr>
                <w:rFonts w:ascii="Arial" w:eastAsia="MS PGothic" w:hAnsi="Arial" w:cs="Arial"/>
                <w:iCs/>
                <w:kern w:val="24"/>
                <w:lang w:val="en-US"/>
              </w:rPr>
              <w:br/>
            </w:r>
            <w:r>
              <w:rPr>
                <w:rFonts w:ascii="Arial" w:eastAsia="MS PGothic" w:hAnsi="Arial" w:cs="Arial"/>
                <w:iCs/>
                <w:kern w:val="24"/>
                <w:sz w:val="18"/>
                <w:szCs w:val="18"/>
                <w:lang w:val="en-US"/>
              </w:rPr>
              <w:t>(</w:t>
            </w:r>
            <w:proofErr w:type="spellStart"/>
            <w:r w:rsidR="00E636FB">
              <w:rPr>
                <w:rFonts w:ascii="Arial" w:eastAsia="MS PGothic" w:hAnsi="Arial" w:cs="Arial"/>
                <w:iCs/>
                <w:kern w:val="24"/>
                <w:sz w:val="18"/>
                <w:szCs w:val="18"/>
                <w:lang w:val="en-US"/>
              </w:rPr>
              <w:t>OpCos</w:t>
            </w:r>
            <w:proofErr w:type="spellEnd"/>
            <w:r>
              <w:rPr>
                <w:rFonts w:ascii="Arial" w:eastAsia="MS PGothic" w:hAnsi="Arial" w:cs="Arial"/>
                <w:iCs/>
                <w:kern w:val="24"/>
                <w:sz w:val="18"/>
                <w:szCs w:val="18"/>
                <w:lang w:val="en-US"/>
              </w:rPr>
              <w:t>/: market segment; Regions/Countries: local regulations; Corporate: area/function, e.g. labor law)</w:t>
            </w:r>
          </w:p>
        </w:tc>
        <w:tc>
          <w:tcPr>
            <w:tcW w:w="885" w:type="dxa"/>
            <w:vAlign w:val="center"/>
          </w:tcPr>
          <w:p w14:paraId="1C44B2E1" w14:textId="77777777" w:rsidR="001B54EB" w:rsidRDefault="001B54EB">
            <w:pPr>
              <w:spacing w:after="0" w:line="240" w:lineRule="auto"/>
              <w:rPr>
                <w:rFonts w:ascii="Arial" w:hAnsi="Arial" w:cs="Arial"/>
                <w:lang w:val="en-US"/>
              </w:rPr>
            </w:pPr>
          </w:p>
        </w:tc>
        <w:tc>
          <w:tcPr>
            <w:tcW w:w="886" w:type="dxa"/>
            <w:vAlign w:val="center"/>
          </w:tcPr>
          <w:p w14:paraId="1C44B2E2" w14:textId="77777777" w:rsidR="001B54EB" w:rsidRDefault="002913D4">
            <w:pPr>
              <w:spacing w:after="0" w:line="240" w:lineRule="auto"/>
              <w:ind w:left="1"/>
              <w:textAlignment w:val="baseline"/>
              <w:rPr>
                <w:rFonts w:ascii="Arial" w:hAnsi="Arial" w:cs="Arial"/>
                <w:sz w:val="18"/>
                <w:szCs w:val="18"/>
              </w:rPr>
            </w:pPr>
            <w:r>
              <w:rPr>
                <w:rFonts w:ascii="Arial" w:eastAsia="MS PGothic" w:hAnsi="Arial" w:cs="Arial"/>
                <w:kern w:val="24"/>
              </w:rPr>
              <w:t>o</w:t>
            </w:r>
          </w:p>
        </w:tc>
        <w:tc>
          <w:tcPr>
            <w:tcW w:w="886" w:type="dxa"/>
            <w:vAlign w:val="center"/>
          </w:tcPr>
          <w:p w14:paraId="1C44B2E3" w14:textId="77777777" w:rsidR="001B54EB" w:rsidRDefault="001B54EB">
            <w:pPr>
              <w:spacing w:after="0" w:line="240" w:lineRule="auto"/>
              <w:rPr>
                <w:rFonts w:ascii="Arial" w:hAnsi="Arial" w:cs="Arial"/>
              </w:rPr>
            </w:pPr>
          </w:p>
        </w:tc>
        <w:tc>
          <w:tcPr>
            <w:tcW w:w="886" w:type="dxa"/>
            <w:vAlign w:val="center"/>
          </w:tcPr>
          <w:p w14:paraId="1C44B2E4" w14:textId="77777777" w:rsidR="001B54EB" w:rsidRDefault="001B54EB">
            <w:pPr>
              <w:spacing w:after="0" w:line="240" w:lineRule="auto"/>
              <w:rPr>
                <w:rFonts w:ascii="Arial" w:hAnsi="Arial" w:cs="Arial"/>
              </w:rPr>
            </w:pPr>
          </w:p>
        </w:tc>
      </w:tr>
    </w:tbl>
    <w:p w14:paraId="1C44B2E6" w14:textId="77777777" w:rsidR="001B54EB" w:rsidRDefault="001B54EB">
      <w:pPr>
        <w:pStyle w:val="KeinAbsatzformat"/>
        <w:rPr>
          <w:lang w:val="en-US"/>
        </w:rPr>
      </w:pPr>
    </w:p>
    <w:p w14:paraId="1C44B2E7" w14:textId="77777777" w:rsidR="001B54EB" w:rsidRDefault="002913D4">
      <w:pPr>
        <w:pStyle w:val="scfbrieftext"/>
        <w:spacing w:before="120"/>
        <w:ind w:right="565"/>
        <w:rPr>
          <w:rFonts w:cs="Arial"/>
          <w:color w:val="000000"/>
        </w:rPr>
      </w:pPr>
      <w:r>
        <w:rPr>
          <w:rFonts w:cs="Arial"/>
          <w:color w:val="000000"/>
        </w:rPr>
        <w:t>If you have any questions regarding the optional topics, please contact the corresponding governance owner directly.</w:t>
      </w:r>
    </w:p>
    <w:p w14:paraId="1C44B2EB" w14:textId="6194FDF1" w:rsidR="001B54EB" w:rsidRDefault="0055208D">
      <w:pPr>
        <w:pStyle w:val="berschrift2"/>
      </w:pPr>
      <w:r>
        <w:lastRenderedPageBreak/>
        <w:t>2.4</w:t>
      </w:r>
      <w:r w:rsidR="002913D4">
        <w:t>. CRB charter</w:t>
      </w:r>
    </w:p>
    <w:p w14:paraId="1C519F0F" w14:textId="2B4BC716" w:rsidR="0055208D" w:rsidRDefault="0055208D" w:rsidP="0055208D">
      <w:pPr>
        <w:pStyle w:val="scfbrieftext"/>
        <w:spacing w:before="120"/>
        <w:ind w:right="565"/>
        <w:rPr>
          <w:rFonts w:cs="Arial"/>
          <w:color w:val="000000"/>
        </w:rPr>
      </w:pPr>
      <w:r>
        <w:rPr>
          <w:rFonts w:cs="Arial"/>
          <w:color w:val="000000"/>
        </w:rPr>
        <w:t xml:space="preserve">The Compliance Officer, in consultation with the CEO/Head of the respective </w:t>
      </w:r>
      <w:r w:rsidR="00C01770">
        <w:rPr>
          <w:rFonts w:cs="Arial"/>
          <w:color w:val="000000"/>
        </w:rPr>
        <w:t>Company Unit</w:t>
      </w:r>
      <w:r>
        <w:rPr>
          <w:rFonts w:cs="Arial"/>
          <w:color w:val="000000"/>
        </w:rPr>
        <w:t xml:space="preserve">, may further specify or extend the requirements of this </w:t>
      </w:r>
      <w:r w:rsidR="00C224CB">
        <w:rPr>
          <w:rFonts w:cs="Arial"/>
          <w:color w:val="000000"/>
        </w:rPr>
        <w:t>section</w:t>
      </w:r>
      <w:r>
        <w:rPr>
          <w:rFonts w:cs="Arial"/>
          <w:color w:val="000000"/>
        </w:rPr>
        <w:t xml:space="preserve"> for the performance of a CRB (such as further mandatory participants beyond those determined in section 3 of this </w:t>
      </w:r>
      <w:r w:rsidR="00C224CB">
        <w:rPr>
          <w:rFonts w:cs="Arial"/>
          <w:color w:val="000000"/>
        </w:rPr>
        <w:t>section</w:t>
      </w:r>
      <w:r>
        <w:rPr>
          <w:rFonts w:cs="Arial"/>
          <w:color w:val="000000"/>
        </w:rPr>
        <w:t>, preparation or frequency, mandatory stand-alone performance).</w:t>
      </w:r>
    </w:p>
    <w:p w14:paraId="024FD45A" w14:textId="3ECD1D1E" w:rsidR="0055208D" w:rsidRDefault="0055208D" w:rsidP="0055208D">
      <w:pPr>
        <w:pStyle w:val="scfbrieftext"/>
        <w:spacing w:before="120"/>
        <w:ind w:right="565"/>
        <w:rPr>
          <w:rFonts w:cs="Arial"/>
          <w:color w:val="000000"/>
        </w:rPr>
      </w:pPr>
      <w:r>
        <w:rPr>
          <w:rFonts w:cs="Arial"/>
          <w:color w:val="000000"/>
        </w:rPr>
        <w:t xml:space="preserve">Such determinations must be included in the CRB charter of the respective </w:t>
      </w:r>
      <w:r w:rsidR="00C01770">
        <w:rPr>
          <w:rFonts w:cs="Arial"/>
          <w:color w:val="000000"/>
        </w:rPr>
        <w:t>Company Unit</w:t>
      </w:r>
      <w:r>
        <w:rPr>
          <w:rFonts w:cs="Arial"/>
          <w:color w:val="000000"/>
        </w:rPr>
        <w:t>.</w:t>
      </w:r>
    </w:p>
    <w:p w14:paraId="713B3A8D" w14:textId="77777777" w:rsidR="0055208D" w:rsidRDefault="0055208D" w:rsidP="0055208D">
      <w:pPr>
        <w:pStyle w:val="scfbrieftext"/>
        <w:spacing w:before="120"/>
        <w:ind w:right="565"/>
        <w:rPr>
          <w:rFonts w:cs="Arial"/>
          <w:color w:val="000000"/>
        </w:rPr>
      </w:pPr>
    </w:p>
    <w:p w14:paraId="1C44B2EC" w14:textId="7E28FB0A" w:rsidR="001B54EB" w:rsidRDefault="002913D4">
      <w:r>
        <w:t xml:space="preserve">The CEOs/Heads of the </w:t>
      </w:r>
      <w:r w:rsidR="007F0EDD" w:rsidRPr="007F0EDD">
        <w:rPr>
          <w:rFonts w:cs="Arial"/>
        </w:rPr>
        <w:t>Operating Companies, Service Companies, Corporate Development</w:t>
      </w:r>
      <w:r w:rsidR="007F0EDD">
        <w:rPr>
          <w:rFonts w:cs="Arial"/>
        </w:rPr>
        <w:t xml:space="preserve"> departments</w:t>
      </w:r>
      <w:r w:rsidR="007F0EDD" w:rsidRPr="007F0EDD">
        <w:rPr>
          <w:rFonts w:cs="Arial"/>
        </w:rPr>
        <w:t>, Governance</w:t>
      </w:r>
      <w:r w:rsidR="007F0EDD">
        <w:rPr>
          <w:rFonts w:cs="Arial"/>
        </w:rPr>
        <w:t xml:space="preserve"> departments</w:t>
      </w:r>
      <w:r w:rsidR="007F0EDD" w:rsidRPr="007F0EDD">
        <w:rPr>
          <w:rFonts w:cs="Arial"/>
        </w:rPr>
        <w:t>, Corporate Countries and Lead Countries</w:t>
      </w:r>
      <w:r w:rsidR="004448E9">
        <w:rPr>
          <w:rFonts w:cs="Arial"/>
          <w:strike/>
          <w:color w:val="FF0000"/>
        </w:rPr>
        <w:t xml:space="preserve"> </w:t>
      </w:r>
      <w:r>
        <w:t>must establish a CRB charter either with unlimited validity or for a specific fiscal year.</w:t>
      </w:r>
    </w:p>
    <w:p w14:paraId="1C44B2ED" w14:textId="77777777" w:rsidR="001B54EB" w:rsidRDefault="002913D4">
      <w:r>
        <w:t>At the very least, the CRB charter must define</w:t>
      </w:r>
    </w:p>
    <w:p w14:paraId="1C44B2EE" w14:textId="77777777" w:rsidR="001B54EB" w:rsidRDefault="002913D4" w:rsidP="00CA7A25">
      <w:pPr>
        <w:ind w:left="720"/>
      </w:pPr>
      <w:r>
        <w:t>•</w:t>
      </w:r>
      <w:r>
        <w:tab/>
        <w:t xml:space="preserve">the purpose of the CRB, </w:t>
      </w:r>
    </w:p>
    <w:p w14:paraId="1C44B2EF" w14:textId="77777777" w:rsidR="001B54EB" w:rsidRDefault="002913D4" w:rsidP="00CA7A25">
      <w:pPr>
        <w:ind w:left="720"/>
      </w:pPr>
      <w:r>
        <w:t>•</w:t>
      </w:r>
      <w:r>
        <w:tab/>
        <w:t>the mandatory participants and their roles,</w:t>
      </w:r>
    </w:p>
    <w:p w14:paraId="1C44B2F0" w14:textId="4AE45DE9" w:rsidR="001B54EB" w:rsidRDefault="002913D4" w:rsidP="00CA7A25">
      <w:pPr>
        <w:ind w:left="720"/>
      </w:pPr>
      <w:r>
        <w:t>•</w:t>
      </w:r>
      <w:r>
        <w:tab/>
        <w:t xml:space="preserve">the general coverage of the CRB as stated in section 2 of this </w:t>
      </w:r>
      <w:r w:rsidR="00C224CB">
        <w:t>section</w:t>
      </w:r>
      <w:r>
        <w:t>,</w:t>
      </w:r>
    </w:p>
    <w:p w14:paraId="1C44B2F1" w14:textId="77777777" w:rsidR="001B54EB" w:rsidRDefault="002913D4" w:rsidP="00CA7A25">
      <w:pPr>
        <w:ind w:left="720"/>
      </w:pPr>
      <w:r>
        <w:t>•</w:t>
      </w:r>
      <w:r>
        <w:tab/>
        <w:t>the mode and frequency of performance,</w:t>
      </w:r>
    </w:p>
    <w:p w14:paraId="1C44B2F2" w14:textId="77777777" w:rsidR="001B54EB" w:rsidRDefault="002913D4" w:rsidP="00CA7A25">
      <w:pPr>
        <w:ind w:left="720"/>
      </w:pPr>
      <w:r>
        <w:t>•</w:t>
      </w:r>
      <w:r>
        <w:tab/>
        <w:t>the documentation of a CRB,</w:t>
      </w:r>
    </w:p>
    <w:p w14:paraId="1C44B2F3" w14:textId="77777777" w:rsidR="001B54EB" w:rsidRDefault="002913D4" w:rsidP="00CA7A25">
      <w:pPr>
        <w:ind w:left="720"/>
      </w:pPr>
      <w:r>
        <w:t>•</w:t>
      </w:r>
      <w:r>
        <w:tab/>
        <w:t>and the requirement to document decisions made and action items defined in a CRB.</w:t>
      </w:r>
    </w:p>
    <w:p w14:paraId="1C44B2F4" w14:textId="6A9B94F0" w:rsidR="001B54EB" w:rsidRDefault="0055208D">
      <w:pPr>
        <w:pStyle w:val="berschrift2"/>
      </w:pPr>
      <w:r>
        <w:t>2.5</w:t>
      </w:r>
      <w:r w:rsidR="002913D4">
        <w:t>. Submission of CRB documents</w:t>
      </w:r>
    </w:p>
    <w:p w14:paraId="1C44B2F9" w14:textId="49AF5CEA" w:rsidR="001B54EB" w:rsidRDefault="009E5C72">
      <w:r>
        <w:t xml:space="preserve">Information will be updated soon. In case of questions please contact </w:t>
      </w:r>
      <w:hyperlink r:id="rId16" w:history="1">
        <w:r w:rsidRPr="001371DE">
          <w:rPr>
            <w:rStyle w:val="Hyperlink"/>
          </w:rPr>
          <w:t>ines.zins@siemens.com</w:t>
        </w:r>
      </w:hyperlink>
      <w:r>
        <w:t xml:space="preserve">. </w:t>
      </w:r>
    </w:p>
    <w:p w14:paraId="1C44B2FA" w14:textId="541015A0" w:rsidR="001B54EB" w:rsidRDefault="0055208D">
      <w:pPr>
        <w:pStyle w:val="berschrift2"/>
      </w:pPr>
      <w:r>
        <w:t>2.6</w:t>
      </w:r>
      <w:r w:rsidR="002913D4">
        <w:t>. Exceptions</w:t>
      </w:r>
    </w:p>
    <w:p w14:paraId="1C44B2FB" w14:textId="3FB36B0F" w:rsidR="001B54EB" w:rsidRDefault="002913D4">
      <w:r>
        <w:t xml:space="preserve">The Chief Compliance Officer may approve deviations to the requirements contained in </w:t>
      </w:r>
      <w:r w:rsidR="00CA7A25">
        <w:t xml:space="preserve">SC 226, </w:t>
      </w:r>
      <w:r w:rsidRPr="00561D7E">
        <w:t>Chapter 4.6</w:t>
      </w:r>
      <w:r>
        <w:t xml:space="preserve"> or this </w:t>
      </w:r>
      <w:r w:rsidR="00C224CB">
        <w:t>section</w:t>
      </w:r>
      <w:r>
        <w:t xml:space="preserve"> if requested by a Compliance Officer. The deviations should be included in the CRB of the following quarter and the information of approval should be</w:t>
      </w:r>
      <w:r w:rsidR="009E5C72">
        <w:t xml:space="preserve"> provided. (Information will be updated soon. In case of questions please contact </w:t>
      </w:r>
      <w:hyperlink r:id="rId17" w:history="1">
        <w:r w:rsidR="009E5C72" w:rsidRPr="001371DE">
          <w:rPr>
            <w:rStyle w:val="Hyperlink"/>
          </w:rPr>
          <w:t>ines.zins@siemens.com</w:t>
        </w:r>
      </w:hyperlink>
      <w:r w:rsidR="009E5C72">
        <w:t>.)</w:t>
      </w:r>
    </w:p>
    <w:p w14:paraId="1C44B2FD" w14:textId="0A72D0F1" w:rsidR="001B54EB" w:rsidRDefault="002913D4">
      <w:r>
        <w:t xml:space="preserve">In case of shifting mandatory topics from CRB Q3 to the following FY, a status report of the </w:t>
      </w:r>
      <w:hyperlink w:anchor="_2.3._Content_of" w:history="1">
        <w:r w:rsidRPr="00CA7A25">
          <w:rPr>
            <w:rStyle w:val="Hyperlink"/>
          </w:rPr>
          <w:t>mandatory topics</w:t>
        </w:r>
      </w:hyperlink>
      <w:r>
        <w:t xml:space="preserve"> should be provided</w:t>
      </w:r>
      <w:r w:rsidR="00C61945">
        <w:t>.</w:t>
      </w:r>
    </w:p>
    <w:bookmarkEnd w:id="2"/>
    <w:bookmarkEnd w:id="3"/>
    <w:p w14:paraId="1C44B2FE" w14:textId="357D04DE" w:rsidR="001B54EB" w:rsidRDefault="0055208D">
      <w:pPr>
        <w:pStyle w:val="berschrift2"/>
      </w:pPr>
      <w:r>
        <w:lastRenderedPageBreak/>
        <w:t>2.7</w:t>
      </w:r>
      <w:r w:rsidR="003E5F34">
        <w:t>. Training and</w:t>
      </w:r>
      <w:r w:rsidR="002913D4">
        <w:t xml:space="preserve"> supporting </w:t>
      </w:r>
      <w:r w:rsidR="003E5F34">
        <w:t>material</w:t>
      </w:r>
    </w:p>
    <w:p w14:paraId="1C44B300" w14:textId="47C918DA" w:rsidR="001B54EB" w:rsidRDefault="002913D4">
      <w:pPr>
        <w:pStyle w:val="berschrift2"/>
      </w:pPr>
      <w:r>
        <w:t>2.</w:t>
      </w:r>
      <w:r w:rsidR="0055208D">
        <w:t>8</w:t>
      </w:r>
      <w:r>
        <w:t>. History of changes</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2489"/>
        <w:gridCol w:w="5640"/>
      </w:tblGrid>
      <w:tr w:rsidR="001B54EB" w14:paraId="1C44B305" w14:textId="77777777">
        <w:tc>
          <w:tcPr>
            <w:tcW w:w="1960" w:type="dxa"/>
            <w:shd w:val="clear" w:color="auto" w:fill="879BAA" w:themeFill="text2"/>
          </w:tcPr>
          <w:p w14:paraId="1C44B302" w14:textId="77777777" w:rsidR="001B54EB" w:rsidRDefault="002913D4">
            <w:pPr>
              <w:rPr>
                <w:b/>
                <w:color w:val="auto"/>
              </w:rPr>
            </w:pPr>
            <w:r>
              <w:rPr>
                <w:b/>
                <w:color w:val="auto"/>
              </w:rPr>
              <w:t xml:space="preserve">Date </w:t>
            </w:r>
          </w:p>
        </w:tc>
        <w:tc>
          <w:tcPr>
            <w:tcW w:w="2520" w:type="dxa"/>
            <w:shd w:val="clear" w:color="auto" w:fill="879BAA" w:themeFill="text2"/>
          </w:tcPr>
          <w:p w14:paraId="1C44B303" w14:textId="77777777" w:rsidR="001B54EB" w:rsidRDefault="002913D4">
            <w:pPr>
              <w:rPr>
                <w:b/>
                <w:color w:val="auto"/>
              </w:rPr>
            </w:pPr>
            <w:r>
              <w:rPr>
                <w:b/>
                <w:color w:val="auto"/>
              </w:rPr>
              <w:t>Author</w:t>
            </w:r>
          </w:p>
        </w:tc>
        <w:tc>
          <w:tcPr>
            <w:tcW w:w="5745" w:type="dxa"/>
            <w:shd w:val="clear" w:color="auto" w:fill="879BAA" w:themeFill="text2"/>
          </w:tcPr>
          <w:p w14:paraId="1C44B304" w14:textId="77777777" w:rsidR="001B54EB" w:rsidRDefault="002913D4">
            <w:pPr>
              <w:rPr>
                <w:b/>
                <w:color w:val="auto"/>
              </w:rPr>
            </w:pPr>
            <w:r>
              <w:rPr>
                <w:b/>
                <w:color w:val="auto"/>
              </w:rPr>
              <w:t>Major changes of binding content</w:t>
            </w:r>
          </w:p>
        </w:tc>
      </w:tr>
      <w:tr w:rsidR="001B54EB" w14:paraId="1C44B309" w14:textId="77777777">
        <w:tc>
          <w:tcPr>
            <w:tcW w:w="1960" w:type="dxa"/>
          </w:tcPr>
          <w:p w14:paraId="1C44B306" w14:textId="38FC9818" w:rsidR="001B54EB" w:rsidRDefault="000E53AF">
            <w:r>
              <w:t>January 1, 2019</w:t>
            </w:r>
          </w:p>
        </w:tc>
        <w:tc>
          <w:tcPr>
            <w:tcW w:w="2520" w:type="dxa"/>
          </w:tcPr>
          <w:p w14:paraId="1C44B307" w14:textId="50F22E81" w:rsidR="001B54EB" w:rsidRDefault="000E53AF">
            <w:r>
              <w:t>Ines Zins, (LC CO GR CAS)</w:t>
            </w:r>
          </w:p>
        </w:tc>
        <w:tc>
          <w:tcPr>
            <w:tcW w:w="5745" w:type="dxa"/>
          </w:tcPr>
          <w:p w14:paraId="1C44B308" w14:textId="274C4B0A" w:rsidR="001B54EB" w:rsidRDefault="000E53AF">
            <w:r>
              <w:t>First release through Compliance Handbook based on Siemens Circular SC No.226 “Global Compliance”, Appendix 8.</w:t>
            </w:r>
          </w:p>
        </w:tc>
      </w:tr>
      <w:tr w:rsidR="00173BAD" w14:paraId="4D30DE78" w14:textId="77777777">
        <w:tc>
          <w:tcPr>
            <w:tcW w:w="1960" w:type="dxa"/>
          </w:tcPr>
          <w:p w14:paraId="22FFCCEE" w14:textId="77777777" w:rsidR="00173BAD" w:rsidRDefault="00173BAD">
            <w:r>
              <w:t>April 1, 2019</w:t>
            </w:r>
          </w:p>
          <w:p w14:paraId="641CA808" w14:textId="5BD4DC83" w:rsidR="00DC6BA6" w:rsidRPr="00F614D4" w:rsidRDefault="00DC6BA6" w:rsidP="00870F57">
            <w:pPr>
              <w:pStyle w:val="KeinAbsatzformat"/>
              <w:rPr>
                <w:rFonts w:ascii="Arial" w:hAnsi="Arial" w:cstheme="minorBidi"/>
                <w:color w:val="006487" w:themeColor="accent3"/>
                <w:sz w:val="20"/>
                <w:szCs w:val="22"/>
                <w:lang w:val="en-US"/>
              </w:rPr>
            </w:pPr>
            <w:r w:rsidRPr="00F614D4">
              <w:rPr>
                <w:rFonts w:ascii="Arial" w:hAnsi="Arial" w:cstheme="minorBidi"/>
                <w:color w:val="006487" w:themeColor="accent3"/>
                <w:sz w:val="20"/>
                <w:szCs w:val="22"/>
                <w:lang w:val="en-US"/>
              </w:rPr>
              <w:br/>
              <w:t>March 31, 2020</w:t>
            </w:r>
          </w:p>
        </w:tc>
        <w:tc>
          <w:tcPr>
            <w:tcW w:w="2520" w:type="dxa"/>
          </w:tcPr>
          <w:p w14:paraId="0F8851DB" w14:textId="77777777" w:rsidR="00173BAD" w:rsidRDefault="00173BAD">
            <w:r>
              <w:t>Ines Zins (LC CO GR CAS)</w:t>
            </w:r>
          </w:p>
          <w:p w14:paraId="3A671C8A" w14:textId="6095AB0D" w:rsidR="00DC6BA6" w:rsidRPr="00F614D4" w:rsidRDefault="00DC6BA6" w:rsidP="00870F57">
            <w:pPr>
              <w:pStyle w:val="KeinAbsatzformat"/>
              <w:rPr>
                <w:rFonts w:ascii="Arial" w:hAnsi="Arial" w:cstheme="minorBidi"/>
                <w:color w:val="006487" w:themeColor="accent3"/>
                <w:sz w:val="20"/>
                <w:szCs w:val="22"/>
                <w:lang w:val="en-US"/>
              </w:rPr>
            </w:pPr>
            <w:r w:rsidRPr="00F614D4">
              <w:rPr>
                <w:rFonts w:ascii="Arial" w:hAnsi="Arial" w:cstheme="minorBidi"/>
                <w:color w:val="006487" w:themeColor="accent3"/>
                <w:sz w:val="20"/>
                <w:szCs w:val="22"/>
                <w:lang w:val="en-US"/>
              </w:rPr>
              <w:t>Ines Zins (LC CO RFC CA)</w:t>
            </w:r>
          </w:p>
        </w:tc>
        <w:tc>
          <w:tcPr>
            <w:tcW w:w="5745" w:type="dxa"/>
          </w:tcPr>
          <w:p w14:paraId="0EA3416C" w14:textId="77777777" w:rsidR="00173BAD" w:rsidRDefault="00173BAD">
            <w:r>
              <w:t xml:space="preserve">Editorial changes concerning the reorganization of the company. </w:t>
            </w:r>
          </w:p>
          <w:p w14:paraId="20BEA79C" w14:textId="5CDA714C" w:rsidR="00DC6BA6" w:rsidRPr="00F614D4" w:rsidRDefault="00DC6BA6" w:rsidP="00870F57">
            <w:pPr>
              <w:pStyle w:val="KeinAbsatzformat"/>
              <w:rPr>
                <w:rFonts w:ascii="Arial" w:hAnsi="Arial" w:cstheme="minorBidi"/>
                <w:color w:val="006487" w:themeColor="accent3"/>
                <w:sz w:val="20"/>
                <w:szCs w:val="22"/>
                <w:lang w:val="en-US"/>
              </w:rPr>
            </w:pPr>
            <w:r w:rsidRPr="00F614D4">
              <w:rPr>
                <w:rFonts w:ascii="Arial" w:hAnsi="Arial" w:cstheme="minorBidi"/>
                <w:color w:val="006487" w:themeColor="accent3"/>
                <w:sz w:val="20"/>
                <w:szCs w:val="22"/>
                <w:lang w:val="en-US"/>
              </w:rPr>
              <w:t>Deletion of mandatory topic 'High risk payments'</w:t>
            </w:r>
          </w:p>
        </w:tc>
      </w:tr>
      <w:tr w:rsidR="009E5C72" w14:paraId="062D6DDB" w14:textId="77777777">
        <w:tc>
          <w:tcPr>
            <w:tcW w:w="1960" w:type="dxa"/>
          </w:tcPr>
          <w:p w14:paraId="450F1F4A" w14:textId="042CC8B6" w:rsidR="009E5C72" w:rsidRDefault="009E5C72">
            <w:r>
              <w:t>October 1, 2020</w:t>
            </w:r>
          </w:p>
        </w:tc>
        <w:tc>
          <w:tcPr>
            <w:tcW w:w="2520" w:type="dxa"/>
          </w:tcPr>
          <w:p w14:paraId="703045C7" w14:textId="73FD7215" w:rsidR="009E5C72" w:rsidRDefault="009E5C72">
            <w:r w:rsidRPr="00F614D4">
              <w:t>Ines Zins (LC CO RFC CA)</w:t>
            </w:r>
          </w:p>
        </w:tc>
        <w:tc>
          <w:tcPr>
            <w:tcW w:w="5745" w:type="dxa"/>
          </w:tcPr>
          <w:p w14:paraId="06F1D2B7" w14:textId="28F5012D" w:rsidR="009E5C72" w:rsidRDefault="009E5C72">
            <w:r>
              <w:t>Implementation of new mandatory topics and frequency as defined in the Fresh Eyes Project.</w:t>
            </w:r>
          </w:p>
        </w:tc>
      </w:tr>
    </w:tbl>
    <w:p w14:paraId="1C44B30B" w14:textId="34E776AE" w:rsidR="001B54EB" w:rsidRDefault="001B54EB"/>
    <w:p w14:paraId="2EC0C5F5" w14:textId="77777777" w:rsidR="000E53AF" w:rsidRPr="000E53AF" w:rsidRDefault="000E53AF" w:rsidP="000E53AF">
      <w:pPr>
        <w:pStyle w:val="KeinAbsatzformat"/>
        <w:rPr>
          <w:lang w:val="en-US"/>
        </w:rPr>
      </w:pPr>
    </w:p>
    <w:p w14:paraId="2B10D8EA" w14:textId="0ED0243B" w:rsidR="00301A6A" w:rsidRDefault="00301A6A" w:rsidP="00301A6A">
      <w:pPr>
        <w:pStyle w:val="berschrift2"/>
      </w:pPr>
      <w:r>
        <w:t>2.9. Contacts</w:t>
      </w:r>
    </w:p>
    <w:p w14:paraId="4C7562FB" w14:textId="77777777" w:rsidR="00301A6A" w:rsidRDefault="00301A6A" w:rsidP="00301A6A">
      <w:pPr>
        <w:pStyle w:val="HighlightboxGreyBulletpoints"/>
      </w:pPr>
      <w:r>
        <w:t xml:space="preserve">Compliance Officer </w:t>
      </w:r>
    </w:p>
    <w:p w14:paraId="4E630C9A" w14:textId="35C1B58D" w:rsidR="00301A6A" w:rsidRDefault="00301A6A" w:rsidP="00301A6A">
      <w:pPr>
        <w:ind w:left="360"/>
      </w:pPr>
      <w:r>
        <w:rPr>
          <w:rFonts w:eastAsia="Siemens Sans" w:cs="Arial"/>
          <w:lang w:eastAsia="de-DE"/>
        </w:rPr>
        <w:t xml:space="preserve">The Compliance Officer responsible for your unit can be found through the following </w:t>
      </w:r>
      <w:hyperlink r:id="rId18" w:history="1">
        <w:r w:rsidRPr="000E53AF">
          <w:rPr>
            <w:rStyle w:val="Hyperlink"/>
            <w:rFonts w:eastAsia="Siemens Sans" w:cs="Arial"/>
            <w:lang w:eastAsia="de-DE"/>
          </w:rPr>
          <w:t>link</w:t>
        </w:r>
      </w:hyperlink>
      <w:r>
        <w:rPr>
          <w:rFonts w:eastAsia="Siemens Sans" w:cs="Arial"/>
          <w:lang w:eastAsia="de-DE"/>
        </w:rPr>
        <w:t>.</w:t>
      </w:r>
      <w:r>
        <w:t xml:space="preserve"> </w:t>
      </w:r>
    </w:p>
    <w:p w14:paraId="48E74C7B" w14:textId="77777777" w:rsidR="00301A6A" w:rsidRDefault="00301A6A" w:rsidP="00301A6A">
      <w:pPr>
        <w:pStyle w:val="HighlightboxGreyBulletpoints"/>
      </w:pPr>
      <w:r>
        <w:t>Corporate Governance Owner</w:t>
      </w:r>
    </w:p>
    <w:p w14:paraId="4BD1A5AB" w14:textId="3D2FB246" w:rsidR="00301A6A" w:rsidRDefault="00037CCD" w:rsidP="00301A6A">
      <w:pPr>
        <w:ind w:left="360"/>
        <w:rPr>
          <w:lang w:eastAsia="de-DE"/>
        </w:rPr>
      </w:pPr>
      <w:r>
        <w:rPr>
          <w:lang w:eastAsia="de-DE"/>
        </w:rPr>
        <w:t>The contact person</w:t>
      </w:r>
      <w:r w:rsidR="00301A6A">
        <w:rPr>
          <w:lang w:eastAsia="de-DE"/>
        </w:rPr>
        <w:t xml:space="preserve"> for Compliance Review Boards is:</w:t>
      </w:r>
    </w:p>
    <w:p w14:paraId="5A011882" w14:textId="10E2E2FF" w:rsidR="00870F57" w:rsidRPr="00F614D4" w:rsidRDefault="00650094" w:rsidP="009E5C72">
      <w:pPr>
        <w:ind w:firstLine="360"/>
        <w:rPr>
          <w:rFonts w:ascii="Times New Roman" w:eastAsiaTheme="majorEastAsia" w:hAnsi="Times New Roman" w:cstheme="majorBidi"/>
          <w:sz w:val="48"/>
          <w:szCs w:val="26"/>
        </w:rPr>
      </w:pPr>
      <w:hyperlink r:id="rId19" w:history="1">
        <w:r w:rsidR="00301A6A" w:rsidRPr="00301A6A">
          <w:rPr>
            <w:rStyle w:val="Hyperlink"/>
            <w:lang w:eastAsia="de-DE"/>
          </w:rPr>
          <w:t>Ines Zins</w:t>
        </w:r>
      </w:hyperlink>
      <w:r w:rsidR="00301A6A">
        <w:rPr>
          <w:lang w:eastAsia="de-DE"/>
        </w:rPr>
        <w:t xml:space="preserve"> (LC CO </w:t>
      </w:r>
      <w:r w:rsidR="00067ADE">
        <w:rPr>
          <w:lang w:eastAsia="de-DE"/>
        </w:rPr>
        <w:t xml:space="preserve">RFC </w:t>
      </w:r>
      <w:r w:rsidR="00301A6A">
        <w:rPr>
          <w:lang w:eastAsia="de-DE"/>
        </w:rPr>
        <w:t>CA)</w:t>
      </w:r>
      <w:bookmarkStart w:id="21" w:name="_Toc421711309"/>
      <w:bookmarkStart w:id="22" w:name="_Toc421711315"/>
      <w:bookmarkStart w:id="23" w:name="_bookmark1"/>
      <w:bookmarkStart w:id="24" w:name="_bookmark2"/>
      <w:bookmarkStart w:id="25" w:name="_bookmark3"/>
      <w:bookmarkStart w:id="26" w:name="_bookmark4"/>
      <w:bookmarkStart w:id="27" w:name="_bookmark5"/>
      <w:bookmarkStart w:id="28" w:name="_bookmark6"/>
      <w:bookmarkStart w:id="29" w:name="_bookmark7"/>
      <w:bookmarkStart w:id="30" w:name="_bookmark8"/>
      <w:bookmarkStart w:id="31" w:name="_bookmark9"/>
      <w:bookmarkStart w:id="32" w:name="_bookmark10"/>
      <w:bookmarkStart w:id="33" w:name="_bookmark11"/>
      <w:bookmarkStart w:id="34" w:name="_bookmark13"/>
      <w:bookmarkStart w:id="35" w:name="_bookmark14"/>
      <w:bookmarkStart w:id="36" w:name="_bookmark15"/>
      <w:bookmarkStart w:id="37" w:name="_bookmark16"/>
      <w:bookmarkStart w:id="38" w:name="_bookmark17"/>
      <w:bookmarkStart w:id="39" w:name="_bookmark18"/>
      <w:bookmarkStart w:id="40" w:name="_bookmark22"/>
      <w:bookmarkStart w:id="41" w:name="_bookmark23"/>
      <w:bookmarkStart w:id="42" w:name="_bookmark25"/>
      <w:bookmarkStart w:id="43" w:name="_bookmark26"/>
      <w:bookmarkStart w:id="44" w:name="_bookmark27"/>
      <w:bookmarkStart w:id="45" w:name="_bookmark28"/>
      <w:bookmarkStart w:id="46" w:name="_bookmark29"/>
      <w:bookmarkStart w:id="47" w:name="_bookmark30"/>
      <w:bookmarkStart w:id="48" w:name="_bookmark31"/>
      <w:bookmarkStart w:id="49" w:name="_bookmark32"/>
      <w:bookmarkStart w:id="50" w:name="_bookmark33"/>
      <w:bookmarkStart w:id="51" w:name="_bookmark34"/>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sectPr w:rsidR="00870F57" w:rsidRPr="00F614D4">
      <w:headerReference w:type="even" r:id="rId20"/>
      <w:headerReference w:type="default" r:id="rId21"/>
      <w:footerReference w:type="even" r:id="rId22"/>
      <w:footerReference w:type="default" r:id="rId23"/>
      <w:headerReference w:type="first" r:id="rId24"/>
      <w:footerReference w:type="first" r:id="rId25"/>
      <w:pgSz w:w="12240" w:h="15840" w:code="1"/>
      <w:pgMar w:top="1871" w:right="1021" w:bottom="1474" w:left="1134" w:header="2" w:footer="22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Hausen, Marina (LC CO EX RP)" w:date="2020-05-04T14:16:00Z" w:initials="HM(CER">
    <w:p w14:paraId="350BB998" w14:textId="77777777" w:rsidR="00D8054F" w:rsidRPr="00A60C39" w:rsidRDefault="00D8054F" w:rsidP="00A60C39">
      <w:pPr>
        <w:pStyle w:val="Kommentartext"/>
      </w:pPr>
      <w:r>
        <w:rPr>
          <w:rStyle w:val="Kommentarzeichen"/>
        </w:rPr>
        <w:annotationRef/>
      </w:r>
      <w:r w:rsidRPr="00A60C39">
        <w:t>Das ist neu, bzw. Ersatz für „</w:t>
      </w:r>
      <w:r w:rsidRPr="00A60C39">
        <w:rPr>
          <w:rFonts w:ascii="Times New Roman" w:eastAsia="Times New Roman" w:hAnsi="Times New Roman" w:cs="Times New Roman"/>
          <w:strike/>
          <w:sz w:val="24"/>
          <w:szCs w:val="24"/>
          <w:lang w:eastAsia="de-DE"/>
        </w:rPr>
        <w:t>Classification: New listed items (including “technology”) in the portfolio”</w:t>
      </w:r>
    </w:p>
  </w:comment>
  <w:comment w:id="10" w:author="Hausen, Marina (LC CO EX RP)" w:date="2020-05-04T14:17:00Z" w:initials="HM(CER">
    <w:p w14:paraId="4718B965" w14:textId="77777777" w:rsidR="00D8054F" w:rsidRPr="0001655A" w:rsidRDefault="00D8054F" w:rsidP="00A60C39">
      <w:pPr>
        <w:pStyle w:val="Kommentartext"/>
        <w:rPr>
          <w:lang w:val="de-DE"/>
        </w:rPr>
      </w:pPr>
      <w:r>
        <w:rPr>
          <w:rStyle w:val="Kommentarzeichen"/>
        </w:rPr>
        <w:annotationRef/>
      </w:r>
      <w:r w:rsidRPr="0001655A">
        <w:rPr>
          <w:lang w:val="de-DE"/>
        </w:rPr>
        <w:t>Das ist neu, in alignment m</w:t>
      </w:r>
      <w:r>
        <w:rPr>
          <w:lang w:val="de-DE"/>
        </w:rPr>
        <w:t>it CPR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0BB998" w15:done="0"/>
  <w15:commentEx w15:paraId="4718B9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0BB998" w16cid:durableId="225AA252"/>
  <w16cid:commentId w16cid:paraId="4718B965" w16cid:durableId="225AA2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4B310" w14:textId="77777777" w:rsidR="00173BAD" w:rsidRDefault="00173BAD">
      <w:pPr>
        <w:spacing w:after="0" w:line="240" w:lineRule="auto"/>
      </w:pPr>
      <w:r>
        <w:separator/>
      </w:r>
    </w:p>
  </w:endnote>
  <w:endnote w:type="continuationSeparator" w:id="0">
    <w:p w14:paraId="1C44B311" w14:textId="77777777" w:rsidR="00173BAD" w:rsidRDefault="00173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Siemens Sans">
    <w:altName w:val="Calibri"/>
    <w:panose1 w:val="00000000000000000000"/>
    <w:charset w:val="00"/>
    <w:family w:val="auto"/>
    <w:pitch w:val="variable"/>
    <w:sig w:usb0="A00002FF" w:usb1="0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76377" w14:textId="77777777" w:rsidR="002B267E" w:rsidRDefault="002B267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4B31D" w14:textId="77777777" w:rsidR="00173BAD" w:rsidRDefault="00173BAD">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910D0" w14:textId="77777777" w:rsidR="002B267E" w:rsidRDefault="002B267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4B30E" w14:textId="77777777" w:rsidR="00173BAD" w:rsidRDefault="00173BAD">
      <w:pPr>
        <w:spacing w:after="0" w:line="240" w:lineRule="auto"/>
      </w:pPr>
      <w:r>
        <w:separator/>
      </w:r>
    </w:p>
  </w:footnote>
  <w:footnote w:type="continuationSeparator" w:id="0">
    <w:p w14:paraId="1C44B30F" w14:textId="77777777" w:rsidR="00173BAD" w:rsidRDefault="00173BAD">
      <w:pPr>
        <w:spacing w:after="0" w:line="240" w:lineRule="auto"/>
      </w:pPr>
      <w:r>
        <w:continuationSeparator/>
      </w:r>
    </w:p>
  </w:footnote>
  <w:footnote w:id="1">
    <w:p w14:paraId="1BAA7D06" w14:textId="31DDAED2" w:rsidR="00DE00C5" w:rsidRPr="00DE00C5" w:rsidRDefault="00DE00C5" w:rsidP="00DE00C5">
      <w:pPr>
        <w:pStyle w:val="KeinAbsatzformat"/>
        <w:rPr>
          <w:rFonts w:ascii="Arial" w:hAnsi="Arial" w:cs="Arial"/>
          <w:sz w:val="20"/>
          <w:szCs w:val="20"/>
          <w:shd w:val="clear" w:color="auto" w:fill="FFFFFF"/>
          <w:lang w:val="en-US"/>
        </w:rPr>
      </w:pPr>
      <w:r>
        <w:rPr>
          <w:rStyle w:val="Funotenzeichen"/>
        </w:rPr>
        <w:footnoteRef/>
      </w:r>
      <w:r w:rsidRPr="00DE00C5">
        <w:rPr>
          <w:lang w:val="en-US"/>
        </w:rPr>
        <w:t xml:space="preserve"> </w:t>
      </w:r>
      <w:r w:rsidRPr="00DE00C5">
        <w:rPr>
          <w:rFonts w:ascii="Arial" w:hAnsi="Arial" w:cs="Arial"/>
          <w:sz w:val="20"/>
          <w:szCs w:val="20"/>
          <w:lang w:val="en-US"/>
        </w:rPr>
        <w:t xml:space="preserve">Please consider a (re)emerging risk as a change or </w:t>
      </w:r>
      <w:r w:rsidRPr="00DE00C5">
        <w:rPr>
          <w:rFonts w:ascii="Arial" w:hAnsi="Arial" w:cs="Arial"/>
          <w:sz w:val="20"/>
          <w:szCs w:val="20"/>
          <w:shd w:val="clear" w:color="auto" w:fill="FFFFFF"/>
          <w:lang w:val="en-US"/>
        </w:rPr>
        <w:t>increase of known (familiar) risks or risks that become apparent in new or changed conditions e.g. new technologies, regulatory changes, economic pressure. E.g., local corruption cases might increase due to competitive business environment post corona crisis.</w:t>
      </w:r>
    </w:p>
    <w:p w14:paraId="768B0C3E" w14:textId="77777777" w:rsidR="00DE00C5" w:rsidRPr="00DE00C5" w:rsidRDefault="00DE00C5" w:rsidP="00DE00C5">
      <w:pPr>
        <w:pStyle w:val="KeinAbsatzformat"/>
        <w:rPr>
          <w:rFonts w:ascii="Arial" w:hAnsi="Arial" w:cs="Arial"/>
          <w:sz w:val="20"/>
          <w:szCs w:val="20"/>
          <w:shd w:val="clear" w:color="auto" w:fill="FFFFFF"/>
          <w:lang w:val="en-US"/>
        </w:rPr>
      </w:pPr>
      <w:r w:rsidRPr="00DE00C5">
        <w:rPr>
          <w:rFonts w:ascii="Arial" w:hAnsi="Arial" w:cs="Arial"/>
          <w:sz w:val="20"/>
          <w:szCs w:val="20"/>
          <w:shd w:val="clear" w:color="auto" w:fill="FFFFFF"/>
          <w:lang w:val="en-US"/>
        </w:rPr>
        <w:t xml:space="preserve">As a general guidance you might consider </w:t>
      </w:r>
      <w:proofErr w:type="gramStart"/>
      <w:r w:rsidRPr="00DE00C5">
        <w:rPr>
          <w:rFonts w:ascii="Arial" w:hAnsi="Arial" w:cs="Arial"/>
          <w:sz w:val="20"/>
          <w:szCs w:val="20"/>
          <w:shd w:val="clear" w:color="auto" w:fill="FFFFFF"/>
          <w:lang w:val="en-US"/>
        </w:rPr>
        <w:t>to evaluate</w:t>
      </w:r>
      <w:proofErr w:type="gramEnd"/>
      <w:r w:rsidRPr="00DE00C5">
        <w:rPr>
          <w:rFonts w:ascii="Arial" w:hAnsi="Arial" w:cs="Arial"/>
          <w:sz w:val="20"/>
          <w:szCs w:val="20"/>
          <w:shd w:val="clear" w:color="auto" w:fill="FFFFFF"/>
          <w:lang w:val="en-US"/>
        </w:rPr>
        <w:t xml:space="preserve"> the following areas to facilitate discussions over potential (re) emerging risks. </w:t>
      </w:r>
    </w:p>
    <w:p w14:paraId="4F61A826" w14:textId="77777777" w:rsidR="00DE00C5" w:rsidRPr="00DE00C5" w:rsidRDefault="00DE00C5" w:rsidP="00DE00C5">
      <w:pPr>
        <w:pStyle w:val="Listenabsatz"/>
        <w:numPr>
          <w:ilvl w:val="0"/>
          <w:numId w:val="47"/>
        </w:numPr>
        <w:spacing w:after="0" w:line="240" w:lineRule="auto"/>
        <w:ind w:left="202" w:hanging="180"/>
        <w:rPr>
          <w:rFonts w:cs="Arial"/>
          <w:bCs/>
        </w:rPr>
      </w:pPr>
      <w:bookmarkStart w:id="20" w:name="_Hlk39521107"/>
      <w:r w:rsidRPr="00DE00C5">
        <w:rPr>
          <w:rFonts w:cs="Arial"/>
          <w:b/>
        </w:rPr>
        <w:t>Business strategy</w:t>
      </w:r>
      <w:r w:rsidRPr="00DE00C5">
        <w:rPr>
          <w:rFonts w:cs="Arial"/>
          <w:bCs/>
        </w:rPr>
        <w:t xml:space="preserve">: Internal changes as entering in unfamiliar business fields by acquiring new business (M&amp;A) or developing new products (R&amp;D); developing new sales objectives (entering in </w:t>
      </w:r>
      <w:r w:rsidRPr="00DE00C5">
        <w:rPr>
          <w:rFonts w:cs="Arial"/>
          <w:b/>
        </w:rPr>
        <w:t xml:space="preserve">new </w:t>
      </w:r>
      <w:r w:rsidRPr="00DE00C5">
        <w:rPr>
          <w:rFonts w:cs="Arial"/>
          <w:bCs/>
        </w:rPr>
        <w:t>markets, getting critical customers, doing business with new critical/risky countries, developing new business models, associating with new third parties); Organizational changes (</w:t>
      </w:r>
      <w:r w:rsidRPr="00DE00C5">
        <w:rPr>
          <w:rFonts w:cs="Arial"/>
        </w:rPr>
        <w:t>decentralized structures operating in many locations and delegated decision-making authority).</w:t>
      </w:r>
    </w:p>
    <w:p w14:paraId="707C9CEF" w14:textId="77777777" w:rsidR="00DE00C5" w:rsidRPr="00DE00C5" w:rsidRDefault="00DE00C5" w:rsidP="00DE00C5">
      <w:pPr>
        <w:pStyle w:val="Listenabsatz"/>
        <w:numPr>
          <w:ilvl w:val="0"/>
          <w:numId w:val="47"/>
        </w:numPr>
        <w:spacing w:after="160" w:line="252" w:lineRule="auto"/>
        <w:ind w:left="202" w:hanging="180"/>
        <w:rPr>
          <w:rFonts w:cs="Arial"/>
        </w:rPr>
      </w:pPr>
      <w:r w:rsidRPr="00DE00C5">
        <w:rPr>
          <w:rFonts w:cs="Arial"/>
          <w:b/>
          <w:bCs/>
          <w:noProof/>
        </w:rPr>
        <w:t xml:space="preserve">Business external environment: </w:t>
      </w:r>
      <w:r w:rsidRPr="00DE00C5">
        <w:rPr>
          <w:rFonts w:cs="Arial"/>
          <w:noProof/>
        </w:rPr>
        <w:t>External</w:t>
      </w:r>
      <w:r w:rsidRPr="00DE00C5">
        <w:rPr>
          <w:rFonts w:cs="Arial"/>
        </w:rPr>
        <w:t xml:space="preserve"> influences beyond the control of the organization, e.g., changes in the economic environment, new global </w:t>
      </w:r>
      <w:proofErr w:type="gramStart"/>
      <w:r w:rsidRPr="00DE00C5">
        <w:rPr>
          <w:rFonts w:cs="Arial"/>
        </w:rPr>
        <w:t>technologies</w:t>
      </w:r>
      <w:proofErr w:type="gramEnd"/>
      <w:r w:rsidRPr="00DE00C5">
        <w:rPr>
          <w:rFonts w:cs="Arial"/>
        </w:rPr>
        <w:t xml:space="preserve"> and highly competitive environments.  </w:t>
      </w:r>
    </w:p>
    <w:p w14:paraId="779D6293" w14:textId="77777777" w:rsidR="00DE00C5" w:rsidRPr="00DE00C5" w:rsidRDefault="00DE00C5" w:rsidP="00DE00C5">
      <w:pPr>
        <w:pStyle w:val="Listenabsatz"/>
        <w:numPr>
          <w:ilvl w:val="0"/>
          <w:numId w:val="47"/>
        </w:numPr>
        <w:spacing w:after="160" w:line="252" w:lineRule="auto"/>
        <w:ind w:left="202" w:hanging="180"/>
        <w:rPr>
          <w:rFonts w:cs="Arial"/>
        </w:rPr>
      </w:pPr>
      <w:r w:rsidRPr="00DE00C5">
        <w:rPr>
          <w:rFonts w:cs="Arial"/>
          <w:b/>
          <w:bCs/>
        </w:rPr>
        <w:t>Regulatory environment</w:t>
      </w:r>
      <w:r w:rsidRPr="00DE00C5">
        <w:rPr>
          <w:rFonts w:cs="Arial"/>
        </w:rPr>
        <w:t xml:space="preserve">: An external influence and more relevant to compliance risks, all applicable statutory, regulatory, </w:t>
      </w:r>
      <w:proofErr w:type="gramStart"/>
      <w:r w:rsidRPr="00DE00C5">
        <w:rPr>
          <w:rFonts w:cs="Arial"/>
        </w:rPr>
        <w:t>contractual</w:t>
      </w:r>
      <w:proofErr w:type="gramEnd"/>
      <w:r w:rsidRPr="00DE00C5">
        <w:rPr>
          <w:rFonts w:cs="Arial"/>
        </w:rPr>
        <w:t xml:space="preserve"> and professional obligations and duties. E.g., the amount of government oversight and law enforcements, fines </w:t>
      </w:r>
      <w:proofErr w:type="gramStart"/>
      <w:r w:rsidRPr="00DE00C5">
        <w:rPr>
          <w:rFonts w:cs="Arial"/>
        </w:rPr>
        <w:t>imposed</w:t>
      </w:r>
      <w:proofErr w:type="gramEnd"/>
      <w:r w:rsidRPr="00DE00C5">
        <w:rPr>
          <w:rFonts w:cs="Arial"/>
        </w:rPr>
        <w:t xml:space="preserve"> and cases prosecuted.</w:t>
      </w:r>
    </w:p>
    <w:p w14:paraId="6BDB9504" w14:textId="77777777" w:rsidR="00DE00C5" w:rsidRPr="00DE00C5" w:rsidRDefault="00DE00C5" w:rsidP="00DE00C5">
      <w:pPr>
        <w:pStyle w:val="Listenabsatz"/>
        <w:numPr>
          <w:ilvl w:val="0"/>
          <w:numId w:val="47"/>
        </w:numPr>
        <w:spacing w:after="200" w:line="276" w:lineRule="auto"/>
        <w:ind w:left="202" w:hanging="180"/>
        <w:rPr>
          <w:rFonts w:cs="Arial"/>
        </w:rPr>
      </w:pPr>
      <w:r w:rsidRPr="00DE00C5">
        <w:rPr>
          <w:rFonts w:cs="Arial"/>
          <w:b/>
          <w:bCs/>
          <w:noProof/>
        </w:rPr>
        <w:t>Compliance and Risk Management Culture:</w:t>
      </w:r>
      <w:r w:rsidRPr="00DE00C5">
        <w:rPr>
          <w:rFonts w:cs="Arial"/>
          <w:noProof/>
        </w:rPr>
        <w:t xml:space="preserve"> Management and employees commitment to risk management process, bonus culture that might reward excessive risk taking, clean business decission making, </w:t>
      </w:r>
      <w:r w:rsidRPr="00DE00C5">
        <w:rPr>
          <w:rFonts w:cs="Arial"/>
        </w:rPr>
        <w:t xml:space="preserve">messages and attitudes towards risk identification activities and mitigation strategies of risks, changes in mechanism for internal risk assessments and compliance incidents records and treatment. </w:t>
      </w:r>
    </w:p>
    <w:p w14:paraId="61F09EC8" w14:textId="77777777" w:rsidR="00DE00C5" w:rsidRPr="00DE00C5" w:rsidRDefault="00DE00C5" w:rsidP="00DE00C5">
      <w:pPr>
        <w:pStyle w:val="Listenabsatz"/>
        <w:numPr>
          <w:ilvl w:val="0"/>
          <w:numId w:val="47"/>
        </w:numPr>
        <w:spacing w:after="200" w:line="276" w:lineRule="auto"/>
        <w:ind w:left="202" w:hanging="180"/>
        <w:rPr>
          <w:rFonts w:cs="Arial"/>
        </w:rPr>
      </w:pPr>
      <w:r w:rsidRPr="00DE00C5">
        <w:rPr>
          <w:rFonts w:cs="Arial"/>
          <w:b/>
          <w:bCs/>
          <w:noProof/>
        </w:rPr>
        <w:t>People awareness and skills</w:t>
      </w:r>
      <w:r w:rsidRPr="00DE00C5">
        <w:rPr>
          <w:rFonts w:cs="Arial"/>
          <w:noProof/>
        </w:rPr>
        <w:t>: Deficiencies in employee training, skills and knowledge, available assigned resources and management oversight over compliance topics.</w:t>
      </w:r>
      <w:bookmarkEnd w:id="20"/>
    </w:p>
    <w:p w14:paraId="0D7EE626" w14:textId="670840E3" w:rsidR="00DE00C5" w:rsidRPr="00DE00C5" w:rsidRDefault="00DE00C5">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CF8E2" w14:textId="77777777" w:rsidR="002B267E" w:rsidRDefault="002B267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173BAD" w14:paraId="1C44B316" w14:textId="77777777" w:rsidTr="001B54EB">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1C44B312" w14:textId="77777777" w:rsidR="00173BAD" w:rsidRDefault="00173BAD">
          <w:pPr>
            <w:pStyle w:val="Kopfzeile"/>
            <w:ind w:left="-426"/>
          </w:pPr>
          <w:r>
            <w:t>z</w:t>
          </w:r>
        </w:p>
      </w:tc>
      <w:tc>
        <w:tcPr>
          <w:tcW w:w="624" w:type="dxa"/>
        </w:tcPr>
        <w:p w14:paraId="1C44B313" w14:textId="77777777" w:rsidR="00173BAD" w:rsidRDefault="00173BAD">
          <w:pPr>
            <w:pStyle w:val="Kopfzeile"/>
            <w:ind w:left="-641"/>
          </w:pPr>
        </w:p>
      </w:tc>
      <w:tc>
        <w:tcPr>
          <w:tcW w:w="9752" w:type="dxa"/>
        </w:tcPr>
        <w:p w14:paraId="1C44B314" w14:textId="77777777" w:rsidR="00173BAD" w:rsidRDefault="00173BAD">
          <w:pPr>
            <w:pStyle w:val="Kopfzeile"/>
          </w:pPr>
        </w:p>
      </w:tc>
      <w:tc>
        <w:tcPr>
          <w:tcW w:w="1173" w:type="dxa"/>
        </w:tcPr>
        <w:p w14:paraId="1C44B315" w14:textId="77777777" w:rsidR="00173BAD" w:rsidRDefault="00173BAD">
          <w:pPr>
            <w:pStyle w:val="Kopfzeile"/>
          </w:pPr>
        </w:p>
      </w:tc>
    </w:tr>
    <w:tr w:rsidR="00173BAD" w14:paraId="1C44B31B" w14:textId="77777777" w:rsidTr="001B54EB">
      <w:trPr>
        <w:cantSplit/>
        <w:trHeight w:hRule="exact" w:val="575"/>
      </w:trPr>
      <w:tc>
        <w:tcPr>
          <w:tcW w:w="1020" w:type="dxa"/>
        </w:tcPr>
        <w:p w14:paraId="1C44B317" w14:textId="77777777" w:rsidR="00173BAD" w:rsidRDefault="00173BAD">
          <w:pPr>
            <w:pStyle w:val="Fuzeile"/>
          </w:pPr>
        </w:p>
      </w:tc>
      <w:tc>
        <w:tcPr>
          <w:tcW w:w="624" w:type="dxa"/>
          <w:vAlign w:val="bottom"/>
        </w:tcPr>
        <w:p w14:paraId="1C44B318" w14:textId="77777777" w:rsidR="00173BAD" w:rsidRDefault="00173BAD">
          <w:pPr>
            <w:pStyle w:val="Fuzeile"/>
            <w:jc w:val="center"/>
          </w:pPr>
          <w:r>
            <w:rPr>
              <w:noProof/>
            </w:rPr>
            <w:drawing>
              <wp:inline distT="0" distB="0" distL="0" distR="0" wp14:anchorId="1C44B31E" wp14:editId="1C44B31F">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1C44B319" w14:textId="138D4EFA" w:rsidR="00173BAD" w:rsidRDefault="00173BAD" w:rsidP="00CA456D">
          <w:pPr>
            <w:pStyle w:val="Header"/>
          </w:pPr>
          <w:r>
            <w:t>Compliance Handbook | Part 3 | K: Compliance risk management and reviews | 2. Compliance Review Board</w:t>
          </w:r>
        </w:p>
      </w:tc>
      <w:tc>
        <w:tcPr>
          <w:tcW w:w="1173" w:type="dxa"/>
        </w:tcPr>
        <w:p w14:paraId="1C44B31A" w14:textId="77777777" w:rsidR="00173BAD" w:rsidRDefault="00173BAD">
          <w:pPr>
            <w:pStyle w:val="Header"/>
          </w:pPr>
        </w:p>
      </w:tc>
    </w:tr>
  </w:tbl>
  <w:p w14:paraId="1C44B31C" w14:textId="77777777" w:rsidR="00173BAD" w:rsidRDefault="00173BA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2EF11" w14:textId="77777777" w:rsidR="002B267E" w:rsidRDefault="002B267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2B62"/>
    <w:multiLevelType w:val="hybridMultilevel"/>
    <w:tmpl w:val="3168E878"/>
    <w:lvl w:ilvl="0" w:tplc="2684E0A6">
      <w:start w:val="1"/>
      <w:numFmt w:val="bullet"/>
      <w:lvlText w:val="-"/>
      <w:lvlJc w:val="left"/>
      <w:pPr>
        <w:ind w:left="720" w:hanging="360"/>
      </w:pPr>
      <w:rPr>
        <w:rFonts w:ascii="Arial" w:eastAsiaTheme="minorHAnsi" w:hAnsi="Arial" w:cs="Arial" w:hint="default"/>
        <w:b w:val="0"/>
      </w:rPr>
    </w:lvl>
    <w:lvl w:ilvl="1" w:tplc="2684E0A6">
      <w:start w:val="1"/>
      <w:numFmt w:val="bullet"/>
      <w:lvlText w:val="-"/>
      <w:lvlJc w:val="left"/>
      <w:pPr>
        <w:ind w:left="1440" w:hanging="360"/>
      </w:pPr>
      <w:rPr>
        <w:rFonts w:ascii="Arial" w:eastAsiaTheme="minorHAnsi" w:hAnsi="Arial" w:cs="Arial" w:hint="default"/>
        <w:b w:val="0"/>
      </w:rPr>
    </w:lvl>
    <w:lvl w:ilvl="2" w:tplc="32FEA096" w:tentative="1">
      <w:start w:val="1"/>
      <w:numFmt w:val="bullet"/>
      <w:lvlText w:val=""/>
      <w:lvlJc w:val="left"/>
      <w:pPr>
        <w:ind w:left="2160" w:hanging="360"/>
      </w:pPr>
      <w:rPr>
        <w:rFonts w:ascii="Wingdings" w:hAnsi="Wingdings" w:hint="default"/>
      </w:rPr>
    </w:lvl>
    <w:lvl w:ilvl="3" w:tplc="47841B2E" w:tentative="1">
      <w:start w:val="1"/>
      <w:numFmt w:val="bullet"/>
      <w:lvlText w:val=""/>
      <w:lvlJc w:val="left"/>
      <w:pPr>
        <w:ind w:left="2880" w:hanging="360"/>
      </w:pPr>
      <w:rPr>
        <w:rFonts w:ascii="Symbol" w:hAnsi="Symbol" w:hint="default"/>
      </w:rPr>
    </w:lvl>
    <w:lvl w:ilvl="4" w:tplc="133682DE" w:tentative="1">
      <w:start w:val="1"/>
      <w:numFmt w:val="bullet"/>
      <w:lvlText w:val="o"/>
      <w:lvlJc w:val="left"/>
      <w:pPr>
        <w:ind w:left="3600" w:hanging="360"/>
      </w:pPr>
      <w:rPr>
        <w:rFonts w:ascii="Courier New" w:hAnsi="Courier New" w:cs="Courier New" w:hint="default"/>
      </w:rPr>
    </w:lvl>
    <w:lvl w:ilvl="5" w:tplc="2280F91C" w:tentative="1">
      <w:start w:val="1"/>
      <w:numFmt w:val="bullet"/>
      <w:lvlText w:val=""/>
      <w:lvlJc w:val="left"/>
      <w:pPr>
        <w:ind w:left="4320" w:hanging="360"/>
      </w:pPr>
      <w:rPr>
        <w:rFonts w:ascii="Wingdings" w:hAnsi="Wingdings" w:hint="default"/>
      </w:rPr>
    </w:lvl>
    <w:lvl w:ilvl="6" w:tplc="6E38D370" w:tentative="1">
      <w:start w:val="1"/>
      <w:numFmt w:val="bullet"/>
      <w:lvlText w:val=""/>
      <w:lvlJc w:val="left"/>
      <w:pPr>
        <w:ind w:left="5040" w:hanging="360"/>
      </w:pPr>
      <w:rPr>
        <w:rFonts w:ascii="Symbol" w:hAnsi="Symbol" w:hint="default"/>
      </w:rPr>
    </w:lvl>
    <w:lvl w:ilvl="7" w:tplc="E63E951C" w:tentative="1">
      <w:start w:val="1"/>
      <w:numFmt w:val="bullet"/>
      <w:lvlText w:val="o"/>
      <w:lvlJc w:val="left"/>
      <w:pPr>
        <w:ind w:left="5760" w:hanging="360"/>
      </w:pPr>
      <w:rPr>
        <w:rFonts w:ascii="Courier New" w:hAnsi="Courier New" w:cs="Courier New" w:hint="default"/>
      </w:rPr>
    </w:lvl>
    <w:lvl w:ilvl="8" w:tplc="C2E663C2" w:tentative="1">
      <w:start w:val="1"/>
      <w:numFmt w:val="bullet"/>
      <w:lvlText w:val=""/>
      <w:lvlJc w:val="left"/>
      <w:pPr>
        <w:ind w:left="6480" w:hanging="360"/>
      </w:pPr>
      <w:rPr>
        <w:rFonts w:ascii="Wingdings" w:hAnsi="Wingdings" w:hint="default"/>
      </w:rPr>
    </w:lvl>
  </w:abstractNum>
  <w:abstractNum w:abstractNumId="1" w15:restartNumberingAfterBreak="0">
    <w:nsid w:val="069C464F"/>
    <w:multiLevelType w:val="hybridMultilevel"/>
    <w:tmpl w:val="E54E90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3"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33221BA"/>
    <w:multiLevelType w:val="hybridMultilevel"/>
    <w:tmpl w:val="DDCA08E8"/>
    <w:lvl w:ilvl="0" w:tplc="492EB750">
      <w:start w:val="1"/>
      <w:numFmt w:val="bullet"/>
      <w:lvlText w:val="-"/>
      <w:lvlJc w:val="left"/>
      <w:pPr>
        <w:ind w:left="720" w:hanging="360"/>
      </w:pPr>
      <w:rPr>
        <w:rFonts w:ascii="Arial" w:eastAsiaTheme="minorHAnsi" w:hAnsi="Arial" w:cs="Arial" w:hint="default"/>
        <w:b w:val="0"/>
      </w:rPr>
    </w:lvl>
    <w:lvl w:ilvl="1" w:tplc="0F105362">
      <w:start w:val="1"/>
      <w:numFmt w:val="bullet"/>
      <w:lvlText w:val="o"/>
      <w:lvlJc w:val="left"/>
      <w:pPr>
        <w:ind w:left="1440" w:hanging="360"/>
      </w:pPr>
      <w:rPr>
        <w:rFonts w:ascii="Courier New" w:hAnsi="Courier New" w:cs="Courier New" w:hint="default"/>
      </w:rPr>
    </w:lvl>
    <w:lvl w:ilvl="2" w:tplc="32FEA096" w:tentative="1">
      <w:start w:val="1"/>
      <w:numFmt w:val="bullet"/>
      <w:lvlText w:val=""/>
      <w:lvlJc w:val="left"/>
      <w:pPr>
        <w:ind w:left="2160" w:hanging="360"/>
      </w:pPr>
      <w:rPr>
        <w:rFonts w:ascii="Wingdings" w:hAnsi="Wingdings" w:hint="default"/>
      </w:rPr>
    </w:lvl>
    <w:lvl w:ilvl="3" w:tplc="47841B2E" w:tentative="1">
      <w:start w:val="1"/>
      <w:numFmt w:val="bullet"/>
      <w:lvlText w:val=""/>
      <w:lvlJc w:val="left"/>
      <w:pPr>
        <w:ind w:left="2880" w:hanging="360"/>
      </w:pPr>
      <w:rPr>
        <w:rFonts w:ascii="Symbol" w:hAnsi="Symbol" w:hint="default"/>
      </w:rPr>
    </w:lvl>
    <w:lvl w:ilvl="4" w:tplc="133682DE" w:tentative="1">
      <w:start w:val="1"/>
      <w:numFmt w:val="bullet"/>
      <w:lvlText w:val="o"/>
      <w:lvlJc w:val="left"/>
      <w:pPr>
        <w:ind w:left="3600" w:hanging="360"/>
      </w:pPr>
      <w:rPr>
        <w:rFonts w:ascii="Courier New" w:hAnsi="Courier New" w:cs="Courier New" w:hint="default"/>
      </w:rPr>
    </w:lvl>
    <w:lvl w:ilvl="5" w:tplc="2280F91C" w:tentative="1">
      <w:start w:val="1"/>
      <w:numFmt w:val="bullet"/>
      <w:lvlText w:val=""/>
      <w:lvlJc w:val="left"/>
      <w:pPr>
        <w:ind w:left="4320" w:hanging="360"/>
      </w:pPr>
      <w:rPr>
        <w:rFonts w:ascii="Wingdings" w:hAnsi="Wingdings" w:hint="default"/>
      </w:rPr>
    </w:lvl>
    <w:lvl w:ilvl="6" w:tplc="6E38D370" w:tentative="1">
      <w:start w:val="1"/>
      <w:numFmt w:val="bullet"/>
      <w:lvlText w:val=""/>
      <w:lvlJc w:val="left"/>
      <w:pPr>
        <w:ind w:left="5040" w:hanging="360"/>
      </w:pPr>
      <w:rPr>
        <w:rFonts w:ascii="Symbol" w:hAnsi="Symbol" w:hint="default"/>
      </w:rPr>
    </w:lvl>
    <w:lvl w:ilvl="7" w:tplc="E63E951C" w:tentative="1">
      <w:start w:val="1"/>
      <w:numFmt w:val="bullet"/>
      <w:lvlText w:val="o"/>
      <w:lvlJc w:val="left"/>
      <w:pPr>
        <w:ind w:left="5760" w:hanging="360"/>
      </w:pPr>
      <w:rPr>
        <w:rFonts w:ascii="Courier New" w:hAnsi="Courier New" w:cs="Courier New" w:hint="default"/>
      </w:rPr>
    </w:lvl>
    <w:lvl w:ilvl="8" w:tplc="C2E663C2" w:tentative="1">
      <w:start w:val="1"/>
      <w:numFmt w:val="bullet"/>
      <w:lvlText w:val=""/>
      <w:lvlJc w:val="left"/>
      <w:pPr>
        <w:ind w:left="6480" w:hanging="360"/>
      </w:pPr>
      <w:rPr>
        <w:rFonts w:ascii="Wingdings" w:hAnsi="Wingdings" w:hint="default"/>
      </w:rPr>
    </w:lvl>
  </w:abstractNum>
  <w:abstractNum w:abstractNumId="5" w15:restartNumberingAfterBreak="0">
    <w:nsid w:val="17857F67"/>
    <w:multiLevelType w:val="hybridMultilevel"/>
    <w:tmpl w:val="5824EF12"/>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6" w15:restartNumberingAfterBreak="0">
    <w:nsid w:val="195807C9"/>
    <w:multiLevelType w:val="multilevel"/>
    <w:tmpl w:val="F328F412"/>
    <w:lvl w:ilvl="0">
      <w:start w:val="2"/>
      <w:numFmt w:val="decimal"/>
      <w:lvlText w:val="%1."/>
      <w:lvlJc w:val="left"/>
      <w:pPr>
        <w:ind w:left="1080" w:hanging="720"/>
      </w:pPr>
      <w:rPr>
        <w:rFonts w:hint="default"/>
      </w:rPr>
    </w:lvl>
    <w:lvl w:ilvl="1">
      <w:start w:val="3"/>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AE162D0"/>
    <w:multiLevelType w:val="hybridMultilevel"/>
    <w:tmpl w:val="D9505F36"/>
    <w:lvl w:ilvl="0" w:tplc="2684E0A6">
      <w:start w:val="1"/>
      <w:numFmt w:val="bullet"/>
      <w:lvlText w:val="-"/>
      <w:lvlJc w:val="left"/>
      <w:pPr>
        <w:ind w:left="720" w:hanging="360"/>
      </w:pPr>
      <w:rPr>
        <w:rFonts w:ascii="Arial" w:eastAsiaTheme="minorHAnsi" w:hAnsi="Arial" w:cs="Arial" w:hint="default"/>
        <w:b w:val="0"/>
      </w:rPr>
    </w:lvl>
    <w:lvl w:ilvl="1" w:tplc="0F105362">
      <w:start w:val="1"/>
      <w:numFmt w:val="bullet"/>
      <w:lvlText w:val="o"/>
      <w:lvlJc w:val="left"/>
      <w:pPr>
        <w:ind w:left="1440" w:hanging="360"/>
      </w:pPr>
      <w:rPr>
        <w:rFonts w:ascii="Courier New" w:hAnsi="Courier New" w:cs="Courier New" w:hint="default"/>
      </w:rPr>
    </w:lvl>
    <w:lvl w:ilvl="2" w:tplc="32FEA096" w:tentative="1">
      <w:start w:val="1"/>
      <w:numFmt w:val="bullet"/>
      <w:lvlText w:val=""/>
      <w:lvlJc w:val="left"/>
      <w:pPr>
        <w:ind w:left="2160" w:hanging="360"/>
      </w:pPr>
      <w:rPr>
        <w:rFonts w:ascii="Wingdings" w:hAnsi="Wingdings" w:hint="default"/>
      </w:rPr>
    </w:lvl>
    <w:lvl w:ilvl="3" w:tplc="47841B2E" w:tentative="1">
      <w:start w:val="1"/>
      <w:numFmt w:val="bullet"/>
      <w:lvlText w:val=""/>
      <w:lvlJc w:val="left"/>
      <w:pPr>
        <w:ind w:left="2880" w:hanging="360"/>
      </w:pPr>
      <w:rPr>
        <w:rFonts w:ascii="Symbol" w:hAnsi="Symbol" w:hint="default"/>
      </w:rPr>
    </w:lvl>
    <w:lvl w:ilvl="4" w:tplc="133682DE" w:tentative="1">
      <w:start w:val="1"/>
      <w:numFmt w:val="bullet"/>
      <w:lvlText w:val="o"/>
      <w:lvlJc w:val="left"/>
      <w:pPr>
        <w:ind w:left="3600" w:hanging="360"/>
      </w:pPr>
      <w:rPr>
        <w:rFonts w:ascii="Courier New" w:hAnsi="Courier New" w:cs="Courier New" w:hint="default"/>
      </w:rPr>
    </w:lvl>
    <w:lvl w:ilvl="5" w:tplc="2280F91C" w:tentative="1">
      <w:start w:val="1"/>
      <w:numFmt w:val="bullet"/>
      <w:lvlText w:val=""/>
      <w:lvlJc w:val="left"/>
      <w:pPr>
        <w:ind w:left="4320" w:hanging="360"/>
      </w:pPr>
      <w:rPr>
        <w:rFonts w:ascii="Wingdings" w:hAnsi="Wingdings" w:hint="default"/>
      </w:rPr>
    </w:lvl>
    <w:lvl w:ilvl="6" w:tplc="6E38D370" w:tentative="1">
      <w:start w:val="1"/>
      <w:numFmt w:val="bullet"/>
      <w:lvlText w:val=""/>
      <w:lvlJc w:val="left"/>
      <w:pPr>
        <w:ind w:left="5040" w:hanging="360"/>
      </w:pPr>
      <w:rPr>
        <w:rFonts w:ascii="Symbol" w:hAnsi="Symbol" w:hint="default"/>
      </w:rPr>
    </w:lvl>
    <w:lvl w:ilvl="7" w:tplc="E63E951C" w:tentative="1">
      <w:start w:val="1"/>
      <w:numFmt w:val="bullet"/>
      <w:lvlText w:val="o"/>
      <w:lvlJc w:val="left"/>
      <w:pPr>
        <w:ind w:left="5760" w:hanging="360"/>
      </w:pPr>
      <w:rPr>
        <w:rFonts w:ascii="Courier New" w:hAnsi="Courier New" w:cs="Courier New" w:hint="default"/>
      </w:rPr>
    </w:lvl>
    <w:lvl w:ilvl="8" w:tplc="C2E663C2" w:tentative="1">
      <w:start w:val="1"/>
      <w:numFmt w:val="bullet"/>
      <w:lvlText w:val=""/>
      <w:lvlJc w:val="left"/>
      <w:pPr>
        <w:ind w:left="6480" w:hanging="360"/>
      </w:pPr>
      <w:rPr>
        <w:rFonts w:ascii="Wingdings" w:hAnsi="Wingdings" w:hint="default"/>
      </w:rPr>
    </w:lvl>
  </w:abstractNum>
  <w:abstractNum w:abstractNumId="8" w15:restartNumberingAfterBreak="0">
    <w:nsid w:val="1CDE3896"/>
    <w:multiLevelType w:val="multilevel"/>
    <w:tmpl w:val="F328F412"/>
    <w:lvl w:ilvl="0">
      <w:start w:val="2"/>
      <w:numFmt w:val="decimal"/>
      <w:lvlText w:val="%1."/>
      <w:lvlJc w:val="left"/>
      <w:pPr>
        <w:ind w:left="1080" w:hanging="720"/>
      </w:pPr>
      <w:rPr>
        <w:rFonts w:hint="default"/>
      </w:rPr>
    </w:lvl>
    <w:lvl w:ilvl="1">
      <w:start w:val="3"/>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B620358"/>
    <w:multiLevelType w:val="hybridMultilevel"/>
    <w:tmpl w:val="EF149A00"/>
    <w:lvl w:ilvl="0" w:tplc="CD0E241E">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B15AD8"/>
    <w:multiLevelType w:val="multilevel"/>
    <w:tmpl w:val="F328F412"/>
    <w:lvl w:ilvl="0">
      <w:start w:val="2"/>
      <w:numFmt w:val="decimal"/>
      <w:lvlText w:val="%1."/>
      <w:lvlJc w:val="left"/>
      <w:pPr>
        <w:ind w:left="1080" w:hanging="720"/>
      </w:pPr>
      <w:rPr>
        <w:rFonts w:hint="default"/>
      </w:rPr>
    </w:lvl>
    <w:lvl w:ilvl="1">
      <w:start w:val="3"/>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13A3C4D"/>
    <w:multiLevelType w:val="multilevel"/>
    <w:tmpl w:val="F328F412"/>
    <w:lvl w:ilvl="0">
      <w:start w:val="2"/>
      <w:numFmt w:val="decimal"/>
      <w:lvlText w:val="%1."/>
      <w:lvlJc w:val="left"/>
      <w:pPr>
        <w:ind w:left="1080" w:hanging="720"/>
      </w:pPr>
      <w:rPr>
        <w:rFonts w:hint="default"/>
      </w:rPr>
    </w:lvl>
    <w:lvl w:ilvl="1">
      <w:start w:val="3"/>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75D33C9"/>
    <w:multiLevelType w:val="hybridMultilevel"/>
    <w:tmpl w:val="C694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F975D5"/>
    <w:multiLevelType w:val="hybridMultilevel"/>
    <w:tmpl w:val="62A4C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15" w15:restartNumberingAfterBreak="0">
    <w:nsid w:val="475603DC"/>
    <w:multiLevelType w:val="multilevel"/>
    <w:tmpl w:val="F328F412"/>
    <w:lvl w:ilvl="0">
      <w:start w:val="2"/>
      <w:numFmt w:val="decimal"/>
      <w:lvlText w:val="%1."/>
      <w:lvlJc w:val="left"/>
      <w:pPr>
        <w:ind w:left="1080" w:hanging="720"/>
      </w:pPr>
      <w:rPr>
        <w:rFonts w:hint="default"/>
      </w:rPr>
    </w:lvl>
    <w:lvl w:ilvl="1">
      <w:start w:val="3"/>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7B06CD1"/>
    <w:multiLevelType w:val="hybridMultilevel"/>
    <w:tmpl w:val="E8BE5AF6"/>
    <w:lvl w:ilvl="0" w:tplc="B4ACC7D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EC1CD9"/>
    <w:multiLevelType w:val="multilevel"/>
    <w:tmpl w:val="F328F412"/>
    <w:lvl w:ilvl="0">
      <w:start w:val="2"/>
      <w:numFmt w:val="decimal"/>
      <w:lvlText w:val="%1."/>
      <w:lvlJc w:val="left"/>
      <w:pPr>
        <w:ind w:left="1080" w:hanging="720"/>
      </w:pPr>
      <w:rPr>
        <w:rFonts w:hint="default"/>
      </w:rPr>
    </w:lvl>
    <w:lvl w:ilvl="1">
      <w:start w:val="3"/>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E333D51"/>
    <w:multiLevelType w:val="multilevel"/>
    <w:tmpl w:val="F328F412"/>
    <w:lvl w:ilvl="0">
      <w:start w:val="2"/>
      <w:numFmt w:val="decimal"/>
      <w:lvlText w:val="%1."/>
      <w:lvlJc w:val="left"/>
      <w:pPr>
        <w:ind w:left="1080" w:hanging="720"/>
      </w:pPr>
      <w:rPr>
        <w:rFonts w:hint="default"/>
      </w:rPr>
    </w:lvl>
    <w:lvl w:ilvl="1">
      <w:start w:val="3"/>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3F522F6"/>
    <w:multiLevelType w:val="hybridMultilevel"/>
    <w:tmpl w:val="DD5A6E00"/>
    <w:lvl w:ilvl="0" w:tplc="747E762A">
      <w:start w:val="1"/>
      <w:numFmt w:val="bullet"/>
      <w:lvlText w:val="→"/>
      <w:lvlJc w:val="left"/>
      <w:pPr>
        <w:tabs>
          <w:tab w:val="num" w:pos="720"/>
        </w:tabs>
        <w:ind w:left="720" w:hanging="360"/>
      </w:pPr>
      <w:rPr>
        <w:rFonts w:ascii="Arial" w:hAnsi="Arial" w:hint="default"/>
      </w:rPr>
    </w:lvl>
    <w:lvl w:ilvl="1" w:tplc="97481AD6" w:tentative="1">
      <w:start w:val="1"/>
      <w:numFmt w:val="bullet"/>
      <w:lvlText w:val="→"/>
      <w:lvlJc w:val="left"/>
      <w:pPr>
        <w:tabs>
          <w:tab w:val="num" w:pos="1440"/>
        </w:tabs>
        <w:ind w:left="1440" w:hanging="360"/>
      </w:pPr>
      <w:rPr>
        <w:rFonts w:ascii="Arial" w:hAnsi="Arial" w:hint="default"/>
      </w:rPr>
    </w:lvl>
    <w:lvl w:ilvl="2" w:tplc="F4002918" w:tentative="1">
      <w:start w:val="1"/>
      <w:numFmt w:val="bullet"/>
      <w:lvlText w:val="→"/>
      <w:lvlJc w:val="left"/>
      <w:pPr>
        <w:tabs>
          <w:tab w:val="num" w:pos="2160"/>
        </w:tabs>
        <w:ind w:left="2160" w:hanging="360"/>
      </w:pPr>
      <w:rPr>
        <w:rFonts w:ascii="Arial" w:hAnsi="Arial" w:hint="default"/>
      </w:rPr>
    </w:lvl>
    <w:lvl w:ilvl="3" w:tplc="DC380FD6" w:tentative="1">
      <w:start w:val="1"/>
      <w:numFmt w:val="bullet"/>
      <w:lvlText w:val="→"/>
      <w:lvlJc w:val="left"/>
      <w:pPr>
        <w:tabs>
          <w:tab w:val="num" w:pos="2880"/>
        </w:tabs>
        <w:ind w:left="2880" w:hanging="360"/>
      </w:pPr>
      <w:rPr>
        <w:rFonts w:ascii="Arial" w:hAnsi="Arial" w:hint="default"/>
      </w:rPr>
    </w:lvl>
    <w:lvl w:ilvl="4" w:tplc="FFE829DC" w:tentative="1">
      <w:start w:val="1"/>
      <w:numFmt w:val="bullet"/>
      <w:lvlText w:val="→"/>
      <w:lvlJc w:val="left"/>
      <w:pPr>
        <w:tabs>
          <w:tab w:val="num" w:pos="3600"/>
        </w:tabs>
        <w:ind w:left="3600" w:hanging="360"/>
      </w:pPr>
      <w:rPr>
        <w:rFonts w:ascii="Arial" w:hAnsi="Arial" w:hint="default"/>
      </w:rPr>
    </w:lvl>
    <w:lvl w:ilvl="5" w:tplc="45345DC4" w:tentative="1">
      <w:start w:val="1"/>
      <w:numFmt w:val="bullet"/>
      <w:lvlText w:val="→"/>
      <w:lvlJc w:val="left"/>
      <w:pPr>
        <w:tabs>
          <w:tab w:val="num" w:pos="4320"/>
        </w:tabs>
        <w:ind w:left="4320" w:hanging="360"/>
      </w:pPr>
      <w:rPr>
        <w:rFonts w:ascii="Arial" w:hAnsi="Arial" w:hint="default"/>
      </w:rPr>
    </w:lvl>
    <w:lvl w:ilvl="6" w:tplc="C520DF26" w:tentative="1">
      <w:start w:val="1"/>
      <w:numFmt w:val="bullet"/>
      <w:lvlText w:val="→"/>
      <w:lvlJc w:val="left"/>
      <w:pPr>
        <w:tabs>
          <w:tab w:val="num" w:pos="5040"/>
        </w:tabs>
        <w:ind w:left="5040" w:hanging="360"/>
      </w:pPr>
      <w:rPr>
        <w:rFonts w:ascii="Arial" w:hAnsi="Arial" w:hint="default"/>
      </w:rPr>
    </w:lvl>
    <w:lvl w:ilvl="7" w:tplc="501EED42" w:tentative="1">
      <w:start w:val="1"/>
      <w:numFmt w:val="bullet"/>
      <w:lvlText w:val="→"/>
      <w:lvlJc w:val="left"/>
      <w:pPr>
        <w:tabs>
          <w:tab w:val="num" w:pos="5760"/>
        </w:tabs>
        <w:ind w:left="5760" w:hanging="360"/>
      </w:pPr>
      <w:rPr>
        <w:rFonts w:ascii="Arial" w:hAnsi="Arial" w:hint="default"/>
      </w:rPr>
    </w:lvl>
    <w:lvl w:ilvl="8" w:tplc="A166752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644249E"/>
    <w:multiLevelType w:val="multilevel"/>
    <w:tmpl w:val="F328F412"/>
    <w:lvl w:ilvl="0">
      <w:start w:val="2"/>
      <w:numFmt w:val="decimal"/>
      <w:lvlText w:val="%1."/>
      <w:lvlJc w:val="left"/>
      <w:pPr>
        <w:ind w:left="1080" w:hanging="720"/>
      </w:pPr>
      <w:rPr>
        <w:rFonts w:hint="default"/>
      </w:rPr>
    </w:lvl>
    <w:lvl w:ilvl="1">
      <w:start w:val="3"/>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84521F1"/>
    <w:multiLevelType w:val="multilevel"/>
    <w:tmpl w:val="F328F412"/>
    <w:lvl w:ilvl="0">
      <w:start w:val="2"/>
      <w:numFmt w:val="decimal"/>
      <w:lvlText w:val="%1."/>
      <w:lvlJc w:val="left"/>
      <w:pPr>
        <w:ind w:left="1080" w:hanging="720"/>
      </w:pPr>
      <w:rPr>
        <w:rFonts w:hint="default"/>
      </w:rPr>
    </w:lvl>
    <w:lvl w:ilvl="1">
      <w:start w:val="3"/>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01D04F7"/>
    <w:multiLevelType w:val="multilevel"/>
    <w:tmpl w:val="F328F412"/>
    <w:lvl w:ilvl="0">
      <w:start w:val="2"/>
      <w:numFmt w:val="decimal"/>
      <w:lvlText w:val="%1."/>
      <w:lvlJc w:val="left"/>
      <w:pPr>
        <w:ind w:left="1080" w:hanging="720"/>
      </w:pPr>
      <w:rPr>
        <w:rFonts w:hint="default"/>
      </w:rPr>
    </w:lvl>
    <w:lvl w:ilvl="1">
      <w:start w:val="3"/>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3BE45F4"/>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4D0C5F"/>
    <w:multiLevelType w:val="hybridMultilevel"/>
    <w:tmpl w:val="369C8CF0"/>
    <w:lvl w:ilvl="0" w:tplc="1C36B646">
      <w:numFmt w:val="bullet"/>
      <w:lvlText w:val=""/>
      <w:lvlJc w:val="left"/>
      <w:pPr>
        <w:ind w:left="720" w:hanging="360"/>
      </w:pPr>
      <w:rPr>
        <w:rFonts w:ascii="Wingdings" w:eastAsia="Calibr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6" w15:restartNumberingAfterBreak="0">
    <w:nsid w:val="697875B3"/>
    <w:multiLevelType w:val="hybridMultilevel"/>
    <w:tmpl w:val="3892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B6301"/>
    <w:multiLevelType w:val="hybridMultilevel"/>
    <w:tmpl w:val="CCBA7F16"/>
    <w:lvl w:ilvl="0" w:tplc="65CCE0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9" w15:restartNumberingAfterBreak="0">
    <w:nsid w:val="7CBB5A98"/>
    <w:multiLevelType w:val="hybridMultilevel"/>
    <w:tmpl w:val="95009684"/>
    <w:lvl w:ilvl="0" w:tplc="D64006FA">
      <w:start w:val="1"/>
      <w:numFmt w:val="bullet"/>
      <w:lvlText w:val=""/>
      <w:lvlJc w:val="left"/>
      <w:pPr>
        <w:ind w:left="720" w:hanging="360"/>
      </w:pPr>
      <w:rPr>
        <w:rFonts w:ascii="Symbol" w:hAnsi="Symbol" w:hint="default"/>
      </w:rPr>
    </w:lvl>
    <w:lvl w:ilvl="1" w:tplc="14066DFE" w:tentative="1">
      <w:start w:val="1"/>
      <w:numFmt w:val="bullet"/>
      <w:lvlText w:val="o"/>
      <w:lvlJc w:val="left"/>
      <w:pPr>
        <w:ind w:left="1440" w:hanging="360"/>
      </w:pPr>
      <w:rPr>
        <w:rFonts w:ascii="Courier New" w:hAnsi="Courier New" w:cs="Courier New" w:hint="default"/>
      </w:rPr>
    </w:lvl>
    <w:lvl w:ilvl="2" w:tplc="0616E942" w:tentative="1">
      <w:start w:val="1"/>
      <w:numFmt w:val="bullet"/>
      <w:lvlText w:val=""/>
      <w:lvlJc w:val="left"/>
      <w:pPr>
        <w:ind w:left="2160" w:hanging="360"/>
      </w:pPr>
      <w:rPr>
        <w:rFonts w:ascii="Wingdings" w:hAnsi="Wingdings" w:hint="default"/>
      </w:rPr>
    </w:lvl>
    <w:lvl w:ilvl="3" w:tplc="2084AC7E" w:tentative="1">
      <w:start w:val="1"/>
      <w:numFmt w:val="bullet"/>
      <w:lvlText w:val=""/>
      <w:lvlJc w:val="left"/>
      <w:pPr>
        <w:ind w:left="2880" w:hanging="360"/>
      </w:pPr>
      <w:rPr>
        <w:rFonts w:ascii="Symbol" w:hAnsi="Symbol" w:hint="default"/>
      </w:rPr>
    </w:lvl>
    <w:lvl w:ilvl="4" w:tplc="CE82CCB6" w:tentative="1">
      <w:start w:val="1"/>
      <w:numFmt w:val="bullet"/>
      <w:lvlText w:val="o"/>
      <w:lvlJc w:val="left"/>
      <w:pPr>
        <w:ind w:left="3600" w:hanging="360"/>
      </w:pPr>
      <w:rPr>
        <w:rFonts w:ascii="Courier New" w:hAnsi="Courier New" w:cs="Courier New" w:hint="default"/>
      </w:rPr>
    </w:lvl>
    <w:lvl w:ilvl="5" w:tplc="FE68981A" w:tentative="1">
      <w:start w:val="1"/>
      <w:numFmt w:val="bullet"/>
      <w:lvlText w:val=""/>
      <w:lvlJc w:val="left"/>
      <w:pPr>
        <w:ind w:left="4320" w:hanging="360"/>
      </w:pPr>
      <w:rPr>
        <w:rFonts w:ascii="Wingdings" w:hAnsi="Wingdings" w:hint="default"/>
      </w:rPr>
    </w:lvl>
    <w:lvl w:ilvl="6" w:tplc="AF9678C4" w:tentative="1">
      <w:start w:val="1"/>
      <w:numFmt w:val="bullet"/>
      <w:lvlText w:val=""/>
      <w:lvlJc w:val="left"/>
      <w:pPr>
        <w:ind w:left="5040" w:hanging="360"/>
      </w:pPr>
      <w:rPr>
        <w:rFonts w:ascii="Symbol" w:hAnsi="Symbol" w:hint="default"/>
      </w:rPr>
    </w:lvl>
    <w:lvl w:ilvl="7" w:tplc="64384502" w:tentative="1">
      <w:start w:val="1"/>
      <w:numFmt w:val="bullet"/>
      <w:lvlText w:val="o"/>
      <w:lvlJc w:val="left"/>
      <w:pPr>
        <w:ind w:left="5760" w:hanging="360"/>
      </w:pPr>
      <w:rPr>
        <w:rFonts w:ascii="Courier New" w:hAnsi="Courier New" w:cs="Courier New" w:hint="default"/>
      </w:rPr>
    </w:lvl>
    <w:lvl w:ilvl="8" w:tplc="C5444C02" w:tentative="1">
      <w:start w:val="1"/>
      <w:numFmt w:val="bullet"/>
      <w:lvlText w:val=""/>
      <w:lvlJc w:val="left"/>
      <w:pPr>
        <w:ind w:left="6480" w:hanging="360"/>
      </w:pPr>
      <w:rPr>
        <w:rFonts w:ascii="Wingdings" w:hAnsi="Wingdings" w:hint="default"/>
      </w:rPr>
    </w:lvl>
  </w:abstractNum>
  <w:abstractNum w:abstractNumId="30" w15:restartNumberingAfterBreak="0">
    <w:nsid w:val="7E9B54B1"/>
    <w:multiLevelType w:val="hybridMultilevel"/>
    <w:tmpl w:val="4F861786"/>
    <w:lvl w:ilvl="0" w:tplc="5A5CEED4">
      <w:start w:val="1"/>
      <w:numFmt w:val="decimal"/>
      <w:lvlText w:val="%1."/>
      <w:lvlJc w:val="left"/>
      <w:pPr>
        <w:ind w:left="885" w:hanging="52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3"/>
  </w:num>
  <w:num w:numId="3">
    <w:abstractNumId w:val="28"/>
  </w:num>
  <w:num w:numId="4">
    <w:abstractNumId w:val="14"/>
  </w:num>
  <w:num w:numId="5">
    <w:abstractNumId w:val="17"/>
  </w:num>
  <w:num w:numId="6">
    <w:abstractNumId w:val="2"/>
  </w:num>
  <w:num w:numId="7">
    <w:abstractNumId w:val="28"/>
  </w:num>
  <w:num w:numId="8">
    <w:abstractNumId w:val="28"/>
  </w:num>
  <w:num w:numId="9">
    <w:abstractNumId w:val="28"/>
  </w:num>
  <w:num w:numId="10">
    <w:abstractNumId w:val="28"/>
  </w:num>
  <w:num w:numId="11">
    <w:abstractNumId w:val="28"/>
  </w:num>
  <w:num w:numId="12">
    <w:abstractNumId w:val="28"/>
  </w:num>
  <w:num w:numId="1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3"/>
  </w:num>
  <w:num w:numId="16">
    <w:abstractNumId w:val="12"/>
  </w:num>
  <w:num w:numId="17">
    <w:abstractNumId w:val="5"/>
  </w:num>
  <w:num w:numId="18">
    <w:abstractNumId w:val="5"/>
  </w:num>
  <w:num w:numId="19">
    <w:abstractNumId w:val="5"/>
  </w:num>
  <w:num w:numId="20">
    <w:abstractNumId w:val="24"/>
  </w:num>
  <w:num w:numId="21">
    <w:abstractNumId w:val="5"/>
  </w:num>
  <w:num w:numId="22">
    <w:abstractNumId w:val="5"/>
  </w:num>
  <w:num w:numId="23">
    <w:abstractNumId w:val="5"/>
  </w:num>
  <w:num w:numId="24">
    <w:abstractNumId w:val="14"/>
  </w:num>
  <w:num w:numId="25">
    <w:abstractNumId w:val="20"/>
  </w:num>
  <w:num w:numId="26">
    <w:abstractNumId w:val="28"/>
  </w:num>
  <w:num w:numId="27">
    <w:abstractNumId w:val="28"/>
  </w:num>
  <w:num w:numId="28">
    <w:abstractNumId w:val="28"/>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num>
  <w:num w:numId="31">
    <w:abstractNumId w:val="29"/>
  </w:num>
  <w:num w:numId="32">
    <w:abstractNumId w:val="7"/>
  </w:num>
  <w:num w:numId="33">
    <w:abstractNumId w:val="4"/>
  </w:num>
  <w:num w:numId="34">
    <w:abstractNumId w:val="19"/>
  </w:num>
  <w:num w:numId="35">
    <w:abstractNumId w:val="21"/>
  </w:num>
  <w:num w:numId="36">
    <w:abstractNumId w:val="18"/>
  </w:num>
  <w:num w:numId="37">
    <w:abstractNumId w:val="10"/>
  </w:num>
  <w:num w:numId="38">
    <w:abstractNumId w:val="6"/>
  </w:num>
  <w:num w:numId="39">
    <w:abstractNumId w:val="15"/>
  </w:num>
  <w:num w:numId="40">
    <w:abstractNumId w:val="11"/>
  </w:num>
  <w:num w:numId="41">
    <w:abstractNumId w:val="22"/>
  </w:num>
  <w:num w:numId="42">
    <w:abstractNumId w:val="8"/>
  </w:num>
  <w:num w:numId="43">
    <w:abstractNumId w:val="23"/>
  </w:num>
  <w:num w:numId="44">
    <w:abstractNumId w:val="26"/>
  </w:num>
  <w:num w:numId="45">
    <w:abstractNumId w:val="9"/>
  </w:num>
  <w:num w:numId="46">
    <w:abstractNumId w:val="0"/>
  </w:num>
  <w:num w:numId="47">
    <w:abstractNumId w:val="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usen, Marina (LC CO EX RP)">
    <w15:presenceInfo w15:providerId="AD" w15:userId="S::marina.hausen@siemens.com::7657703a-cd49-4d92-83ed-26298f8874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EB"/>
    <w:rsid w:val="00012BB1"/>
    <w:rsid w:val="00020D0B"/>
    <w:rsid w:val="0003248B"/>
    <w:rsid w:val="00037CCD"/>
    <w:rsid w:val="00061BB4"/>
    <w:rsid w:val="00067ADE"/>
    <w:rsid w:val="00082E18"/>
    <w:rsid w:val="000D1EBF"/>
    <w:rsid w:val="000D438B"/>
    <w:rsid w:val="000E53AF"/>
    <w:rsid w:val="001204D3"/>
    <w:rsid w:val="00173BAD"/>
    <w:rsid w:val="001B54EB"/>
    <w:rsid w:val="00200E25"/>
    <w:rsid w:val="002171A9"/>
    <w:rsid w:val="00243ECE"/>
    <w:rsid w:val="002913D4"/>
    <w:rsid w:val="002B267E"/>
    <w:rsid w:val="00301A6A"/>
    <w:rsid w:val="00307DAE"/>
    <w:rsid w:val="003B68B8"/>
    <w:rsid w:val="003D118A"/>
    <w:rsid w:val="003E5F34"/>
    <w:rsid w:val="003F3D55"/>
    <w:rsid w:val="004448E9"/>
    <w:rsid w:val="00530774"/>
    <w:rsid w:val="0055208D"/>
    <w:rsid w:val="00554757"/>
    <w:rsid w:val="00561D7E"/>
    <w:rsid w:val="005637E8"/>
    <w:rsid w:val="005F4C68"/>
    <w:rsid w:val="00650094"/>
    <w:rsid w:val="006873F3"/>
    <w:rsid w:val="00687484"/>
    <w:rsid w:val="006B1963"/>
    <w:rsid w:val="00733148"/>
    <w:rsid w:val="007F0EDD"/>
    <w:rsid w:val="00870F57"/>
    <w:rsid w:val="00886EEE"/>
    <w:rsid w:val="00932F35"/>
    <w:rsid w:val="00973B28"/>
    <w:rsid w:val="009A4465"/>
    <w:rsid w:val="009A6F10"/>
    <w:rsid w:val="009E2D5C"/>
    <w:rsid w:val="009E5C72"/>
    <w:rsid w:val="00A10603"/>
    <w:rsid w:val="00A812FA"/>
    <w:rsid w:val="00AB23AD"/>
    <w:rsid w:val="00AC6AB4"/>
    <w:rsid w:val="00BF4472"/>
    <w:rsid w:val="00C01770"/>
    <w:rsid w:val="00C224CB"/>
    <w:rsid w:val="00C2617D"/>
    <w:rsid w:val="00C43817"/>
    <w:rsid w:val="00C61945"/>
    <w:rsid w:val="00C66FF1"/>
    <w:rsid w:val="00C97C2E"/>
    <w:rsid w:val="00CA456D"/>
    <w:rsid w:val="00CA7A25"/>
    <w:rsid w:val="00D00E76"/>
    <w:rsid w:val="00D8054F"/>
    <w:rsid w:val="00DC6BA6"/>
    <w:rsid w:val="00DE00C5"/>
    <w:rsid w:val="00E344F9"/>
    <w:rsid w:val="00E636FB"/>
    <w:rsid w:val="00E87766"/>
    <w:rsid w:val="00EA221B"/>
    <w:rsid w:val="00F614D4"/>
    <w:rsid w:val="00F72F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1C44B10B"/>
  <w15:docId w15:val="{FC65C0D2-88DF-47E9-8B59-FAAF4D76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pPr>
      <w:spacing w:after="140" w:line="300" w:lineRule="auto"/>
    </w:pPr>
    <w:rPr>
      <w:sz w:val="20"/>
    </w:rPr>
  </w:style>
  <w:style w:type="paragraph" w:styleId="berschrift1">
    <w:name w:val="heading 1"/>
    <w:aliases w:val="_Headline 18 pt"/>
    <w:basedOn w:val="Standard"/>
    <w:next w:val="Standard"/>
    <w:link w:val="berschrift1Zchn"/>
    <w:uiPriority w:val="9"/>
    <w:qFormat/>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
    <w:next w:val="Standard"/>
    <w:link w:val="berschrift2Zchn"/>
    <w:uiPriority w:val="9"/>
    <w:unhideWhenUsed/>
    <w:qFormat/>
    <w:pPr>
      <w:keepNext/>
      <w:keepLines/>
      <w:spacing w:before="360" w:after="48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
    <w:next w:val="Standard"/>
    <w:link w:val="berschrift3Zchn"/>
    <w:uiPriority w:val="9"/>
    <w:unhideWhenUsed/>
    <w:qFormat/>
    <w:pPr>
      <w:spacing w:before="200"/>
      <w:outlineLvl w:val="2"/>
    </w:pPr>
    <w:rPr>
      <w:rFonts w:eastAsiaTheme="majorEastAsia" w:cstheme="majorBidi"/>
      <w:b/>
      <w:color w:val="006487" w:themeColor="accent3"/>
      <w:szCs w:val="26"/>
    </w:rPr>
  </w:style>
  <w:style w:type="paragraph" w:styleId="berschrift4">
    <w:name w:val="heading 4"/>
    <w:aliases w:val="_"/>
    <w:basedOn w:val="berschrift3"/>
    <w:next w:val="KeinAbsatzformat"/>
    <w:link w:val="berschrift4Zchn"/>
    <w:uiPriority w:val="9"/>
    <w:unhideWhenUsed/>
    <w:qFormat/>
    <w:pPr>
      <w:outlineLvl w:val="3"/>
    </w:pPr>
    <w:rPr>
      <w:bCs/>
      <w:iCs/>
    </w:rPr>
  </w:style>
  <w:style w:type="paragraph" w:styleId="berschrift5">
    <w:name w:val="heading 5"/>
    <w:basedOn w:val="berschrift3"/>
    <w:next w:val="KeinAbsatzformat"/>
    <w:link w:val="berschrift5Zchn"/>
    <w:uiPriority w:val="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
    <w:unhideWhenUsed/>
    <w:qFormat/>
    <w:pPr>
      <w:keepNext/>
      <w:keepLines/>
      <w:outlineLvl w:val="5"/>
    </w:pPr>
    <w:rPr>
      <w:iCs/>
    </w:rPr>
  </w:style>
  <w:style w:type="paragraph" w:styleId="berschrift7">
    <w:name w:val="heading 7"/>
    <w:basedOn w:val="Standard"/>
    <w:next w:val="Standard"/>
    <w:link w:val="berschrift7Zchn"/>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
    <w:basedOn w:val="Absatz-Standardschriftart"/>
    <w:link w:val="berschrift1"/>
    <w:uiPriority w:val="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
    <w:basedOn w:val="Absatz-Standardschriftart"/>
    <w:link w:val="berschrift2"/>
    <w:uiPriority w:val="9"/>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
    <w:basedOn w:val="Absatz-Standardschriftart"/>
    <w:link w:val="berschrift3"/>
    <w:uiPriority w:val="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basedOn w:val="Standard"/>
    <w:next w:val="Standard"/>
    <w:link w:val="UntertitelZchn"/>
    <w:uiPriority w:val="11"/>
    <w:qFormat/>
    <w:pPr>
      <w:numPr>
        <w:ilvl w:val="1"/>
      </w:numPr>
    </w:pPr>
    <w:rPr>
      <w:rFonts w:eastAsiaTheme="majorEastAsia" w:cstheme="majorBidi"/>
      <w:b/>
      <w:iCs/>
      <w:color w:val="879BAA" w:themeColor="text2"/>
      <w:sz w:val="22"/>
    </w:rPr>
  </w:style>
  <w:style w:type="character" w:customStyle="1" w:styleId="UntertitelZchn">
    <w:name w:val="Untertitel Zchn"/>
    <w:basedOn w:val="Absatz-Standardschriftart"/>
    <w:link w:val="Untertitel"/>
    <w:uiPriority w:val="11"/>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
    <w:basedOn w:val="Absatz-Standardschriftart"/>
    <w:link w:val="berschrift4"/>
    <w:uiPriority w:val="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22"/>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34"/>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33"/>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61"/>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basedOn w:val="Absatz-Standardschriftart"/>
    <w:link w:val="berschrift5"/>
    <w:uiPriority w:val="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pPr>
      <w:spacing w:after="200" w:line="276" w:lineRule="auto"/>
    </w:pPr>
    <w:rPr>
      <w:sz w:val="22"/>
    </w:rPr>
  </w:style>
  <w:style w:type="character" w:customStyle="1" w:styleId="FunotentextZchn">
    <w:name w:val="Fußnotentext Zchn"/>
    <w:basedOn w:val="Absatz-Standardschriftart"/>
    <w:link w:val="Funotentext"/>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nhideWhenUsed/>
    <w:rPr>
      <w:vertAlign w:val="superscript"/>
    </w:rPr>
  </w:style>
  <w:style w:type="character" w:customStyle="1" w:styleId="berschrift7Zchn">
    <w:name w:val="Überschrift 7 Zchn"/>
    <w:basedOn w:val="Absatz-Standardschriftart"/>
    <w:link w:val="berschrift7"/>
  </w:style>
  <w:style w:type="character" w:customStyle="1" w:styleId="berschrift8Zchn">
    <w:name w:val="Überschrift 8 Zchn"/>
    <w:basedOn w:val="Absatz-Standardschriftart"/>
    <w:link w:val="berschrift8"/>
    <w:rPr>
      <w:i/>
      <w:iCs/>
      <w:szCs w:val="24"/>
    </w:rPr>
  </w:style>
  <w:style w:type="character" w:customStyle="1" w:styleId="berschrift9Zchn">
    <w:name w:val="Überschrift 9 Zchn"/>
    <w:basedOn w:val="Absatz-Standardschriftart"/>
    <w:link w:val="berschrift9"/>
    <w:rPr>
      <w:rFonts w:cs="Arial"/>
    </w:rPr>
  </w:style>
  <w:style w:type="character" w:styleId="BesuchterLink">
    <w:name w:val="FollowedHyperlink"/>
    <w:basedOn w:val="Absatz-Standardschriftart"/>
    <w:uiPriority w:val="99"/>
    <w:semiHidden/>
    <w:unhideWhenUsed/>
    <w:rPr>
      <w:color w:val="800080" w:themeColor="followedHyperlink"/>
      <w:u w:val="single"/>
    </w:rPr>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paragraph" w:customStyle="1" w:styleId="scfbrieftext">
    <w:name w:val="scfbrieftext"/>
    <w:basedOn w:val="Standard"/>
    <w:qFormat/>
    <w:pPr>
      <w:spacing w:after="0" w:line="280" w:lineRule="exact"/>
      <w:ind w:right="567"/>
    </w:pPr>
    <w:rPr>
      <w:rFonts w:eastAsia="Times New Roman" w:cs="Times New Roman"/>
      <w:szCs w:val="20"/>
      <w:lang w:eastAsia="de-DE"/>
    </w:rPr>
  </w:style>
  <w:style w:type="table" w:customStyle="1" w:styleId="Tabellenraster1">
    <w:name w:val="Tabellenraster1"/>
    <w:basedOn w:val="NormaleTabelle"/>
    <w:next w:val="Tabellenraster"/>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5">
    <w:name w:val="Tabellenraster5"/>
    <w:basedOn w:val="NormaleTabelle"/>
    <w:next w:val="Tabellenraster"/>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7">
    <w:name w:val="Tabellenraster7"/>
    <w:basedOn w:val="NormaleTabelle"/>
    <w:next w:val="Tabellenraster"/>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9">
    <w:name w:val="Tabellenraster9"/>
    <w:basedOn w:val="NormaleTabelle"/>
    <w:next w:val="Tabellenraster"/>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0">
    <w:name w:val="Tabellenraster10"/>
    <w:basedOn w:val="NormaleTabelle"/>
    <w:next w:val="Tabellenraster"/>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CA7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424300672">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60541904">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88344386">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382512109">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1985815007">
      <w:bodyDiv w:val="1"/>
      <w:marLeft w:val="0"/>
      <w:marRight w:val="0"/>
      <w:marTop w:val="0"/>
      <w:marBottom w:val="0"/>
      <w:divBdr>
        <w:top w:val="none" w:sz="0" w:space="0" w:color="auto"/>
        <w:left w:val="none" w:sz="0" w:space="0" w:color="auto"/>
        <w:bottom w:val="none" w:sz="0" w:space="0" w:color="auto"/>
        <w:right w:val="none" w:sz="0" w:space="0" w:color="auto"/>
      </w:divBdr>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intranet.for.siemens.com/cms/059/en/about/org/Pages/compliance_organization.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mailto:ines.zins@siemens.com"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mailto:ines.zins@siemens.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rs.siemens.cloud/"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compliance.siemens.cloud/c_risk.html"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cd.siemens.com/luz/IdentitySearch?tcgid=Z003A3VJ&amp;output=print&amp;lookUp=y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93</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K. Compliance Risk Management and Reviews</TermName>
          <TermId xmlns="http://schemas.microsoft.com/office/infopath/2007/PartnerControls">6e993d0b-f12f-4f8b-81a8-69e3735632c3</TermId>
        </TermInfo>
      </Terms>
    </nb766c42a6d34ad7b224884871f9394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3BF95-7696-47D5-A83B-B1D75FE448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40680D-646E-4F44-BA00-04EB703E5B3E}">
  <ds:schemaRefs>
    <ds:schemaRef ds:uri="http://schemas.microsoft.com/sharepoint/v3/contenttype/forms"/>
  </ds:schemaRefs>
</ds:datastoreItem>
</file>

<file path=customXml/itemProps3.xml><?xml version="1.0" encoding="utf-8"?>
<ds:datastoreItem xmlns:ds="http://schemas.openxmlformats.org/officeDocument/2006/customXml" ds:itemID="{9C5C410B-8DA4-4E57-8D14-A0D69B388DE0}">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91B9760D-53D8-425F-9F7F-8911CF84EED2"/>
    <ds:schemaRef ds:uri="6ee1f5f8-4a5f-4619-969f-c34e20667274"/>
    <ds:schemaRef ds:uri="http://purl.org/dc/terms/"/>
    <ds:schemaRef ds:uri="91b9760d-53d8-425f-9f7f-8911cf84eed2"/>
    <ds:schemaRef ds:uri="http://www.w3.org/XML/1998/namespace"/>
    <ds:schemaRef ds:uri="http://purl.org/dc/dcmitype/"/>
  </ds:schemaRefs>
</ds:datastoreItem>
</file>

<file path=customXml/itemProps4.xml><?xml version="1.0" encoding="utf-8"?>
<ds:datastoreItem xmlns:ds="http://schemas.openxmlformats.org/officeDocument/2006/customXml" ds:itemID="{B57483DB-E5A9-46A9-896C-4FFAD8FD0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10</Pages>
  <Words>2096</Words>
  <Characters>11948</Characters>
  <Application>Microsoft Office Word</Application>
  <DocSecurity>0</DocSecurity>
  <Lines>99</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Zins, Ines (LC CO RFC CA)</cp:lastModifiedBy>
  <cp:revision>19</cp:revision>
  <cp:lastPrinted>2015-08-31T13:30:00Z</cp:lastPrinted>
  <dcterms:created xsi:type="dcterms:W3CDTF">2020-03-18T20:03:00Z</dcterms:created>
  <dcterms:modified xsi:type="dcterms:W3CDTF">2021-01-04T21:10:00Z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-1737067326</vt:i4>
  </property>
  <property fmtid="{D5CDD505-2E9C-101B-9397-08002B2CF9AE}" pid="3" name="_NewReviewCycle">
    <vt:lpwstr/>
  </property>
  <property fmtid="{D5CDD505-2E9C-101B-9397-08002B2CF9AE}" pid="4" name="_EmailSubject">
    <vt:lpwstr>Business Partner Web Book  |  Templates</vt:lpwstr>
  </property>
  <property fmtid="{D5CDD505-2E9C-101B-9397-08002B2CF9AE}" pid="5" name="_AuthorEmail">
    <vt:lpwstr>Joerg.Nullmeier@siemens.com</vt:lpwstr>
  </property>
  <property fmtid="{D5CDD505-2E9C-101B-9397-08002B2CF9AE}" pid="6" name="_AuthorEmailDisplayName">
    <vt:lpwstr>Nullmeier, Joerg (LC CB GF)</vt:lpwstr>
  </property>
  <property fmtid="{D5CDD505-2E9C-101B-9397-08002B2CF9AE}" pid="7" name="_PreviousAdHocReviewCycleID">
    <vt:i4>305844147</vt:i4>
  </property>
  <property fmtid="{D5CDD505-2E9C-101B-9397-08002B2CF9AE}" pid="8" name="ContentTypeId">
    <vt:lpwstr>0x010100DA792F68E16F46C1935D46987B61C0F50099EFCC051DBFF746BCEF6C3628588333</vt:lpwstr>
  </property>
  <property fmtid="{D5CDD505-2E9C-101B-9397-08002B2CF9AE}" pid="9" name="TOC">
    <vt:lpwstr>93;#K. Compliance Risk Management and Reviews|6e993d0b-f12f-4f8b-81a8-69e3735632c3</vt:lpwstr>
  </property>
  <property fmtid="{D5CDD505-2E9C-101B-9397-08002B2CF9AE}" pid="10" name="_ReviewingToolsShownOnce">
    <vt:lpwstr/>
  </property>
  <property fmtid="{D5CDD505-2E9C-101B-9397-08002B2CF9AE}" pid="11" name="Document Confidentiality">
    <vt:lpwstr>Restricted</vt:lpwstr>
  </property>
  <property fmtid="{D5CDD505-2E9C-101B-9397-08002B2CF9AE}" pid="12" name="MSIP_Label_a59b6cd5-d141-4a33-8bf1-0ca04484304f_Enabled">
    <vt:lpwstr>true</vt:lpwstr>
  </property>
  <property fmtid="{D5CDD505-2E9C-101B-9397-08002B2CF9AE}" pid="13" name="MSIP_Label_a59b6cd5-d141-4a33-8bf1-0ca04484304f_SetDate">
    <vt:lpwstr>2021-01-04T21:10:54Z</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iteId">
    <vt:lpwstr>38ae3bcd-9579-4fd4-adda-b42e1495d55a</vt:lpwstr>
  </property>
  <property fmtid="{D5CDD505-2E9C-101B-9397-08002B2CF9AE}" pid="17" name="MSIP_Label_a59b6cd5-d141-4a33-8bf1-0ca04484304f_ActionId">
    <vt:lpwstr>fa6b62f4-564c-4c70-8941-f6b499a9ddec</vt:lpwstr>
  </property>
  <property fmtid="{D5CDD505-2E9C-101B-9397-08002B2CF9AE}" pid="18" name="MSIP_Label_a59b6cd5-d141-4a33-8bf1-0ca04484304f_ContentBits">
    <vt:lpwstr>0</vt:lpwstr>
  </property>
  <property fmtid="{D5CDD505-2E9C-101B-9397-08002B2CF9AE}" pid="19" name="Document_Confidentiality">
    <vt:lpwstr>Restricted</vt:lpwstr>
  </property>
</Properties>
</file>