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0E085" w14:textId="03E187B2" w:rsidR="00992C22" w:rsidRPr="00651694" w:rsidRDefault="00080C34" w:rsidP="004B2C73">
      <w:pPr>
        <w:rPr>
          <w:rFonts w:ascii="Times New Roman" w:hAnsi="Times New Roman" w:cs="Times New Roman"/>
          <w:color w:val="879BAA" w:themeColor="text2"/>
          <w:sz w:val="56"/>
        </w:rPr>
      </w:pPr>
      <w:bookmarkStart w:id="0" w:name="_Toc456708447"/>
      <w:r w:rsidRPr="00651694">
        <w:rPr>
          <w:rFonts w:ascii="Times New Roman" w:hAnsi="Times New Roman" w:cs="Times New Roman"/>
          <w:color w:val="879BAA" w:themeColor="text2"/>
          <w:sz w:val="56"/>
        </w:rPr>
        <w:t>8</w:t>
      </w:r>
      <w:r w:rsidR="002351D1" w:rsidRPr="00651694">
        <w:rPr>
          <w:rFonts w:ascii="Times New Roman" w:hAnsi="Times New Roman" w:cs="Times New Roman"/>
          <w:color w:val="879BAA" w:themeColor="text2"/>
          <w:sz w:val="56"/>
        </w:rPr>
        <w:t xml:space="preserve">. </w:t>
      </w:r>
      <w:r w:rsidRPr="00651694">
        <w:rPr>
          <w:rFonts w:ascii="Times New Roman" w:hAnsi="Times New Roman" w:cs="Times New Roman"/>
          <w:color w:val="879BAA" w:themeColor="text2"/>
          <w:sz w:val="56"/>
        </w:rPr>
        <w:t>Dat</w:t>
      </w:r>
      <w:r w:rsidR="00A71532" w:rsidRPr="00651694">
        <w:rPr>
          <w:rFonts w:ascii="Times New Roman" w:hAnsi="Times New Roman" w:cs="Times New Roman"/>
          <w:color w:val="879BAA" w:themeColor="text2"/>
          <w:sz w:val="56"/>
        </w:rPr>
        <w:t>a deletion and retention</w:t>
      </w:r>
    </w:p>
    <w:p w14:paraId="6A77C618" w14:textId="7B85F29D" w:rsidR="00651694" w:rsidRPr="00651694" w:rsidRDefault="00651694" w:rsidP="00651694">
      <w:pPr>
        <w:rPr>
          <w:rFonts w:cs="Arial"/>
          <w:color w:val="000000"/>
          <w:szCs w:val="20"/>
        </w:rPr>
      </w:pPr>
      <w:r w:rsidRPr="00651694">
        <w:rPr>
          <w:rFonts w:cs="Arial"/>
          <w:color w:val="000000"/>
          <w:szCs w:val="20"/>
        </w:rPr>
        <w:t xml:space="preserve">The basic principles on data protection to be observed by </w:t>
      </w:r>
      <w:r w:rsidRPr="000B52E3">
        <w:rPr>
          <w:rFonts w:cs="Arial"/>
          <w:b/>
          <w:bCs/>
          <w:color w:val="000000"/>
          <w:szCs w:val="20"/>
        </w:rPr>
        <w:t>all Siemens employees</w:t>
      </w:r>
      <w:r w:rsidRPr="00651694">
        <w:rPr>
          <w:rFonts w:cs="Arial"/>
          <w:color w:val="000000"/>
          <w:szCs w:val="20"/>
        </w:rPr>
        <w:t xml:space="preserve"> are listed in the </w:t>
      </w:r>
      <w:r w:rsidR="000B6E64">
        <w:rPr>
          <w:rFonts w:cs="Arial"/>
          <w:color w:val="000000"/>
          <w:szCs w:val="20"/>
        </w:rPr>
        <w:t>C</w:t>
      </w:r>
      <w:r w:rsidRPr="00651694">
        <w:rPr>
          <w:rFonts w:cs="Arial"/>
          <w:color w:val="000000"/>
          <w:szCs w:val="20"/>
        </w:rPr>
        <w:t>hapter "Data Pr</w:t>
      </w:r>
      <w:r w:rsidR="00F145CC">
        <w:rPr>
          <w:rFonts w:cs="Arial"/>
          <w:color w:val="000000"/>
          <w:szCs w:val="20"/>
        </w:rPr>
        <w:t>ivacy</w:t>
      </w:r>
      <w:r w:rsidRPr="00651694">
        <w:rPr>
          <w:rFonts w:cs="Arial"/>
          <w:color w:val="000000"/>
          <w:szCs w:val="20"/>
        </w:rPr>
        <w:t>: Responsibility" (</w:t>
      </w:r>
      <w:hyperlink r:id="rId11" w:history="1">
        <w:r w:rsidRPr="00F145CC">
          <w:rPr>
            <w:rStyle w:val="Hyperlink"/>
            <w:rFonts w:cs="Arial"/>
            <w:szCs w:val="20"/>
          </w:rPr>
          <w:t>Chapter Part 1 D.1</w:t>
        </w:r>
      </w:hyperlink>
      <w:r w:rsidRPr="00651694">
        <w:rPr>
          <w:rFonts w:cs="Arial"/>
          <w:color w:val="000000"/>
          <w:szCs w:val="20"/>
        </w:rPr>
        <w:t xml:space="preserve">.). </w:t>
      </w:r>
    </w:p>
    <w:p w14:paraId="0FF77637" w14:textId="401EFC69" w:rsidR="00651694" w:rsidRPr="00651694" w:rsidRDefault="00651694" w:rsidP="00651694">
      <w:pPr>
        <w:rPr>
          <w:rFonts w:cs="Arial"/>
          <w:color w:val="000000"/>
          <w:szCs w:val="20"/>
        </w:rPr>
      </w:pPr>
      <w:r w:rsidRPr="00651694">
        <w:rPr>
          <w:rFonts w:cs="Arial"/>
          <w:color w:val="000000"/>
          <w:szCs w:val="20"/>
        </w:rPr>
        <w:t xml:space="preserve">This </w:t>
      </w:r>
      <w:r w:rsidR="000B6E64">
        <w:rPr>
          <w:rFonts w:cs="Arial"/>
          <w:color w:val="000000"/>
          <w:szCs w:val="20"/>
        </w:rPr>
        <w:t>C</w:t>
      </w:r>
      <w:r w:rsidRPr="00651694">
        <w:rPr>
          <w:rFonts w:cs="Arial"/>
          <w:color w:val="000000"/>
          <w:szCs w:val="20"/>
        </w:rPr>
        <w:t xml:space="preserve">hapter compiles the special obligations for data deletion and retention that must be observed by </w:t>
      </w:r>
      <w:r w:rsidR="00494151">
        <w:rPr>
          <w:rFonts w:cs="Arial"/>
          <w:b/>
          <w:bCs/>
          <w:color w:val="000000"/>
          <w:szCs w:val="20"/>
        </w:rPr>
        <w:t>C</w:t>
      </w:r>
      <w:r w:rsidRPr="000B6E64">
        <w:rPr>
          <w:rFonts w:cs="Arial"/>
          <w:b/>
          <w:bCs/>
          <w:color w:val="000000"/>
          <w:szCs w:val="20"/>
        </w:rPr>
        <w:t>ompliance employees</w:t>
      </w:r>
      <w:r w:rsidRPr="00651694">
        <w:rPr>
          <w:rFonts w:cs="Arial"/>
          <w:color w:val="000000"/>
          <w:szCs w:val="20"/>
        </w:rPr>
        <w:t xml:space="preserve"> in the context of </w:t>
      </w:r>
      <w:r w:rsidR="00143BEC">
        <w:rPr>
          <w:rFonts w:cs="Arial"/>
          <w:color w:val="000000"/>
          <w:szCs w:val="20"/>
        </w:rPr>
        <w:t>C</w:t>
      </w:r>
      <w:r w:rsidRPr="00651694">
        <w:rPr>
          <w:rFonts w:cs="Arial"/>
          <w:color w:val="000000"/>
          <w:szCs w:val="20"/>
        </w:rPr>
        <w:t xml:space="preserve">ompliance </w:t>
      </w:r>
      <w:r w:rsidR="0078683E">
        <w:rPr>
          <w:rFonts w:cs="Arial"/>
          <w:color w:val="000000"/>
          <w:szCs w:val="20"/>
        </w:rPr>
        <w:t>C</w:t>
      </w:r>
      <w:r w:rsidRPr="00651694">
        <w:rPr>
          <w:rFonts w:cs="Arial"/>
          <w:color w:val="000000"/>
          <w:szCs w:val="20"/>
        </w:rPr>
        <w:t xml:space="preserve">ase </w:t>
      </w:r>
      <w:r w:rsidR="0078683E">
        <w:rPr>
          <w:rFonts w:cs="Arial"/>
          <w:color w:val="000000"/>
          <w:szCs w:val="20"/>
        </w:rPr>
        <w:t>H</w:t>
      </w:r>
      <w:r w:rsidR="00143BEC">
        <w:rPr>
          <w:rFonts w:cs="Arial"/>
          <w:color w:val="000000"/>
          <w:szCs w:val="20"/>
        </w:rPr>
        <w:t>andling</w:t>
      </w:r>
      <w:r w:rsidR="00F86858">
        <w:rPr>
          <w:rStyle w:val="Funotenzeichen"/>
          <w:rFonts w:cs="Arial"/>
          <w:color w:val="000000"/>
          <w:szCs w:val="20"/>
        </w:rPr>
        <w:footnoteReference w:id="1"/>
      </w:r>
      <w:r w:rsidRPr="00651694">
        <w:rPr>
          <w:rFonts w:cs="Arial"/>
          <w:color w:val="000000"/>
          <w:szCs w:val="20"/>
        </w:rPr>
        <w:t xml:space="preserve">, as well as </w:t>
      </w:r>
      <w:r w:rsidR="0078683E">
        <w:rPr>
          <w:rFonts w:cs="Arial"/>
          <w:color w:val="000000"/>
          <w:szCs w:val="20"/>
        </w:rPr>
        <w:t>Discipline</w:t>
      </w:r>
      <w:r w:rsidRPr="00651694">
        <w:rPr>
          <w:rFonts w:cs="Arial"/>
          <w:color w:val="000000"/>
          <w:szCs w:val="20"/>
        </w:rPr>
        <w:t xml:space="preserve"> and </w:t>
      </w:r>
      <w:r w:rsidR="0078683E">
        <w:rPr>
          <w:rFonts w:cs="Arial"/>
          <w:color w:val="000000"/>
          <w:szCs w:val="20"/>
        </w:rPr>
        <w:t>Remediation</w:t>
      </w:r>
      <w:r w:rsidRPr="00651694">
        <w:rPr>
          <w:rFonts w:cs="Arial"/>
          <w:color w:val="000000"/>
          <w:szCs w:val="20"/>
        </w:rPr>
        <w:t xml:space="preserve">. </w:t>
      </w:r>
    </w:p>
    <w:p w14:paraId="2F9ACF2E" w14:textId="237EDA3F" w:rsidR="001927C8" w:rsidRPr="00651694" w:rsidRDefault="00651694" w:rsidP="00651694">
      <w:r w:rsidRPr="00651694">
        <w:rPr>
          <w:rFonts w:cs="Arial"/>
          <w:color w:val="000000"/>
          <w:szCs w:val="20"/>
        </w:rPr>
        <w:t>In this context, it is important to take into account the particular tension between obligations regarding retention periods imposed by authorities or by law on the one hand, and the obligation for data economy and, above all, deletion on the other.</w:t>
      </w:r>
    </w:p>
    <w:tbl>
      <w:tblPr>
        <w:tblStyle w:val="HighlightBoxStone352"/>
        <w:tblW w:w="9925" w:type="dxa"/>
        <w:tblInd w:w="360" w:type="dxa"/>
        <w:tblLook w:val="04A0" w:firstRow="1" w:lastRow="0" w:firstColumn="1" w:lastColumn="0" w:noHBand="0" w:noVBand="1"/>
      </w:tblPr>
      <w:tblGrid>
        <w:gridCol w:w="9925"/>
      </w:tblGrid>
      <w:tr w:rsidR="001927C8" w:rsidRPr="00C716E7" w14:paraId="51148BAE" w14:textId="77777777" w:rsidTr="001927C8">
        <w:trPr>
          <w:trHeight w:val="1622"/>
        </w:trPr>
        <w:tc>
          <w:tcPr>
            <w:tcW w:w="9925" w:type="dxa"/>
          </w:tcPr>
          <w:p w14:paraId="6194445E" w14:textId="0D0BAC7D" w:rsidR="001927C8" w:rsidRPr="0040631D" w:rsidRDefault="00923EFC" w:rsidP="00F672FE">
            <w:pPr>
              <w:spacing w:after="120"/>
              <w:ind w:left="360" w:hanging="360"/>
              <w:rPr>
                <w:rFonts w:eastAsia="Calibri" w:cs="Arial"/>
                <w:b/>
                <w:color w:val="006487" w:themeColor="accent3"/>
                <w:szCs w:val="20"/>
              </w:rPr>
            </w:pPr>
            <w:r w:rsidRPr="0040631D">
              <w:rPr>
                <w:rFonts w:eastAsia="Calibri" w:cs="Arial"/>
                <w:b/>
                <w:color w:val="006487" w:themeColor="accent3"/>
                <w:szCs w:val="20"/>
              </w:rPr>
              <w:t>What every Compliance employee must know:</w:t>
            </w:r>
          </w:p>
          <w:p w14:paraId="7C40EC16" w14:textId="1F43C0EA" w:rsidR="0040631D" w:rsidRPr="0040631D" w:rsidRDefault="0040631D" w:rsidP="00EC07A0">
            <w:pPr>
              <w:pStyle w:val="HighlightboxGreyBulletpoints"/>
              <w:numPr>
                <w:ilvl w:val="0"/>
                <w:numId w:val="2"/>
              </w:numPr>
              <w:rPr>
                <w:rFonts w:cs="Arial"/>
                <w:b w:val="0"/>
                <w:bCs/>
              </w:rPr>
            </w:pPr>
            <w:r w:rsidRPr="0040631D">
              <w:rPr>
                <w:rFonts w:cs="Arial"/>
                <w:b w:val="0"/>
                <w:bCs/>
              </w:rPr>
              <w:t>Personal data must be deleted</w:t>
            </w:r>
            <w:r w:rsidR="006430B5">
              <w:rPr>
                <w:rStyle w:val="Funotenzeichen"/>
                <w:rFonts w:cs="Arial"/>
                <w:b w:val="0"/>
                <w:bCs/>
              </w:rPr>
              <w:footnoteReference w:id="2"/>
            </w:r>
            <w:r w:rsidRPr="0040631D">
              <w:rPr>
                <w:rFonts w:cs="Arial"/>
                <w:b w:val="0"/>
                <w:bCs/>
              </w:rPr>
              <w:t xml:space="preserve"> (</w:t>
            </w:r>
            <w:hyperlink w:anchor="_8.2._Datenlöschung" w:history="1">
              <w:r w:rsidRPr="00002017">
                <w:rPr>
                  <w:rStyle w:val="Hyperlink"/>
                  <w:rFonts w:cs="Arial"/>
                  <w:b w:val="0"/>
                  <w:bCs/>
                </w:rPr>
                <w:t>Chapter Part 3 L.8.2.)</w:t>
              </w:r>
            </w:hyperlink>
            <w:r w:rsidRPr="0040631D">
              <w:rPr>
                <w:rFonts w:cs="Arial"/>
                <w:b w:val="0"/>
                <w:bCs/>
              </w:rPr>
              <w:t xml:space="preserve"> when the purpose for processing the data no longer exists, unless retention obligations or rights (</w:t>
            </w:r>
            <w:hyperlink w:anchor="_8.1.1._Gesetzliche_Aufbewahrungspfl" w:history="1">
              <w:r w:rsidRPr="00002017">
                <w:rPr>
                  <w:rStyle w:val="Hyperlink"/>
                  <w:rFonts w:cs="Arial"/>
                  <w:b w:val="0"/>
                  <w:bCs/>
                </w:rPr>
                <w:t>Chapter Part 3 L.8.1</w:t>
              </w:r>
            </w:hyperlink>
            <w:r w:rsidRPr="0040631D">
              <w:rPr>
                <w:rFonts w:cs="Arial"/>
                <w:b w:val="0"/>
                <w:bCs/>
              </w:rPr>
              <w:t xml:space="preserve">.) exist (Art. 17 GDPR). </w:t>
            </w:r>
          </w:p>
          <w:p w14:paraId="11EC2D67" w14:textId="7E0544BA" w:rsidR="00C716E7" w:rsidRPr="00C716E7" w:rsidRDefault="00C716E7" w:rsidP="00C716E7">
            <w:pPr>
              <w:pStyle w:val="HighlightboxGreyBulletpoints"/>
              <w:numPr>
                <w:ilvl w:val="0"/>
                <w:numId w:val="2"/>
              </w:numPr>
              <w:rPr>
                <w:rFonts w:cs="Arial"/>
                <w:b w:val="0"/>
                <w:bCs/>
              </w:rPr>
            </w:pPr>
            <w:r w:rsidRPr="00C716E7">
              <w:rPr>
                <w:rFonts w:cs="Arial"/>
                <w:b w:val="0"/>
                <w:bCs/>
              </w:rPr>
              <w:t xml:space="preserve">The purpose of processing personal data in </w:t>
            </w:r>
            <w:r>
              <w:rPr>
                <w:rFonts w:cs="Arial"/>
                <w:b w:val="0"/>
                <w:bCs/>
              </w:rPr>
              <w:t>C</w:t>
            </w:r>
            <w:r w:rsidRPr="00C716E7">
              <w:rPr>
                <w:rFonts w:cs="Arial"/>
                <w:b w:val="0"/>
                <w:bCs/>
              </w:rPr>
              <w:t xml:space="preserve">ompliance </w:t>
            </w:r>
            <w:r>
              <w:rPr>
                <w:rFonts w:cs="Arial"/>
                <w:b w:val="0"/>
                <w:bCs/>
              </w:rPr>
              <w:t xml:space="preserve">Case Handling </w:t>
            </w:r>
            <w:r w:rsidRPr="00C716E7">
              <w:rPr>
                <w:rFonts w:cs="Arial"/>
                <w:b w:val="0"/>
                <w:bCs/>
              </w:rPr>
              <w:t xml:space="preserve">is to ensure a functioning </w:t>
            </w:r>
            <w:r w:rsidR="004859A4">
              <w:rPr>
                <w:rFonts w:cs="Arial"/>
                <w:b w:val="0"/>
                <w:bCs/>
              </w:rPr>
              <w:t>C</w:t>
            </w:r>
            <w:r w:rsidRPr="00C716E7">
              <w:rPr>
                <w:rFonts w:cs="Arial"/>
                <w:b w:val="0"/>
                <w:bCs/>
              </w:rPr>
              <w:t xml:space="preserve">ompliance system, depending on the date in the form of </w:t>
            </w:r>
          </w:p>
          <w:p w14:paraId="2C9681BD" w14:textId="4AB1A0A4" w:rsidR="00C716E7" w:rsidRPr="00947A4B" w:rsidRDefault="00C716E7" w:rsidP="00947A4B">
            <w:pPr>
              <w:pStyle w:val="HighlightboxGreyBulletpoints"/>
              <w:numPr>
                <w:ilvl w:val="0"/>
                <w:numId w:val="10"/>
              </w:numPr>
              <w:rPr>
                <w:rFonts w:cs="Arial"/>
                <w:b w:val="0"/>
                <w:bCs/>
              </w:rPr>
            </w:pPr>
            <w:r w:rsidRPr="00947A4B">
              <w:rPr>
                <w:rFonts w:cs="Arial"/>
                <w:b w:val="0"/>
                <w:bCs/>
              </w:rPr>
              <w:t xml:space="preserve">the </w:t>
            </w:r>
            <w:r w:rsidR="004859A4" w:rsidRPr="00947A4B">
              <w:rPr>
                <w:rFonts w:cs="Arial"/>
                <w:b w:val="0"/>
                <w:bCs/>
              </w:rPr>
              <w:t>Case Handling</w:t>
            </w:r>
            <w:r w:rsidRPr="00947A4B">
              <w:rPr>
                <w:rFonts w:cs="Arial"/>
                <w:b w:val="0"/>
                <w:bCs/>
              </w:rPr>
              <w:t xml:space="preserve">, i.e., the investigation of allegations of possible </w:t>
            </w:r>
            <w:r w:rsidR="004859A4" w:rsidRPr="00947A4B">
              <w:rPr>
                <w:rFonts w:cs="Arial"/>
                <w:b w:val="0"/>
                <w:bCs/>
              </w:rPr>
              <w:t>C</w:t>
            </w:r>
            <w:r w:rsidRPr="00947A4B">
              <w:rPr>
                <w:rFonts w:cs="Arial"/>
                <w:b w:val="0"/>
                <w:bCs/>
              </w:rPr>
              <w:t>ompliance violations (</w:t>
            </w:r>
            <w:hyperlink r:id="rId12" w:history="1">
              <w:r w:rsidRPr="001047E0">
                <w:rPr>
                  <w:rStyle w:val="Hyperlink"/>
                  <w:rFonts w:cs="Arial"/>
                  <w:b w:val="0"/>
                  <w:bCs/>
                </w:rPr>
                <w:t>Chapter Part 3 L.2</w:t>
              </w:r>
            </w:hyperlink>
            <w:r w:rsidRPr="00947A4B">
              <w:rPr>
                <w:rFonts w:cs="Arial"/>
                <w:b w:val="0"/>
                <w:bCs/>
              </w:rPr>
              <w:t xml:space="preserve">) </w:t>
            </w:r>
          </w:p>
          <w:p w14:paraId="24FC07C7" w14:textId="7F6FE472" w:rsidR="00C716E7" w:rsidRPr="00947A4B" w:rsidRDefault="00C716E7" w:rsidP="00947A4B">
            <w:pPr>
              <w:pStyle w:val="HighlightboxGreyBulletpoints"/>
              <w:numPr>
                <w:ilvl w:val="0"/>
                <w:numId w:val="10"/>
              </w:numPr>
              <w:rPr>
                <w:rFonts w:cs="Arial"/>
                <w:b w:val="0"/>
                <w:bCs/>
              </w:rPr>
            </w:pPr>
            <w:r w:rsidRPr="00947A4B">
              <w:rPr>
                <w:rFonts w:cs="Arial"/>
                <w:b w:val="0"/>
                <w:bCs/>
              </w:rPr>
              <w:t xml:space="preserve">responding to such violations, including appropriate </w:t>
            </w:r>
            <w:r w:rsidR="00C410FC">
              <w:rPr>
                <w:rFonts w:cs="Arial"/>
                <w:b w:val="0"/>
                <w:bCs/>
              </w:rPr>
              <w:t>D</w:t>
            </w:r>
            <w:r w:rsidRPr="00947A4B">
              <w:rPr>
                <w:rFonts w:cs="Arial"/>
                <w:b w:val="0"/>
                <w:bCs/>
              </w:rPr>
              <w:t xml:space="preserve">isciplinary </w:t>
            </w:r>
            <w:r w:rsidR="00C410FC">
              <w:rPr>
                <w:rFonts w:cs="Arial"/>
                <w:b w:val="0"/>
                <w:bCs/>
              </w:rPr>
              <w:t>M</w:t>
            </w:r>
            <w:r w:rsidR="00A96B3E">
              <w:rPr>
                <w:rFonts w:cs="Arial"/>
                <w:b w:val="0"/>
                <w:bCs/>
              </w:rPr>
              <w:t>easures</w:t>
            </w:r>
            <w:r w:rsidRPr="00947A4B">
              <w:rPr>
                <w:rFonts w:cs="Arial"/>
                <w:b w:val="0"/>
                <w:bCs/>
              </w:rPr>
              <w:t xml:space="preserve"> (</w:t>
            </w:r>
            <w:hyperlink r:id="rId13" w:history="1">
              <w:r w:rsidRPr="00A96B3E">
                <w:rPr>
                  <w:rStyle w:val="Hyperlink"/>
                  <w:rFonts w:cs="Arial"/>
                  <w:b w:val="0"/>
                  <w:bCs/>
                </w:rPr>
                <w:t>Chapter Part 3 L.4</w:t>
              </w:r>
            </w:hyperlink>
            <w:r w:rsidRPr="00947A4B">
              <w:rPr>
                <w:rFonts w:cs="Arial"/>
                <w:b w:val="0"/>
                <w:bCs/>
              </w:rPr>
              <w:t xml:space="preserve">), </w:t>
            </w:r>
          </w:p>
          <w:p w14:paraId="73C32825" w14:textId="18B9CDD8" w:rsidR="00C716E7" w:rsidRPr="00947A4B" w:rsidRDefault="00C716E7" w:rsidP="00947A4B">
            <w:pPr>
              <w:pStyle w:val="HighlightboxGreyBulletpoints"/>
              <w:numPr>
                <w:ilvl w:val="0"/>
                <w:numId w:val="10"/>
              </w:numPr>
              <w:rPr>
                <w:rFonts w:cs="Arial"/>
                <w:b w:val="0"/>
                <w:bCs/>
              </w:rPr>
            </w:pPr>
            <w:r w:rsidRPr="00947A4B">
              <w:rPr>
                <w:rFonts w:cs="Arial"/>
                <w:b w:val="0"/>
                <w:bCs/>
              </w:rPr>
              <w:t xml:space="preserve">the </w:t>
            </w:r>
            <w:r w:rsidR="00C410FC">
              <w:rPr>
                <w:rFonts w:cs="Arial"/>
                <w:b w:val="0"/>
                <w:bCs/>
              </w:rPr>
              <w:t>R</w:t>
            </w:r>
            <w:r w:rsidRPr="00947A4B">
              <w:rPr>
                <w:rFonts w:cs="Arial"/>
                <w:b w:val="0"/>
                <w:bCs/>
              </w:rPr>
              <w:t>emediation of weaknesses in processes (</w:t>
            </w:r>
            <w:hyperlink r:id="rId14" w:history="1">
              <w:r w:rsidRPr="00C410FC">
                <w:rPr>
                  <w:rStyle w:val="Hyperlink"/>
                  <w:rFonts w:cs="Arial"/>
                  <w:b w:val="0"/>
                  <w:bCs/>
                </w:rPr>
                <w:t>Chapter Part 3 L.5</w:t>
              </w:r>
            </w:hyperlink>
            <w:r w:rsidRPr="00947A4B">
              <w:rPr>
                <w:rFonts w:cs="Arial"/>
                <w:b w:val="0"/>
                <w:bCs/>
              </w:rPr>
              <w:t xml:space="preserve">), </w:t>
            </w:r>
          </w:p>
          <w:p w14:paraId="20E7FEE4" w14:textId="543E1877" w:rsidR="00C716E7" w:rsidRPr="00947A4B" w:rsidRDefault="00C716E7" w:rsidP="00947A4B">
            <w:pPr>
              <w:pStyle w:val="HighlightboxGreyBulletpoints"/>
              <w:numPr>
                <w:ilvl w:val="0"/>
                <w:numId w:val="10"/>
              </w:numPr>
              <w:rPr>
                <w:rFonts w:cs="Arial"/>
                <w:b w:val="0"/>
                <w:bCs/>
              </w:rPr>
            </w:pPr>
            <w:r w:rsidRPr="00947A4B">
              <w:rPr>
                <w:rFonts w:cs="Arial"/>
                <w:b w:val="0"/>
                <w:bCs/>
              </w:rPr>
              <w:t xml:space="preserve">the handling of </w:t>
            </w:r>
            <w:r w:rsidR="00002017">
              <w:rPr>
                <w:rFonts w:cs="Arial"/>
                <w:b w:val="0"/>
                <w:bCs/>
              </w:rPr>
              <w:t>information requests</w:t>
            </w:r>
            <w:r w:rsidRPr="00947A4B">
              <w:rPr>
                <w:rFonts w:cs="Arial"/>
                <w:b w:val="0"/>
                <w:bCs/>
              </w:rPr>
              <w:t xml:space="preserve"> from authorities (</w:t>
            </w:r>
            <w:hyperlink r:id="rId15" w:history="1">
              <w:r w:rsidR="001D1AE0" w:rsidRPr="00111DE5">
                <w:rPr>
                  <w:rStyle w:val="Hyperlink"/>
                  <w:rFonts w:cs="Arial"/>
                  <w:b w:val="0"/>
                  <w:bCs/>
                </w:rPr>
                <w:t>C</w:t>
              </w:r>
              <w:r w:rsidRPr="00111DE5">
                <w:rPr>
                  <w:rStyle w:val="Hyperlink"/>
                  <w:rFonts w:cs="Arial"/>
                  <w:b w:val="0"/>
                  <w:bCs/>
                </w:rPr>
                <w:t xml:space="preserve">hapter </w:t>
              </w:r>
              <w:r w:rsidR="001D1AE0" w:rsidRPr="00111DE5">
                <w:rPr>
                  <w:rStyle w:val="Hyperlink"/>
                  <w:rFonts w:cs="Arial"/>
                  <w:b w:val="0"/>
                  <w:bCs/>
                </w:rPr>
                <w:t>P</w:t>
              </w:r>
              <w:r w:rsidRPr="00111DE5">
                <w:rPr>
                  <w:rStyle w:val="Hyperlink"/>
                  <w:rFonts w:cs="Arial"/>
                  <w:b w:val="0"/>
                  <w:bCs/>
                </w:rPr>
                <w:t>art 3 L.7.1</w:t>
              </w:r>
            </w:hyperlink>
            <w:r w:rsidRPr="00947A4B">
              <w:rPr>
                <w:rFonts w:cs="Arial"/>
                <w:b w:val="0"/>
                <w:bCs/>
              </w:rPr>
              <w:t>.),</w:t>
            </w:r>
          </w:p>
          <w:p w14:paraId="7F2A3695" w14:textId="69C162CB" w:rsidR="00C716E7" w:rsidRPr="00947A4B" w:rsidRDefault="00C716E7" w:rsidP="00947A4B">
            <w:pPr>
              <w:pStyle w:val="HighlightboxGreyBulletpoints"/>
              <w:numPr>
                <w:ilvl w:val="0"/>
                <w:numId w:val="10"/>
              </w:numPr>
              <w:rPr>
                <w:rFonts w:cs="Arial"/>
                <w:b w:val="0"/>
                <w:bCs/>
              </w:rPr>
            </w:pPr>
            <w:r w:rsidRPr="00947A4B">
              <w:rPr>
                <w:rFonts w:cs="Arial"/>
                <w:b w:val="0"/>
                <w:bCs/>
              </w:rPr>
              <w:t>the fulfillment of legal requirements (e.g. disclosure obligations, searches) (</w:t>
            </w:r>
            <w:hyperlink r:id="rId16" w:history="1">
              <w:r w:rsidR="001D1AE0" w:rsidRPr="00002017">
                <w:rPr>
                  <w:rStyle w:val="Hyperlink"/>
                  <w:rFonts w:cs="Arial"/>
                  <w:b w:val="0"/>
                  <w:bCs/>
                </w:rPr>
                <w:t>C</w:t>
              </w:r>
              <w:r w:rsidRPr="00002017">
                <w:rPr>
                  <w:rStyle w:val="Hyperlink"/>
                  <w:rFonts w:cs="Arial"/>
                  <w:b w:val="0"/>
                  <w:bCs/>
                </w:rPr>
                <w:t xml:space="preserve">hapter </w:t>
              </w:r>
              <w:r w:rsidR="001D1AE0" w:rsidRPr="00002017">
                <w:rPr>
                  <w:rStyle w:val="Hyperlink"/>
                  <w:rFonts w:cs="Arial"/>
                  <w:b w:val="0"/>
                  <w:bCs/>
                </w:rPr>
                <w:t>P</w:t>
              </w:r>
              <w:r w:rsidRPr="00002017">
                <w:rPr>
                  <w:rStyle w:val="Hyperlink"/>
                  <w:rFonts w:cs="Arial"/>
                  <w:b w:val="0"/>
                  <w:bCs/>
                </w:rPr>
                <w:t>art 3 L.7.1</w:t>
              </w:r>
            </w:hyperlink>
            <w:r w:rsidRPr="00947A4B">
              <w:rPr>
                <w:rFonts w:cs="Arial"/>
                <w:b w:val="0"/>
                <w:bCs/>
              </w:rPr>
              <w:t>.) or</w:t>
            </w:r>
          </w:p>
          <w:p w14:paraId="4EA95451" w14:textId="57F0BED1" w:rsidR="001927C8" w:rsidRPr="00947A4B" w:rsidRDefault="00C716E7" w:rsidP="00947A4B">
            <w:pPr>
              <w:pStyle w:val="HighlightboxGreyBulletpoints"/>
              <w:numPr>
                <w:ilvl w:val="0"/>
                <w:numId w:val="10"/>
              </w:numPr>
              <w:rPr>
                <w:rFonts w:cs="Arial"/>
                <w:b w:val="0"/>
                <w:bCs/>
              </w:rPr>
            </w:pPr>
            <w:r w:rsidRPr="00947A4B">
              <w:rPr>
                <w:rFonts w:cs="Arial"/>
                <w:b w:val="0"/>
                <w:bCs/>
              </w:rPr>
              <w:t xml:space="preserve">the pursuit of </w:t>
            </w:r>
            <w:r w:rsidR="008D655F">
              <w:rPr>
                <w:rFonts w:cs="Arial"/>
                <w:b w:val="0"/>
                <w:bCs/>
              </w:rPr>
              <w:t>damage claims</w:t>
            </w:r>
            <w:r w:rsidRPr="00947A4B">
              <w:rPr>
                <w:rFonts w:cs="Arial"/>
                <w:b w:val="0"/>
                <w:bCs/>
              </w:rPr>
              <w:t xml:space="preserve"> or other consequential issues (e.g. financial or tax implications).</w:t>
            </w:r>
          </w:p>
        </w:tc>
      </w:tr>
    </w:tbl>
    <w:p w14:paraId="09F7C740" w14:textId="77777777" w:rsidR="001927C8" w:rsidRPr="00C716E7" w:rsidRDefault="001927C8" w:rsidP="001927C8">
      <w:pPr>
        <w:pStyle w:val="KeinAbsatzformat"/>
        <w:rPr>
          <w:rFonts w:ascii="Arial" w:hAnsi="Arial" w:cs="Arial"/>
          <w:lang w:val="en-US"/>
        </w:rPr>
      </w:pPr>
    </w:p>
    <w:p w14:paraId="3FD45CF8" w14:textId="1EF57EEE" w:rsidR="0025020B" w:rsidRPr="00863B97" w:rsidRDefault="00BC7C8A" w:rsidP="0025020B">
      <w:pPr>
        <w:pStyle w:val="berschrift2"/>
        <w:spacing w:after="120"/>
        <w:rPr>
          <w:rFonts w:ascii="Arial" w:hAnsi="Arial" w:cs="Arial"/>
        </w:rPr>
      </w:pPr>
      <w:bookmarkStart w:id="1" w:name="_8.1._Datenaufbewahrungspflichten_un"/>
      <w:bookmarkStart w:id="2" w:name="_8.1._Data_retention"/>
      <w:bookmarkStart w:id="3" w:name="_Toc517637766"/>
      <w:bookmarkEnd w:id="1"/>
      <w:bookmarkEnd w:id="2"/>
      <w:r w:rsidRPr="00863B97">
        <w:rPr>
          <w:rFonts w:ascii="Arial" w:hAnsi="Arial" w:cs="Arial"/>
        </w:rPr>
        <w:t>8</w:t>
      </w:r>
      <w:r w:rsidR="0025020B" w:rsidRPr="00863B97">
        <w:rPr>
          <w:rFonts w:ascii="Arial" w:hAnsi="Arial" w:cs="Arial"/>
        </w:rPr>
        <w:t xml:space="preserve">.1. </w:t>
      </w:r>
      <w:bookmarkEnd w:id="3"/>
      <w:r w:rsidR="00996F6C" w:rsidRPr="00863B97">
        <w:rPr>
          <w:rFonts w:ascii="Arial" w:hAnsi="Arial" w:cs="Arial"/>
        </w:rPr>
        <w:t xml:space="preserve">Data </w:t>
      </w:r>
      <w:r w:rsidR="00E21423" w:rsidRPr="00863B97">
        <w:rPr>
          <w:rFonts w:ascii="Arial" w:hAnsi="Arial" w:cs="Arial"/>
        </w:rPr>
        <w:t>retention obligations and rights</w:t>
      </w:r>
    </w:p>
    <w:p w14:paraId="6C162B64" w14:textId="678837D8" w:rsidR="00DA3DD9" w:rsidRPr="00DA3DD9" w:rsidRDefault="00DA3DD9" w:rsidP="00BC7C8A">
      <w:pPr>
        <w:spacing w:after="0"/>
        <w:rPr>
          <w:rFonts w:cs="Arial"/>
          <w:szCs w:val="20"/>
        </w:rPr>
      </w:pPr>
      <w:r w:rsidRPr="00DA3DD9">
        <w:rPr>
          <w:rFonts w:cs="Arial"/>
          <w:szCs w:val="20"/>
        </w:rPr>
        <w:t xml:space="preserve">Insofar as no deviating regulations on data retention for </w:t>
      </w:r>
      <w:r>
        <w:rPr>
          <w:rFonts w:cs="Arial"/>
          <w:szCs w:val="20"/>
        </w:rPr>
        <w:t>Compliance Case Handling</w:t>
      </w:r>
      <w:r w:rsidRPr="00DA3DD9">
        <w:rPr>
          <w:rFonts w:cs="Arial"/>
          <w:szCs w:val="20"/>
        </w:rPr>
        <w:t xml:space="preserve"> apply, the </w:t>
      </w:r>
      <w:r w:rsidR="00BF2CAC">
        <w:rPr>
          <w:rFonts w:cs="Arial"/>
          <w:szCs w:val="20"/>
        </w:rPr>
        <w:t xml:space="preserve">Siemens </w:t>
      </w:r>
      <w:r w:rsidR="00F612AE">
        <w:rPr>
          <w:rFonts w:cs="Arial"/>
          <w:szCs w:val="20"/>
        </w:rPr>
        <w:t>G</w:t>
      </w:r>
      <w:r w:rsidRPr="00DA3DD9">
        <w:rPr>
          <w:rFonts w:cs="Arial"/>
          <w:szCs w:val="20"/>
        </w:rPr>
        <w:t xml:space="preserve">uideline on retention obligations and periods </w:t>
      </w:r>
      <w:r>
        <w:rPr>
          <w:rFonts w:cs="Arial"/>
          <w:szCs w:val="20"/>
        </w:rPr>
        <w:t>(</w:t>
      </w:r>
      <w:proofErr w:type="spellStart"/>
      <w:r>
        <w:fldChar w:fldCharType="begin"/>
      </w:r>
      <w:r w:rsidRPr="00DA3DD9">
        <w:instrText xml:space="preserve"> HYPERLINK "https://lkb.siemens.com/content/00000008/LegalKnowledgeBase/y1t6v041dbqp/LKB002358.pdf" </w:instrText>
      </w:r>
      <w:r>
        <w:fldChar w:fldCharType="separate"/>
      </w:r>
      <w:r w:rsidRPr="00DA3DD9">
        <w:rPr>
          <w:rStyle w:val="Hyperlink"/>
          <w:rFonts w:cs="Arial"/>
          <w:szCs w:val="20"/>
        </w:rPr>
        <w:t>Leitfaden</w:t>
      </w:r>
      <w:proofErr w:type="spellEnd"/>
      <w:r w:rsidRPr="00DA3DD9">
        <w:rPr>
          <w:rStyle w:val="Hyperlink"/>
          <w:rFonts w:cs="Arial"/>
          <w:szCs w:val="20"/>
        </w:rPr>
        <w:t xml:space="preserve"> </w:t>
      </w:r>
      <w:proofErr w:type="spellStart"/>
      <w:r w:rsidRPr="00DA3DD9">
        <w:rPr>
          <w:rStyle w:val="Hyperlink"/>
          <w:rFonts w:cs="Arial"/>
          <w:szCs w:val="20"/>
        </w:rPr>
        <w:t>zu</w:t>
      </w:r>
      <w:proofErr w:type="spellEnd"/>
      <w:r w:rsidRPr="00DA3DD9">
        <w:rPr>
          <w:rStyle w:val="Hyperlink"/>
          <w:rFonts w:cs="Arial"/>
          <w:szCs w:val="20"/>
        </w:rPr>
        <w:t xml:space="preserve"> </w:t>
      </w:r>
      <w:proofErr w:type="spellStart"/>
      <w:r w:rsidRPr="00DA3DD9">
        <w:rPr>
          <w:rStyle w:val="Hyperlink"/>
          <w:rFonts w:cs="Arial"/>
          <w:szCs w:val="20"/>
        </w:rPr>
        <w:t>Aufbewahrungspflichten</w:t>
      </w:r>
      <w:proofErr w:type="spellEnd"/>
      <w:r w:rsidRPr="00DA3DD9">
        <w:rPr>
          <w:rStyle w:val="Hyperlink"/>
          <w:rFonts w:cs="Arial"/>
          <w:szCs w:val="20"/>
        </w:rPr>
        <w:t xml:space="preserve"> und -</w:t>
      </w:r>
      <w:proofErr w:type="spellStart"/>
      <w:r w:rsidRPr="00DA3DD9">
        <w:rPr>
          <w:rStyle w:val="Hyperlink"/>
          <w:rFonts w:cs="Arial"/>
          <w:szCs w:val="20"/>
        </w:rPr>
        <w:t>fristen</w:t>
      </w:r>
      <w:proofErr w:type="spellEnd"/>
      <w:r>
        <w:rPr>
          <w:rStyle w:val="Hyperlink"/>
          <w:rFonts w:cs="Arial"/>
          <w:szCs w:val="20"/>
          <w:lang w:val="de-DE"/>
        </w:rPr>
        <w:fldChar w:fldCharType="end"/>
      </w:r>
      <w:r w:rsidR="00CA385B" w:rsidRPr="00CA385B">
        <w:rPr>
          <w:rStyle w:val="Hyperlink"/>
          <w:rFonts w:cs="Arial"/>
          <w:szCs w:val="20"/>
        </w:rPr>
        <w:t xml:space="preserve"> </w:t>
      </w:r>
      <w:r w:rsidR="00863B97">
        <w:rPr>
          <w:rStyle w:val="Hyperlink"/>
          <w:rFonts w:cs="Arial"/>
          <w:szCs w:val="20"/>
        </w:rPr>
        <w:t xml:space="preserve">- </w:t>
      </w:r>
      <w:r w:rsidR="00CA385B">
        <w:rPr>
          <w:rStyle w:val="Hyperlink"/>
          <w:rFonts w:cs="Arial"/>
          <w:szCs w:val="20"/>
        </w:rPr>
        <w:t>only available in German</w:t>
      </w:r>
      <w:r w:rsidRPr="00DA3DD9">
        <w:rPr>
          <w:rStyle w:val="Hyperlink"/>
          <w:rFonts w:cs="Arial"/>
          <w:szCs w:val="20"/>
        </w:rPr>
        <w:t xml:space="preserve">) </w:t>
      </w:r>
      <w:r w:rsidRPr="00DA3DD9">
        <w:rPr>
          <w:rFonts w:cs="Arial"/>
          <w:szCs w:val="20"/>
        </w:rPr>
        <w:lastRenderedPageBreak/>
        <w:t xml:space="preserve">apply. In particular, in the context of </w:t>
      </w:r>
      <w:r w:rsidR="00CF4DAC">
        <w:rPr>
          <w:rFonts w:cs="Arial"/>
          <w:szCs w:val="20"/>
        </w:rPr>
        <w:t>Compliance Case Handling</w:t>
      </w:r>
      <w:r w:rsidRPr="00DA3DD9">
        <w:rPr>
          <w:rFonts w:cs="Arial"/>
          <w:szCs w:val="20"/>
        </w:rPr>
        <w:t xml:space="preserve">, the statutory retention </w:t>
      </w:r>
      <w:r w:rsidRPr="00F05A80">
        <w:rPr>
          <w:rFonts w:cs="Arial"/>
          <w:b/>
          <w:bCs/>
          <w:szCs w:val="20"/>
        </w:rPr>
        <w:t>obligations</w:t>
      </w:r>
      <w:r w:rsidRPr="00DA3DD9">
        <w:rPr>
          <w:rFonts w:cs="Arial"/>
          <w:szCs w:val="20"/>
        </w:rPr>
        <w:t xml:space="preserve"> (</w:t>
      </w:r>
      <w:hyperlink w:anchor="_8.1.1._Anwaltsakten" w:history="1">
        <w:r w:rsidRPr="000013A3">
          <w:rPr>
            <w:rStyle w:val="Hyperlink"/>
            <w:rFonts w:cs="Arial"/>
            <w:szCs w:val="20"/>
          </w:rPr>
          <w:t>Chapter L.8.1.1</w:t>
        </w:r>
      </w:hyperlink>
      <w:r w:rsidRPr="00DA3DD9">
        <w:rPr>
          <w:rFonts w:cs="Arial"/>
          <w:szCs w:val="20"/>
        </w:rPr>
        <w:t xml:space="preserve">.) and the retention </w:t>
      </w:r>
      <w:r w:rsidRPr="00F05A80">
        <w:rPr>
          <w:rFonts w:cs="Arial"/>
          <w:b/>
          <w:bCs/>
          <w:szCs w:val="20"/>
        </w:rPr>
        <w:t xml:space="preserve">rights </w:t>
      </w:r>
      <w:r w:rsidRPr="00DA3DD9">
        <w:rPr>
          <w:rFonts w:cs="Arial"/>
          <w:szCs w:val="20"/>
        </w:rPr>
        <w:t>in Siemens' own interest</w:t>
      </w:r>
      <w:r w:rsidR="008943A2">
        <w:rPr>
          <w:rFonts w:cs="Arial"/>
          <w:szCs w:val="20"/>
        </w:rPr>
        <w:t xml:space="preserve"> (</w:t>
      </w:r>
      <w:hyperlink w:anchor="_8.1.2._Retention_rights" w:history="1">
        <w:r w:rsidR="008943A2" w:rsidRPr="008943A2">
          <w:rPr>
            <w:rStyle w:val="Hyperlink"/>
            <w:rFonts w:cs="Arial"/>
            <w:szCs w:val="20"/>
          </w:rPr>
          <w:t>Chapter L.8.1.2.</w:t>
        </w:r>
        <w:r w:rsidRPr="008943A2">
          <w:rPr>
            <w:rStyle w:val="Hyperlink"/>
            <w:rFonts w:cs="Arial"/>
            <w:szCs w:val="20"/>
          </w:rPr>
          <w:t>)</w:t>
        </w:r>
      </w:hyperlink>
      <w:r w:rsidRPr="00DA3DD9">
        <w:rPr>
          <w:rFonts w:cs="Arial"/>
          <w:szCs w:val="20"/>
        </w:rPr>
        <w:t xml:space="preserve"> must be observed.</w:t>
      </w:r>
    </w:p>
    <w:p w14:paraId="30E9DAB1" w14:textId="16778D33" w:rsidR="00ED3222" w:rsidRPr="008D655F" w:rsidRDefault="00ED3222" w:rsidP="00ED3222">
      <w:pPr>
        <w:pStyle w:val="KeinAbsatzformat"/>
        <w:rPr>
          <w:rFonts w:ascii="Arial" w:hAnsi="Arial" w:cs="Arial"/>
          <w:color w:val="auto"/>
          <w:sz w:val="20"/>
          <w:szCs w:val="20"/>
          <w:lang w:val="en-US"/>
        </w:rPr>
      </w:pPr>
    </w:p>
    <w:p w14:paraId="4DCF9749" w14:textId="0E11EF9A" w:rsidR="009F0E46" w:rsidRPr="008D655F" w:rsidRDefault="00ED3222" w:rsidP="00ED3222">
      <w:pPr>
        <w:pStyle w:val="berschrift3"/>
        <w:rPr>
          <w:rFonts w:cs="Arial"/>
          <w:sz w:val="20"/>
          <w:szCs w:val="20"/>
        </w:rPr>
      </w:pPr>
      <w:bookmarkStart w:id="4" w:name="_8.1.1._Anwaltsakten"/>
      <w:bookmarkStart w:id="5" w:name="_8.1.1._Gesetzliche_Aufbewahrungspfl"/>
      <w:bookmarkEnd w:id="4"/>
      <w:bookmarkEnd w:id="5"/>
      <w:r w:rsidRPr="008D655F">
        <w:rPr>
          <w:rFonts w:cs="Arial"/>
          <w:sz w:val="20"/>
          <w:szCs w:val="20"/>
        </w:rPr>
        <w:t xml:space="preserve">8.1.1. </w:t>
      </w:r>
      <w:r w:rsidR="004D400F" w:rsidRPr="008D655F">
        <w:rPr>
          <w:rFonts w:cs="Arial"/>
          <w:sz w:val="20"/>
          <w:szCs w:val="20"/>
        </w:rPr>
        <w:t>Legal retention obligations</w:t>
      </w:r>
    </w:p>
    <w:p w14:paraId="4A2929A1" w14:textId="38E548A3" w:rsidR="0076310E" w:rsidRPr="0076310E" w:rsidRDefault="0076310E" w:rsidP="009C431B">
      <w:r w:rsidRPr="0076310E">
        <w:t xml:space="preserve">Of particular interest in </w:t>
      </w:r>
      <w:r w:rsidR="00854978">
        <w:t>Compliance Case Handling</w:t>
      </w:r>
      <w:r w:rsidRPr="0076310E">
        <w:t xml:space="preserve"> are the retention obligations for </w:t>
      </w:r>
      <w:r w:rsidR="00854978">
        <w:t>lawyers`</w:t>
      </w:r>
      <w:r w:rsidRPr="0076310E">
        <w:t xml:space="preserve"> files (</w:t>
      </w:r>
      <w:hyperlink w:anchor="_8.1.1.1._Lawyers`_files" w:history="1">
        <w:r w:rsidRPr="003D0C5D">
          <w:rPr>
            <w:rStyle w:val="Hyperlink"/>
          </w:rPr>
          <w:t>Chapter L.8.1.1.1.),</w:t>
        </w:r>
      </w:hyperlink>
      <w:r w:rsidRPr="0076310E">
        <w:t xml:space="preserve"> individual German statutory retention obligations (</w:t>
      </w:r>
      <w:hyperlink w:anchor="_8.1.1.2._Besondere_gesetzliche" w:history="1">
        <w:r w:rsidRPr="003D0C5D">
          <w:rPr>
            <w:rStyle w:val="Hyperlink"/>
          </w:rPr>
          <w:t>Chapter L.8.1.1.2</w:t>
        </w:r>
      </w:hyperlink>
      <w:r w:rsidRPr="0076310E">
        <w:t>.) and the applicable national statutory retention obligations (</w:t>
      </w:r>
      <w:hyperlink w:anchor="_8.1.1.3._Sonstige_nationale" w:history="1">
        <w:r w:rsidRPr="003D0C5D">
          <w:rPr>
            <w:rStyle w:val="Hyperlink"/>
          </w:rPr>
          <w:t>Chapter L.8.1.1.3</w:t>
        </w:r>
      </w:hyperlink>
      <w:r w:rsidRPr="0076310E">
        <w:t>.).</w:t>
      </w:r>
    </w:p>
    <w:p w14:paraId="076BB170" w14:textId="23DF0F4E" w:rsidR="00ED3222" w:rsidRPr="008D655F" w:rsidRDefault="009F0E46" w:rsidP="009F0E46">
      <w:pPr>
        <w:pStyle w:val="berschrift4"/>
        <w:rPr>
          <w:rFonts w:cs="Arial"/>
          <w:sz w:val="20"/>
          <w:szCs w:val="20"/>
        </w:rPr>
      </w:pPr>
      <w:bookmarkStart w:id="6" w:name="_8.1.1.1._Anwaltsakten"/>
      <w:bookmarkStart w:id="7" w:name="_8.1.1.1._Lawyers`_files"/>
      <w:bookmarkEnd w:id="6"/>
      <w:bookmarkEnd w:id="7"/>
      <w:r w:rsidRPr="008D655F">
        <w:rPr>
          <w:rFonts w:cs="Arial"/>
          <w:sz w:val="20"/>
          <w:szCs w:val="20"/>
        </w:rPr>
        <w:t xml:space="preserve">8.1.1.1. </w:t>
      </w:r>
      <w:r w:rsidR="00E07D80" w:rsidRPr="008D655F">
        <w:rPr>
          <w:rFonts w:cs="Arial"/>
          <w:sz w:val="20"/>
          <w:szCs w:val="20"/>
        </w:rPr>
        <w:t>Lawyer</w:t>
      </w:r>
      <w:r w:rsidR="00227BE5" w:rsidRPr="008D655F">
        <w:rPr>
          <w:rFonts w:cs="Arial"/>
          <w:sz w:val="20"/>
          <w:szCs w:val="20"/>
        </w:rPr>
        <w:t>s` files</w:t>
      </w:r>
    </w:p>
    <w:p w14:paraId="6A54E89C" w14:textId="733CC5E1" w:rsidR="008E5AFC" w:rsidRDefault="00021FE7" w:rsidP="00D86B2D">
      <w:pPr>
        <w:jc w:val="both"/>
      </w:pPr>
      <w:r>
        <w:rPr>
          <w:rFonts w:cs="Arial"/>
        </w:rPr>
        <w:t>According to German law</w:t>
      </w:r>
      <w:r w:rsidR="00EC6BEA">
        <w:rPr>
          <w:rStyle w:val="Funotenzeichen"/>
          <w:rFonts w:cs="Arial"/>
        </w:rPr>
        <w:footnoteReference w:id="3"/>
      </w:r>
      <w:r w:rsidR="00D86B2D">
        <w:rPr>
          <w:rFonts w:cs="Arial"/>
        </w:rPr>
        <w:t xml:space="preserve">, </w:t>
      </w:r>
      <w:r w:rsidR="00D86B2D">
        <w:t xml:space="preserve">a lawyer shall retain files for </w:t>
      </w:r>
      <w:r w:rsidR="00D86B2D" w:rsidRPr="008E5AFC">
        <w:rPr>
          <w:b/>
          <w:bCs/>
        </w:rPr>
        <w:t>6 years</w:t>
      </w:r>
      <w:r w:rsidR="00D86B2D">
        <w:t xml:space="preserve"> after the end of the calendar year, in which he/she has brought a case to a conclusion, in order to be able to give an orderly account of his professional work. </w:t>
      </w:r>
    </w:p>
    <w:p w14:paraId="1C4D87F6" w14:textId="77777777" w:rsidR="008E5AFC" w:rsidRDefault="00D86B2D" w:rsidP="00D86B2D">
      <w:pPr>
        <w:jc w:val="both"/>
      </w:pPr>
      <w:r>
        <w:t xml:space="preserve">Files include </w:t>
      </w:r>
    </w:p>
    <w:p w14:paraId="7DD62AA6" w14:textId="77777777" w:rsidR="000417B3" w:rsidRDefault="00D86B2D" w:rsidP="008E5AFC">
      <w:pPr>
        <w:pStyle w:val="Listenabsatz"/>
        <w:numPr>
          <w:ilvl w:val="0"/>
          <w:numId w:val="11"/>
        </w:numPr>
        <w:jc w:val="both"/>
      </w:pPr>
      <w:r>
        <w:t xml:space="preserve">originals or copies of documents received for or on behalf of the client on grounds of lawyers’ professional practice, </w:t>
      </w:r>
    </w:p>
    <w:p w14:paraId="561534F1" w14:textId="77777777" w:rsidR="000417B3" w:rsidRDefault="00D86B2D" w:rsidP="008E5AFC">
      <w:pPr>
        <w:pStyle w:val="Listenabsatz"/>
        <w:numPr>
          <w:ilvl w:val="0"/>
          <w:numId w:val="11"/>
        </w:numPr>
        <w:jc w:val="both"/>
      </w:pPr>
      <w:r>
        <w:t xml:space="preserve">correspondence between the lawyer and the client and/or </w:t>
      </w:r>
    </w:p>
    <w:p w14:paraId="042EFCD5" w14:textId="22B97A46" w:rsidR="000417B3" w:rsidRDefault="00D86B2D" w:rsidP="000417B3">
      <w:pPr>
        <w:pStyle w:val="Listenabsatz"/>
        <w:numPr>
          <w:ilvl w:val="0"/>
          <w:numId w:val="11"/>
        </w:numPr>
        <w:jc w:val="both"/>
      </w:pPr>
      <w:r>
        <w:t xml:space="preserve">any other document necessary to comprehend the case. </w:t>
      </w:r>
    </w:p>
    <w:p w14:paraId="44A3F0BC" w14:textId="76CFF124" w:rsidR="009C431B" w:rsidRPr="005C1FE5" w:rsidRDefault="00D86B2D" w:rsidP="005C1FE5">
      <w:pPr>
        <w:jc w:val="both"/>
      </w:pPr>
      <w:r>
        <w:t>This applies accordingly in as far as the lawyer uses electronic data processing in order to keep files, such as LIA</w:t>
      </w:r>
      <w:r w:rsidR="00C472CF">
        <w:rPr>
          <w:rStyle w:val="Funotenzeichen"/>
        </w:rPr>
        <w:footnoteReference w:id="4"/>
      </w:r>
      <w:r>
        <w:t xml:space="preserve">, but it does not apply to data stored in other </w:t>
      </w:r>
      <w:r w:rsidRPr="00024633">
        <w:t>LC CO IR</w:t>
      </w:r>
      <w:r>
        <w:t xml:space="preserve"> tools</w:t>
      </w:r>
      <w:bookmarkStart w:id="8" w:name="_Hlk63692937"/>
      <w:r>
        <w:t>, such as FCMS</w:t>
      </w:r>
      <w:r w:rsidR="00973978">
        <w:rPr>
          <w:rStyle w:val="Funotenzeichen"/>
        </w:rPr>
        <w:footnoteReference w:id="5"/>
      </w:r>
      <w:r>
        <w:t>/</w:t>
      </w:r>
      <w:proofErr w:type="spellStart"/>
      <w:r>
        <w:t>Recommind</w:t>
      </w:r>
      <w:proofErr w:type="spellEnd"/>
      <w:r w:rsidR="00FB23AA">
        <w:rPr>
          <w:rStyle w:val="Funotenzeichen"/>
        </w:rPr>
        <w:footnoteReference w:id="6"/>
      </w:r>
      <w:r>
        <w:t xml:space="preserve"> data. However, evidence extracted from FCMS/</w:t>
      </w:r>
      <w:proofErr w:type="spellStart"/>
      <w:r>
        <w:t>Recommind</w:t>
      </w:r>
      <w:proofErr w:type="spellEnd"/>
      <w:r>
        <w:t xml:space="preserve"> data becomes part of the file stored in LIA and thus of the lawyers’ file, as far as such evidence is necessary to comprehend the case.</w:t>
      </w:r>
      <w:bookmarkEnd w:id="8"/>
    </w:p>
    <w:p w14:paraId="5F423BE1" w14:textId="4EB1B452" w:rsidR="009C431B" w:rsidRPr="002D0DB1" w:rsidRDefault="009C431B" w:rsidP="00395D49">
      <w:pPr>
        <w:pStyle w:val="berschrift4"/>
        <w:rPr>
          <w:rFonts w:cs="Arial"/>
          <w:sz w:val="20"/>
          <w:szCs w:val="20"/>
        </w:rPr>
      </w:pPr>
      <w:bookmarkStart w:id="9" w:name="_8.1.1.2._Besondere_gesetzliche"/>
      <w:bookmarkEnd w:id="9"/>
      <w:r w:rsidRPr="002D0DB1">
        <w:rPr>
          <w:rFonts w:cs="Arial"/>
          <w:sz w:val="20"/>
          <w:szCs w:val="20"/>
        </w:rPr>
        <w:t xml:space="preserve">8.1.1.2. </w:t>
      </w:r>
      <w:r w:rsidR="003A0201">
        <w:t>I</w:t>
      </w:r>
      <w:r w:rsidR="003A0201" w:rsidRPr="0076310E">
        <w:t>ndividual German statutory retention obligations</w:t>
      </w:r>
    </w:p>
    <w:p w14:paraId="43A94A51" w14:textId="05BAB3F2" w:rsidR="00F747EE" w:rsidRPr="00F747EE" w:rsidRDefault="00F747EE" w:rsidP="00F747EE">
      <w:pPr>
        <w:pStyle w:val="KeinAbsatzformat"/>
        <w:rPr>
          <w:rFonts w:ascii="Arial" w:hAnsi="Arial" w:cs="Arial"/>
          <w:color w:val="auto"/>
          <w:sz w:val="20"/>
          <w:szCs w:val="20"/>
          <w:lang w:val="en-US"/>
        </w:rPr>
      </w:pPr>
      <w:r w:rsidRPr="00F747EE">
        <w:rPr>
          <w:rFonts w:ascii="Arial" w:hAnsi="Arial" w:cs="Arial"/>
          <w:color w:val="auto"/>
          <w:sz w:val="20"/>
          <w:szCs w:val="20"/>
          <w:lang w:val="en-US"/>
        </w:rPr>
        <w:t xml:space="preserve">According to the </w:t>
      </w:r>
      <w:r w:rsidRPr="00F747EE">
        <w:rPr>
          <w:rFonts w:ascii="Arial" w:hAnsi="Arial" w:cs="Arial"/>
          <w:b/>
          <w:bCs/>
          <w:color w:val="auto"/>
          <w:sz w:val="20"/>
          <w:szCs w:val="20"/>
          <w:lang w:val="en-US"/>
        </w:rPr>
        <w:t>German Money Laundering Act</w:t>
      </w:r>
      <w:r w:rsidR="00EC5EE6">
        <w:rPr>
          <w:rFonts w:ascii="Arial" w:hAnsi="Arial" w:cs="Arial"/>
          <w:b/>
          <w:bCs/>
          <w:color w:val="auto"/>
          <w:sz w:val="20"/>
          <w:szCs w:val="20"/>
          <w:lang w:val="en-US"/>
        </w:rPr>
        <w:t xml:space="preserve"> </w:t>
      </w:r>
      <w:r w:rsidR="00EC5EE6" w:rsidRPr="00EC5EE6">
        <w:rPr>
          <w:rFonts w:ascii="Arial" w:hAnsi="Arial" w:cs="Arial"/>
          <w:color w:val="auto"/>
          <w:sz w:val="20"/>
          <w:szCs w:val="20"/>
          <w:lang w:val="en-US"/>
        </w:rPr>
        <w:t>(</w:t>
      </w:r>
      <w:proofErr w:type="spellStart"/>
      <w:r w:rsidR="00EC5EE6" w:rsidRPr="00EC5EE6">
        <w:rPr>
          <w:rFonts w:ascii="Arial" w:hAnsi="Arial" w:cs="Arial"/>
          <w:color w:val="auto"/>
          <w:sz w:val="20"/>
          <w:szCs w:val="20"/>
          <w:lang w:val="en-US"/>
        </w:rPr>
        <w:t>Geldwäschegesetz</w:t>
      </w:r>
      <w:proofErr w:type="spellEnd"/>
      <w:r w:rsidR="00EC5EE6" w:rsidRPr="00EC5EE6">
        <w:rPr>
          <w:rFonts w:ascii="Arial" w:hAnsi="Arial" w:cs="Arial"/>
          <w:color w:val="auto"/>
          <w:sz w:val="20"/>
          <w:szCs w:val="20"/>
          <w:lang w:val="en-US"/>
        </w:rPr>
        <w:t>)</w:t>
      </w:r>
      <w:r w:rsidRPr="00EC5EE6">
        <w:rPr>
          <w:rFonts w:ascii="Arial" w:hAnsi="Arial" w:cs="Arial"/>
          <w:color w:val="auto"/>
          <w:sz w:val="20"/>
          <w:szCs w:val="20"/>
          <w:lang w:val="en-US"/>
        </w:rPr>
        <w:t>,</w:t>
      </w:r>
      <w:r w:rsidRPr="00F747EE">
        <w:rPr>
          <w:rFonts w:ascii="Arial" w:hAnsi="Arial" w:cs="Arial"/>
          <w:color w:val="auto"/>
          <w:sz w:val="20"/>
          <w:szCs w:val="20"/>
          <w:lang w:val="en-US"/>
        </w:rPr>
        <w:t xml:space="preserve"> there is a </w:t>
      </w:r>
      <w:r w:rsidRPr="00F747EE">
        <w:rPr>
          <w:rFonts w:ascii="Arial" w:hAnsi="Arial" w:cs="Arial"/>
          <w:b/>
          <w:bCs/>
          <w:color w:val="auto"/>
          <w:sz w:val="20"/>
          <w:szCs w:val="20"/>
          <w:lang w:val="en-US"/>
        </w:rPr>
        <w:t>5-year</w:t>
      </w:r>
      <w:r w:rsidRPr="00F747EE">
        <w:rPr>
          <w:rFonts w:ascii="Arial" w:hAnsi="Arial" w:cs="Arial"/>
          <w:color w:val="auto"/>
          <w:sz w:val="20"/>
          <w:szCs w:val="20"/>
          <w:lang w:val="en-US"/>
        </w:rPr>
        <w:t xml:space="preserve"> retention obligation for all data collected and information obtained </w:t>
      </w:r>
      <w:proofErr w:type="gramStart"/>
      <w:r w:rsidRPr="00F747EE">
        <w:rPr>
          <w:rFonts w:ascii="Arial" w:hAnsi="Arial" w:cs="Arial"/>
          <w:color w:val="auto"/>
          <w:sz w:val="20"/>
          <w:szCs w:val="20"/>
          <w:lang w:val="en-US"/>
        </w:rPr>
        <w:t>in the course of</w:t>
      </w:r>
      <w:proofErr w:type="gramEnd"/>
      <w:r w:rsidRPr="00F747EE">
        <w:rPr>
          <w:rFonts w:ascii="Arial" w:hAnsi="Arial" w:cs="Arial"/>
          <w:color w:val="auto"/>
          <w:sz w:val="20"/>
          <w:szCs w:val="20"/>
          <w:lang w:val="en-US"/>
        </w:rPr>
        <w:t xml:space="preserve"> fulfilling due diligence obligations</w:t>
      </w:r>
      <w:r>
        <w:rPr>
          <w:rStyle w:val="Funotenzeichen"/>
          <w:rFonts w:ascii="Arial" w:hAnsi="Arial" w:cs="Arial"/>
          <w:color w:val="auto"/>
          <w:sz w:val="20"/>
          <w:szCs w:val="20"/>
          <w:lang w:val="en-US"/>
        </w:rPr>
        <w:footnoteReference w:id="7"/>
      </w:r>
      <w:r w:rsidRPr="00F747EE">
        <w:rPr>
          <w:rFonts w:ascii="Arial" w:hAnsi="Arial" w:cs="Arial"/>
          <w:color w:val="auto"/>
          <w:sz w:val="20"/>
          <w:szCs w:val="20"/>
          <w:lang w:val="en-US"/>
        </w:rPr>
        <w:t xml:space="preserve">. </w:t>
      </w:r>
    </w:p>
    <w:p w14:paraId="5094CF4E" w14:textId="77777777" w:rsidR="00F747EE" w:rsidRPr="00F747EE" w:rsidRDefault="00F747EE" w:rsidP="00F747EE">
      <w:pPr>
        <w:pStyle w:val="KeinAbsatzformat"/>
        <w:rPr>
          <w:rFonts w:ascii="Arial" w:hAnsi="Arial" w:cs="Arial"/>
          <w:color w:val="auto"/>
          <w:sz w:val="20"/>
          <w:szCs w:val="20"/>
          <w:lang w:val="en-US"/>
        </w:rPr>
      </w:pPr>
    </w:p>
    <w:p w14:paraId="77E1C0EB" w14:textId="38ACC265" w:rsidR="00F747EE" w:rsidRPr="00F747EE" w:rsidRDefault="00F747EE" w:rsidP="00F747EE">
      <w:pPr>
        <w:pStyle w:val="KeinAbsatzformat"/>
        <w:rPr>
          <w:rFonts w:ascii="Arial" w:hAnsi="Arial" w:cs="Arial"/>
          <w:color w:val="auto"/>
          <w:sz w:val="20"/>
          <w:szCs w:val="20"/>
          <w:lang w:val="en-US"/>
        </w:rPr>
      </w:pPr>
      <w:r w:rsidRPr="00F747EE">
        <w:rPr>
          <w:rFonts w:ascii="Arial" w:hAnsi="Arial" w:cs="Arial"/>
          <w:color w:val="auto"/>
          <w:sz w:val="20"/>
          <w:szCs w:val="20"/>
          <w:lang w:val="en-US"/>
        </w:rPr>
        <w:t xml:space="preserve">Under </w:t>
      </w:r>
      <w:r w:rsidRPr="00494D1B">
        <w:rPr>
          <w:rFonts w:ascii="Arial" w:hAnsi="Arial" w:cs="Arial"/>
          <w:b/>
          <w:bCs/>
          <w:color w:val="auto"/>
          <w:sz w:val="20"/>
          <w:szCs w:val="20"/>
          <w:lang w:val="en-US"/>
        </w:rPr>
        <w:t xml:space="preserve">German </w:t>
      </w:r>
      <w:r w:rsidR="00494D1B">
        <w:rPr>
          <w:rFonts w:ascii="Arial" w:hAnsi="Arial" w:cs="Arial"/>
          <w:b/>
          <w:bCs/>
          <w:color w:val="auto"/>
          <w:sz w:val="20"/>
          <w:szCs w:val="20"/>
          <w:lang w:val="en-US"/>
        </w:rPr>
        <w:t>S</w:t>
      </w:r>
      <w:r w:rsidRPr="00494D1B">
        <w:rPr>
          <w:rFonts w:ascii="Arial" w:hAnsi="Arial" w:cs="Arial"/>
          <w:b/>
          <w:bCs/>
          <w:color w:val="auto"/>
          <w:sz w:val="20"/>
          <w:szCs w:val="20"/>
          <w:lang w:val="en-US"/>
        </w:rPr>
        <w:t xml:space="preserve">ecurities </w:t>
      </w:r>
      <w:r w:rsidR="00494D1B">
        <w:rPr>
          <w:rFonts w:ascii="Arial" w:hAnsi="Arial" w:cs="Arial"/>
          <w:b/>
          <w:bCs/>
          <w:color w:val="auto"/>
          <w:sz w:val="20"/>
          <w:szCs w:val="20"/>
          <w:lang w:val="en-US"/>
        </w:rPr>
        <w:t>T</w:t>
      </w:r>
      <w:r w:rsidRPr="00494D1B">
        <w:rPr>
          <w:rFonts w:ascii="Arial" w:hAnsi="Arial" w:cs="Arial"/>
          <w:b/>
          <w:bCs/>
          <w:color w:val="auto"/>
          <w:sz w:val="20"/>
          <w:szCs w:val="20"/>
          <w:lang w:val="en-US"/>
        </w:rPr>
        <w:t xml:space="preserve">rading </w:t>
      </w:r>
      <w:r w:rsidR="00494D1B">
        <w:rPr>
          <w:rFonts w:ascii="Arial" w:hAnsi="Arial" w:cs="Arial"/>
          <w:b/>
          <w:bCs/>
          <w:color w:val="auto"/>
          <w:sz w:val="20"/>
          <w:szCs w:val="20"/>
          <w:lang w:val="en-US"/>
        </w:rPr>
        <w:t>L</w:t>
      </w:r>
      <w:r w:rsidRPr="00494D1B">
        <w:rPr>
          <w:rFonts w:ascii="Arial" w:hAnsi="Arial" w:cs="Arial"/>
          <w:b/>
          <w:bCs/>
          <w:color w:val="auto"/>
          <w:sz w:val="20"/>
          <w:szCs w:val="20"/>
          <w:lang w:val="en-US"/>
        </w:rPr>
        <w:t>aw</w:t>
      </w:r>
      <w:r w:rsidR="00EC5EE6">
        <w:rPr>
          <w:rFonts w:ascii="Arial" w:hAnsi="Arial" w:cs="Arial"/>
          <w:b/>
          <w:bCs/>
          <w:color w:val="auto"/>
          <w:sz w:val="20"/>
          <w:szCs w:val="20"/>
          <w:lang w:val="en-US"/>
        </w:rPr>
        <w:t xml:space="preserve"> </w:t>
      </w:r>
      <w:r w:rsidR="00EC5EE6" w:rsidRPr="00EC5EE6">
        <w:rPr>
          <w:rFonts w:ascii="Arial" w:hAnsi="Arial" w:cs="Arial"/>
          <w:color w:val="auto"/>
          <w:sz w:val="20"/>
          <w:szCs w:val="20"/>
          <w:lang w:val="en-US"/>
        </w:rPr>
        <w:t>(</w:t>
      </w:r>
      <w:proofErr w:type="spellStart"/>
      <w:r w:rsidR="00EC5EE6" w:rsidRPr="00EC5EE6">
        <w:rPr>
          <w:rFonts w:ascii="Arial" w:hAnsi="Arial" w:cs="Arial"/>
          <w:color w:val="auto"/>
          <w:sz w:val="20"/>
          <w:szCs w:val="20"/>
          <w:lang w:val="en-US"/>
        </w:rPr>
        <w:t>Wertpapierhandelsgesetz</w:t>
      </w:r>
      <w:proofErr w:type="spellEnd"/>
      <w:r w:rsidR="00EC5EE6" w:rsidRPr="00EC5EE6">
        <w:rPr>
          <w:rFonts w:ascii="Arial" w:hAnsi="Arial" w:cs="Arial"/>
          <w:color w:val="auto"/>
          <w:sz w:val="20"/>
          <w:szCs w:val="20"/>
          <w:lang w:val="en-US"/>
        </w:rPr>
        <w:t>)</w:t>
      </w:r>
      <w:r w:rsidRPr="00EC5EE6">
        <w:rPr>
          <w:rFonts w:ascii="Arial" w:hAnsi="Arial" w:cs="Arial"/>
          <w:color w:val="auto"/>
          <w:sz w:val="20"/>
          <w:szCs w:val="20"/>
          <w:lang w:val="en-US"/>
        </w:rPr>
        <w:t>,</w:t>
      </w:r>
      <w:r w:rsidRPr="00F747EE">
        <w:rPr>
          <w:rFonts w:ascii="Arial" w:hAnsi="Arial" w:cs="Arial"/>
          <w:color w:val="auto"/>
          <w:sz w:val="20"/>
          <w:szCs w:val="20"/>
          <w:lang w:val="en-US"/>
        </w:rPr>
        <w:t xml:space="preserve"> there is a retention obligation of </w:t>
      </w:r>
      <w:r w:rsidRPr="00494D1B">
        <w:rPr>
          <w:rFonts w:ascii="Arial" w:hAnsi="Arial" w:cs="Arial"/>
          <w:b/>
          <w:bCs/>
          <w:color w:val="auto"/>
          <w:sz w:val="20"/>
          <w:szCs w:val="20"/>
          <w:lang w:val="en-US"/>
        </w:rPr>
        <w:t>5 years</w:t>
      </w:r>
      <w:r w:rsidR="00494D1B">
        <w:rPr>
          <w:rStyle w:val="Funotenzeichen"/>
          <w:rFonts w:ascii="Arial" w:hAnsi="Arial" w:cs="Arial"/>
          <w:b/>
          <w:bCs/>
          <w:color w:val="auto"/>
          <w:sz w:val="20"/>
          <w:szCs w:val="20"/>
          <w:lang w:val="en-US"/>
        </w:rPr>
        <w:footnoteReference w:id="8"/>
      </w:r>
      <w:r w:rsidRPr="00F747EE">
        <w:rPr>
          <w:rFonts w:ascii="Arial" w:hAnsi="Arial" w:cs="Arial"/>
          <w:color w:val="auto"/>
          <w:sz w:val="20"/>
          <w:szCs w:val="20"/>
          <w:lang w:val="en-US"/>
        </w:rPr>
        <w:t xml:space="preserve">. </w:t>
      </w:r>
    </w:p>
    <w:p w14:paraId="2AB2F28E" w14:textId="77777777" w:rsidR="00F747EE" w:rsidRPr="00F747EE" w:rsidRDefault="00F747EE" w:rsidP="00F747EE">
      <w:pPr>
        <w:pStyle w:val="KeinAbsatzformat"/>
        <w:rPr>
          <w:rFonts w:ascii="Arial" w:hAnsi="Arial" w:cs="Arial"/>
          <w:color w:val="auto"/>
          <w:sz w:val="20"/>
          <w:szCs w:val="20"/>
          <w:lang w:val="en-US"/>
        </w:rPr>
      </w:pPr>
    </w:p>
    <w:p w14:paraId="2E0FFCBE" w14:textId="6BF89F4E" w:rsidR="00F747EE" w:rsidRPr="00F747EE" w:rsidRDefault="00F747EE" w:rsidP="00F747EE">
      <w:pPr>
        <w:pStyle w:val="KeinAbsatzformat"/>
        <w:rPr>
          <w:rFonts w:ascii="Arial" w:hAnsi="Arial" w:cs="Arial"/>
          <w:color w:val="auto"/>
          <w:sz w:val="20"/>
          <w:szCs w:val="20"/>
          <w:lang w:val="en-US"/>
        </w:rPr>
      </w:pPr>
      <w:r w:rsidRPr="00F747EE">
        <w:rPr>
          <w:rFonts w:ascii="Arial" w:hAnsi="Arial" w:cs="Arial"/>
          <w:color w:val="auto"/>
          <w:sz w:val="20"/>
          <w:szCs w:val="20"/>
          <w:lang w:val="en-US"/>
        </w:rPr>
        <w:lastRenderedPageBreak/>
        <w:t xml:space="preserve">According to the </w:t>
      </w:r>
      <w:r w:rsidRPr="00EC5EE6">
        <w:rPr>
          <w:rFonts w:ascii="Arial" w:hAnsi="Arial" w:cs="Arial"/>
          <w:b/>
          <w:bCs/>
          <w:color w:val="auto"/>
          <w:sz w:val="20"/>
          <w:szCs w:val="20"/>
          <w:lang w:val="en-US"/>
        </w:rPr>
        <w:t>German Fiscal Code</w:t>
      </w:r>
      <w:r w:rsidRPr="00F747EE">
        <w:rPr>
          <w:rFonts w:ascii="Arial" w:hAnsi="Arial" w:cs="Arial"/>
          <w:color w:val="auto"/>
          <w:sz w:val="20"/>
          <w:szCs w:val="20"/>
          <w:lang w:val="en-US"/>
        </w:rPr>
        <w:t xml:space="preserve"> (</w:t>
      </w:r>
      <w:proofErr w:type="spellStart"/>
      <w:r w:rsidRPr="00F747EE">
        <w:rPr>
          <w:rFonts w:ascii="Arial" w:hAnsi="Arial" w:cs="Arial"/>
          <w:color w:val="auto"/>
          <w:sz w:val="20"/>
          <w:szCs w:val="20"/>
          <w:lang w:val="en-US"/>
        </w:rPr>
        <w:t>Abgabenordnung</w:t>
      </w:r>
      <w:proofErr w:type="spellEnd"/>
      <w:r w:rsidRPr="00F747EE">
        <w:rPr>
          <w:rFonts w:ascii="Arial" w:hAnsi="Arial" w:cs="Arial"/>
          <w:color w:val="auto"/>
          <w:sz w:val="20"/>
          <w:szCs w:val="20"/>
          <w:lang w:val="en-US"/>
        </w:rPr>
        <w:t xml:space="preserve">) and the </w:t>
      </w:r>
      <w:r w:rsidRPr="00EC5EE6">
        <w:rPr>
          <w:rFonts w:ascii="Arial" w:hAnsi="Arial" w:cs="Arial"/>
          <w:b/>
          <w:bCs/>
          <w:color w:val="auto"/>
          <w:sz w:val="20"/>
          <w:szCs w:val="20"/>
          <w:lang w:val="en-US"/>
        </w:rPr>
        <w:t>German Commercial Code</w:t>
      </w:r>
      <w:r w:rsidRPr="00F747EE">
        <w:rPr>
          <w:rFonts w:ascii="Arial" w:hAnsi="Arial" w:cs="Arial"/>
          <w:color w:val="auto"/>
          <w:sz w:val="20"/>
          <w:szCs w:val="20"/>
          <w:lang w:val="en-US"/>
        </w:rPr>
        <w:t xml:space="preserve"> (</w:t>
      </w:r>
      <w:proofErr w:type="spellStart"/>
      <w:r w:rsidRPr="00F747EE">
        <w:rPr>
          <w:rFonts w:ascii="Arial" w:hAnsi="Arial" w:cs="Arial"/>
          <w:color w:val="auto"/>
          <w:sz w:val="20"/>
          <w:szCs w:val="20"/>
          <w:lang w:val="en-US"/>
        </w:rPr>
        <w:t>Handelsgesetzbuch</w:t>
      </w:r>
      <w:proofErr w:type="spellEnd"/>
      <w:r w:rsidRPr="00F747EE">
        <w:rPr>
          <w:rFonts w:ascii="Arial" w:hAnsi="Arial" w:cs="Arial"/>
          <w:color w:val="auto"/>
          <w:sz w:val="20"/>
          <w:szCs w:val="20"/>
          <w:lang w:val="en-US"/>
        </w:rPr>
        <w:t xml:space="preserve">), original invoices and underlying contractual and tax-related documents, i.e. in particular contracts with external lawyers, must be retained for </w:t>
      </w:r>
      <w:r w:rsidRPr="001A307F">
        <w:rPr>
          <w:rFonts w:ascii="Arial" w:hAnsi="Arial" w:cs="Arial"/>
          <w:b/>
          <w:bCs/>
          <w:color w:val="auto"/>
          <w:sz w:val="20"/>
          <w:szCs w:val="20"/>
          <w:lang w:val="en-US"/>
        </w:rPr>
        <w:t>10 years</w:t>
      </w:r>
      <w:r w:rsidR="001A307F">
        <w:rPr>
          <w:rStyle w:val="Funotenzeichen"/>
          <w:rFonts w:ascii="Arial" w:hAnsi="Arial" w:cs="Arial"/>
          <w:b/>
          <w:bCs/>
          <w:color w:val="auto"/>
          <w:sz w:val="20"/>
          <w:szCs w:val="20"/>
          <w:lang w:val="en-US"/>
        </w:rPr>
        <w:footnoteReference w:id="9"/>
      </w:r>
      <w:r w:rsidRPr="00F747EE">
        <w:rPr>
          <w:rFonts w:ascii="Arial" w:hAnsi="Arial" w:cs="Arial"/>
          <w:color w:val="auto"/>
          <w:sz w:val="20"/>
          <w:szCs w:val="20"/>
          <w:lang w:val="en-US"/>
        </w:rPr>
        <w:t xml:space="preserve">. </w:t>
      </w:r>
    </w:p>
    <w:p w14:paraId="7239456D" w14:textId="77777777" w:rsidR="00F747EE" w:rsidRPr="00F747EE" w:rsidRDefault="00F747EE" w:rsidP="00291971">
      <w:pPr>
        <w:pStyle w:val="KeinAbsatzformat"/>
        <w:rPr>
          <w:rFonts w:ascii="Arial" w:hAnsi="Arial" w:cs="Arial"/>
          <w:color w:val="auto"/>
          <w:sz w:val="20"/>
          <w:szCs w:val="20"/>
          <w:lang w:val="en-US"/>
        </w:rPr>
      </w:pPr>
    </w:p>
    <w:p w14:paraId="01FD5E5C" w14:textId="63F200A8" w:rsidR="009C431B" w:rsidRPr="00E24AB4" w:rsidRDefault="009C431B" w:rsidP="009C431B">
      <w:pPr>
        <w:pStyle w:val="berschrift4"/>
        <w:rPr>
          <w:rFonts w:cs="Arial"/>
          <w:sz w:val="20"/>
          <w:szCs w:val="20"/>
        </w:rPr>
      </w:pPr>
      <w:bookmarkStart w:id="10" w:name="_8.1.1.3._Sonstige_nationale"/>
      <w:bookmarkEnd w:id="10"/>
      <w:r w:rsidRPr="00E24AB4">
        <w:rPr>
          <w:rFonts w:cs="Arial"/>
          <w:sz w:val="20"/>
          <w:szCs w:val="20"/>
        </w:rPr>
        <w:t xml:space="preserve">8.1.1.3. </w:t>
      </w:r>
      <w:r w:rsidR="002D0DB1">
        <w:t xml:space="preserve">Further </w:t>
      </w:r>
      <w:r w:rsidR="002D0DB1" w:rsidRPr="0076310E">
        <w:t>national statutory retention obligations</w:t>
      </w:r>
    </w:p>
    <w:p w14:paraId="302AB921" w14:textId="37D2C135" w:rsidR="00704577" w:rsidRPr="00704577" w:rsidRDefault="00704577" w:rsidP="009C431B">
      <w:pPr>
        <w:pStyle w:val="KeinAbsatzformat"/>
        <w:rPr>
          <w:rFonts w:ascii="Arial" w:hAnsi="Arial" w:cs="Arial"/>
          <w:color w:val="auto"/>
          <w:sz w:val="20"/>
          <w:szCs w:val="20"/>
          <w:lang w:val="en-US"/>
        </w:rPr>
      </w:pPr>
      <w:r w:rsidRPr="00704577">
        <w:rPr>
          <w:rFonts w:ascii="Arial" w:hAnsi="Arial" w:cs="Arial"/>
          <w:color w:val="auto"/>
          <w:sz w:val="20"/>
          <w:szCs w:val="20"/>
          <w:lang w:val="en-US"/>
        </w:rPr>
        <w:t>If the national law applicable in the specific case prescribes further retention periods, these must be observed separately. For details, please refer to the applicable national regulations and case law.</w:t>
      </w:r>
    </w:p>
    <w:p w14:paraId="02EDDC6D" w14:textId="08C5A555" w:rsidR="001F3052" w:rsidRPr="00687631" w:rsidRDefault="00ED3222" w:rsidP="00B60342">
      <w:pPr>
        <w:pStyle w:val="berschrift3"/>
        <w:rPr>
          <w:rFonts w:cs="Arial"/>
          <w:sz w:val="20"/>
          <w:szCs w:val="20"/>
        </w:rPr>
      </w:pPr>
      <w:bookmarkStart w:id="11" w:name="_8.1.2._Retention_rights"/>
      <w:bookmarkEnd w:id="11"/>
      <w:r w:rsidRPr="00A85147">
        <w:rPr>
          <w:rFonts w:cs="Arial"/>
          <w:sz w:val="20"/>
          <w:szCs w:val="20"/>
        </w:rPr>
        <w:t xml:space="preserve">8.1.2. </w:t>
      </w:r>
      <w:r w:rsidR="00687631" w:rsidRPr="00687631">
        <w:rPr>
          <w:rFonts w:cs="Arial"/>
          <w:szCs w:val="20"/>
        </w:rPr>
        <w:t>Retention rights in Siemens' own interest</w:t>
      </w:r>
    </w:p>
    <w:p w14:paraId="4613CAF5" w14:textId="005CFE78" w:rsidR="00DA68EF" w:rsidRPr="00DA68EF" w:rsidRDefault="00DA68EF" w:rsidP="003A4489">
      <w:pPr>
        <w:pStyle w:val="KeinAbsatzformat"/>
        <w:rPr>
          <w:rFonts w:ascii="Arial" w:hAnsi="Arial" w:cs="Arial"/>
          <w:color w:val="auto"/>
          <w:sz w:val="20"/>
          <w:szCs w:val="20"/>
          <w:lang w:val="en-US"/>
        </w:rPr>
      </w:pPr>
      <w:r w:rsidRPr="00DA68EF">
        <w:rPr>
          <w:rFonts w:ascii="Arial" w:hAnsi="Arial" w:cs="Arial"/>
          <w:color w:val="auto"/>
          <w:sz w:val="20"/>
          <w:szCs w:val="20"/>
          <w:lang w:val="en-US"/>
        </w:rPr>
        <w:t xml:space="preserve">A data retention </w:t>
      </w:r>
      <w:r w:rsidRPr="00DA68EF">
        <w:rPr>
          <w:rFonts w:ascii="Arial" w:hAnsi="Arial" w:cs="Arial"/>
          <w:b/>
          <w:bCs/>
          <w:color w:val="auto"/>
          <w:sz w:val="20"/>
          <w:szCs w:val="20"/>
          <w:lang w:val="en-US"/>
        </w:rPr>
        <w:t>right</w:t>
      </w:r>
      <w:r w:rsidRPr="00DA68EF">
        <w:rPr>
          <w:rFonts w:ascii="Arial" w:hAnsi="Arial" w:cs="Arial"/>
          <w:color w:val="auto"/>
          <w:sz w:val="20"/>
          <w:szCs w:val="20"/>
          <w:lang w:val="en-US"/>
        </w:rPr>
        <w:t xml:space="preserve"> results from how long it is justified under data protection law, i.e. necessary for Siemens in the respective individual case, to take into account collected personal data in the context of a Compliance investigation (</w:t>
      </w:r>
      <w:hyperlink w:anchor="_8.1.2.1._Legal_Hold" w:history="1">
        <w:r w:rsidRPr="004A011C">
          <w:rPr>
            <w:rStyle w:val="Hyperlink"/>
            <w:rFonts w:ascii="Arial" w:hAnsi="Arial" w:cs="Arial"/>
            <w:sz w:val="20"/>
            <w:szCs w:val="20"/>
            <w:lang w:val="en-US"/>
          </w:rPr>
          <w:t>Chapter L.8.1.2.1</w:t>
        </w:r>
        <w:r w:rsidR="004A011C" w:rsidRPr="004A011C">
          <w:rPr>
            <w:rStyle w:val="Hyperlink"/>
            <w:rFonts w:ascii="Arial" w:hAnsi="Arial" w:cs="Arial"/>
            <w:sz w:val="20"/>
            <w:szCs w:val="20"/>
            <w:lang w:val="en-US"/>
          </w:rPr>
          <w:t>:</w:t>
        </w:r>
        <w:r w:rsidR="004A011C" w:rsidRPr="004A011C">
          <w:rPr>
            <w:rStyle w:val="Hyperlink"/>
            <w:rFonts w:ascii="Arial" w:hAnsi="Arial" w:cs="Arial"/>
            <w:sz w:val="20"/>
            <w:szCs w:val="20"/>
            <w:lang w:val="en-US"/>
          </w:rPr>
          <w:t>`Legal Hold`)</w:t>
        </w:r>
      </w:hyperlink>
      <w:r w:rsidR="00341BB6">
        <w:rPr>
          <w:rFonts w:ascii="Arial" w:hAnsi="Arial" w:cs="Arial"/>
          <w:color w:val="auto"/>
          <w:sz w:val="20"/>
          <w:szCs w:val="20"/>
          <w:lang w:val="en-US"/>
        </w:rPr>
        <w:t xml:space="preserve"> </w:t>
      </w:r>
      <w:r w:rsidRPr="00DA68EF">
        <w:rPr>
          <w:rFonts w:ascii="Arial" w:hAnsi="Arial" w:cs="Arial"/>
          <w:color w:val="auto"/>
          <w:sz w:val="20"/>
          <w:szCs w:val="20"/>
          <w:lang w:val="en-US"/>
        </w:rPr>
        <w:t xml:space="preserve">or also with regard to </w:t>
      </w:r>
      <w:r w:rsidR="00DE00B3">
        <w:rPr>
          <w:rFonts w:ascii="Arial" w:hAnsi="Arial" w:cs="Arial"/>
          <w:color w:val="auto"/>
          <w:sz w:val="20"/>
          <w:szCs w:val="20"/>
          <w:lang w:val="en-US"/>
        </w:rPr>
        <w:t>imminent</w:t>
      </w:r>
      <w:r w:rsidRPr="00DA68EF">
        <w:rPr>
          <w:rFonts w:ascii="Arial" w:hAnsi="Arial" w:cs="Arial"/>
          <w:color w:val="auto"/>
          <w:sz w:val="20"/>
          <w:szCs w:val="20"/>
          <w:lang w:val="en-US"/>
        </w:rPr>
        <w:t xml:space="preserve"> or pending </w:t>
      </w:r>
      <w:r w:rsidR="00853E88" w:rsidRPr="00853E88">
        <w:rPr>
          <w:rFonts w:ascii="Arial" w:hAnsi="Arial" w:cs="Arial"/>
          <w:color w:val="auto"/>
          <w:sz w:val="20"/>
          <w:szCs w:val="20"/>
          <w:lang w:val="en-US"/>
        </w:rPr>
        <w:t>damage claims, criminal or administrative fines</w:t>
      </w:r>
      <w:r w:rsidRPr="00DA68EF">
        <w:rPr>
          <w:rFonts w:ascii="Arial" w:hAnsi="Arial" w:cs="Arial"/>
          <w:color w:val="auto"/>
          <w:sz w:val="20"/>
          <w:szCs w:val="20"/>
          <w:lang w:val="en-US"/>
        </w:rPr>
        <w:t xml:space="preserve"> </w:t>
      </w:r>
      <w:r w:rsidR="00F2607D" w:rsidRPr="00853E88">
        <w:rPr>
          <w:rFonts w:ascii="Arial" w:hAnsi="Arial" w:cs="Arial"/>
          <w:color w:val="auto"/>
          <w:sz w:val="20"/>
          <w:szCs w:val="20"/>
          <w:lang w:val="en-US"/>
        </w:rPr>
        <w:t>proceedings</w:t>
      </w:r>
      <w:r w:rsidR="00F2607D" w:rsidRPr="00DA68EF">
        <w:rPr>
          <w:rFonts w:ascii="Arial" w:hAnsi="Arial" w:cs="Arial"/>
          <w:color w:val="auto"/>
          <w:sz w:val="20"/>
          <w:szCs w:val="20"/>
          <w:lang w:val="en-US"/>
        </w:rPr>
        <w:t xml:space="preserve"> </w:t>
      </w:r>
      <w:r w:rsidRPr="00DA68EF">
        <w:rPr>
          <w:rFonts w:ascii="Arial" w:hAnsi="Arial" w:cs="Arial"/>
          <w:color w:val="auto"/>
          <w:sz w:val="20"/>
          <w:szCs w:val="20"/>
          <w:lang w:val="en-US"/>
        </w:rPr>
        <w:t>(</w:t>
      </w:r>
      <w:hyperlink w:anchor="_8.1.2.2._Statutory_Limitation" w:history="1">
        <w:r w:rsidRPr="00853E88">
          <w:rPr>
            <w:rStyle w:val="Hyperlink"/>
            <w:rFonts w:ascii="Arial" w:hAnsi="Arial" w:cs="Arial"/>
            <w:sz w:val="20"/>
            <w:szCs w:val="20"/>
            <w:lang w:val="en-US"/>
          </w:rPr>
          <w:t>Chapter L.8.1.2.2.</w:t>
        </w:r>
        <w:r w:rsidR="004A011C">
          <w:rPr>
            <w:rStyle w:val="Hyperlink"/>
            <w:rFonts w:ascii="Arial" w:hAnsi="Arial" w:cs="Arial"/>
            <w:sz w:val="20"/>
            <w:szCs w:val="20"/>
            <w:lang w:val="en-US"/>
          </w:rPr>
          <w:t>:</w:t>
        </w:r>
        <w:r w:rsidR="00655197">
          <w:rPr>
            <w:rStyle w:val="Hyperlink"/>
            <w:rFonts w:ascii="Arial" w:hAnsi="Arial" w:cs="Arial"/>
            <w:sz w:val="20"/>
            <w:szCs w:val="20"/>
            <w:lang w:val="en-US"/>
          </w:rPr>
          <w:t xml:space="preserve"> </w:t>
        </w:r>
        <w:r w:rsidR="00655197" w:rsidRPr="00655197">
          <w:rPr>
            <w:rStyle w:val="Hyperlink"/>
            <w:rFonts w:ascii="Arial" w:hAnsi="Arial" w:cs="Arial"/>
            <w:sz w:val="20"/>
            <w:szCs w:val="20"/>
            <w:lang w:val="en-US"/>
          </w:rPr>
          <w:t>Statutory Limitation Periods</w:t>
        </w:r>
        <w:r w:rsidRPr="00853E88">
          <w:rPr>
            <w:rStyle w:val="Hyperlink"/>
            <w:rFonts w:ascii="Arial" w:hAnsi="Arial" w:cs="Arial"/>
            <w:sz w:val="20"/>
            <w:szCs w:val="20"/>
            <w:lang w:val="en-US"/>
          </w:rPr>
          <w:t>).</w:t>
        </w:r>
      </w:hyperlink>
    </w:p>
    <w:p w14:paraId="2E45C522" w14:textId="77777777" w:rsidR="00DA68EF" w:rsidRPr="00DA68EF" w:rsidRDefault="00DA68EF" w:rsidP="003A4489">
      <w:pPr>
        <w:pStyle w:val="KeinAbsatzformat"/>
        <w:rPr>
          <w:rFonts w:ascii="Arial" w:hAnsi="Arial" w:cs="Arial"/>
          <w:color w:val="auto"/>
          <w:sz w:val="20"/>
          <w:szCs w:val="20"/>
          <w:lang w:val="en-US"/>
        </w:rPr>
      </w:pPr>
    </w:p>
    <w:p w14:paraId="187B75BF" w14:textId="61EC5701" w:rsidR="00646657" w:rsidRPr="009F0E46" w:rsidRDefault="001F3052" w:rsidP="009F0E46">
      <w:pPr>
        <w:pStyle w:val="berschrift4"/>
        <w:rPr>
          <w:rFonts w:cs="Arial"/>
          <w:sz w:val="20"/>
          <w:szCs w:val="20"/>
          <w:lang w:val="de-DE"/>
        </w:rPr>
      </w:pPr>
      <w:bookmarkStart w:id="12" w:name="_8.1.2.1._Legal_Hold"/>
      <w:bookmarkEnd w:id="12"/>
      <w:r>
        <w:rPr>
          <w:rFonts w:cs="Arial"/>
          <w:sz w:val="20"/>
          <w:szCs w:val="20"/>
          <w:lang w:val="de-DE"/>
        </w:rPr>
        <w:t xml:space="preserve">8.1.2.1. </w:t>
      </w:r>
      <w:r w:rsidR="00B60342" w:rsidRPr="00291971">
        <w:rPr>
          <w:rFonts w:cs="Arial"/>
          <w:sz w:val="20"/>
          <w:szCs w:val="20"/>
          <w:lang w:val="de-DE"/>
        </w:rPr>
        <w:t>Legal Hold</w:t>
      </w:r>
    </w:p>
    <w:p w14:paraId="750D3067" w14:textId="063B9DF4" w:rsidR="002F0109" w:rsidRPr="002F0109" w:rsidRDefault="002F0109" w:rsidP="00646657">
      <w:pPr>
        <w:pStyle w:val="KeinAbsatzformat"/>
        <w:rPr>
          <w:rFonts w:ascii="Arial" w:hAnsi="Arial" w:cs="Arial"/>
          <w:color w:val="auto"/>
          <w:sz w:val="20"/>
          <w:szCs w:val="20"/>
          <w:lang w:val="en-US"/>
        </w:rPr>
      </w:pPr>
      <w:r w:rsidRPr="002F0109">
        <w:rPr>
          <w:rFonts w:ascii="Arial" w:hAnsi="Arial" w:cs="Arial"/>
          <w:color w:val="auto"/>
          <w:sz w:val="20"/>
          <w:szCs w:val="20"/>
          <w:lang w:val="en-US"/>
        </w:rPr>
        <w:t xml:space="preserve">A right of retention may arise </w:t>
      </w:r>
      <w:proofErr w:type="gramStart"/>
      <w:r w:rsidRPr="002F0109">
        <w:rPr>
          <w:rFonts w:ascii="Arial" w:hAnsi="Arial" w:cs="Arial"/>
          <w:color w:val="auto"/>
          <w:sz w:val="20"/>
          <w:szCs w:val="20"/>
          <w:lang w:val="en-US"/>
        </w:rPr>
        <w:t>in the course of</w:t>
      </w:r>
      <w:proofErr w:type="gramEnd"/>
      <w:r w:rsidRPr="002F0109">
        <w:rPr>
          <w:rFonts w:ascii="Arial" w:hAnsi="Arial" w:cs="Arial"/>
          <w:color w:val="auto"/>
          <w:sz w:val="20"/>
          <w:szCs w:val="20"/>
          <w:lang w:val="en-US"/>
        </w:rPr>
        <w:t xml:space="preserve"> a </w:t>
      </w:r>
      <w:r w:rsidR="005A738F">
        <w:rPr>
          <w:rFonts w:ascii="Arial" w:hAnsi="Arial" w:cs="Arial"/>
          <w:color w:val="auto"/>
          <w:sz w:val="20"/>
          <w:szCs w:val="20"/>
          <w:lang w:val="en-US"/>
        </w:rPr>
        <w:t>C</w:t>
      </w:r>
      <w:r w:rsidRPr="002F0109">
        <w:rPr>
          <w:rFonts w:ascii="Arial" w:hAnsi="Arial" w:cs="Arial"/>
          <w:color w:val="auto"/>
          <w:sz w:val="20"/>
          <w:szCs w:val="20"/>
          <w:lang w:val="en-US"/>
        </w:rPr>
        <w:t xml:space="preserve">ompliance investigation. After a </w:t>
      </w:r>
      <w:r w:rsidR="005A738F">
        <w:rPr>
          <w:rFonts w:ascii="Arial" w:hAnsi="Arial" w:cs="Arial"/>
          <w:color w:val="auto"/>
          <w:sz w:val="20"/>
          <w:szCs w:val="20"/>
          <w:lang w:val="en-US"/>
        </w:rPr>
        <w:t>C</w:t>
      </w:r>
      <w:r w:rsidRPr="002F0109">
        <w:rPr>
          <w:rFonts w:ascii="Arial" w:hAnsi="Arial" w:cs="Arial"/>
          <w:color w:val="auto"/>
          <w:sz w:val="20"/>
          <w:szCs w:val="20"/>
          <w:lang w:val="en-US"/>
        </w:rPr>
        <w:t xml:space="preserve">ompliance investigation has been initiated, LC CO IR may issue a </w:t>
      </w:r>
      <w:r w:rsidR="005A738F" w:rsidRPr="00D252CF">
        <w:rPr>
          <w:rFonts w:ascii="Arial" w:hAnsi="Arial" w:cs="Arial"/>
          <w:b/>
          <w:bCs/>
          <w:color w:val="auto"/>
          <w:sz w:val="20"/>
          <w:szCs w:val="20"/>
          <w:lang w:val="en-US"/>
        </w:rPr>
        <w:t>L</w:t>
      </w:r>
      <w:r w:rsidRPr="00D252CF">
        <w:rPr>
          <w:rFonts w:ascii="Arial" w:hAnsi="Arial" w:cs="Arial"/>
          <w:b/>
          <w:bCs/>
          <w:color w:val="auto"/>
          <w:sz w:val="20"/>
          <w:szCs w:val="20"/>
          <w:lang w:val="en-US"/>
        </w:rPr>
        <w:t xml:space="preserve">egal </w:t>
      </w:r>
      <w:r w:rsidR="005A738F" w:rsidRPr="00D252CF">
        <w:rPr>
          <w:rFonts w:ascii="Arial" w:hAnsi="Arial" w:cs="Arial"/>
          <w:b/>
          <w:bCs/>
          <w:color w:val="auto"/>
          <w:sz w:val="20"/>
          <w:szCs w:val="20"/>
          <w:lang w:val="en-US"/>
        </w:rPr>
        <w:t>H</w:t>
      </w:r>
      <w:r w:rsidRPr="00D252CF">
        <w:rPr>
          <w:rFonts w:ascii="Arial" w:hAnsi="Arial" w:cs="Arial"/>
          <w:b/>
          <w:bCs/>
          <w:color w:val="auto"/>
          <w:sz w:val="20"/>
          <w:szCs w:val="20"/>
          <w:lang w:val="en-US"/>
        </w:rPr>
        <w:t>old</w:t>
      </w:r>
      <w:r w:rsidR="002C51F9">
        <w:rPr>
          <w:rStyle w:val="Funotenzeichen"/>
          <w:rFonts w:ascii="Arial" w:hAnsi="Arial" w:cs="Arial"/>
          <w:color w:val="auto"/>
          <w:sz w:val="20"/>
          <w:szCs w:val="20"/>
          <w:lang w:val="en-US"/>
        </w:rPr>
        <w:footnoteReference w:id="10"/>
      </w:r>
      <w:r w:rsidRPr="002F0109">
        <w:rPr>
          <w:rFonts w:ascii="Arial" w:hAnsi="Arial" w:cs="Arial"/>
          <w:color w:val="auto"/>
          <w:sz w:val="20"/>
          <w:szCs w:val="20"/>
          <w:lang w:val="en-US"/>
        </w:rPr>
        <w:t xml:space="preserve"> (see </w:t>
      </w:r>
      <w:hyperlink r:id="rId17" w:anchor="/c/fs8o2k" w:history="1">
        <w:r w:rsidRPr="00DE379A">
          <w:rPr>
            <w:rStyle w:val="Hyperlink"/>
            <w:rFonts w:ascii="Arial" w:hAnsi="Arial" w:cs="Arial"/>
            <w:sz w:val="20"/>
            <w:szCs w:val="20"/>
            <w:lang w:val="en-US"/>
          </w:rPr>
          <w:t>Siemens Circular 226 Chapter 5.2</w:t>
        </w:r>
      </w:hyperlink>
      <w:r w:rsidRPr="002F0109">
        <w:rPr>
          <w:rFonts w:ascii="Arial" w:hAnsi="Arial" w:cs="Arial"/>
          <w:color w:val="auto"/>
          <w:sz w:val="20"/>
          <w:szCs w:val="20"/>
          <w:lang w:val="en-US"/>
        </w:rPr>
        <w:t xml:space="preserve">.). This is an instruction to employees </w:t>
      </w:r>
      <w:proofErr w:type="gramStart"/>
      <w:r w:rsidRPr="002F0109">
        <w:rPr>
          <w:rFonts w:ascii="Arial" w:hAnsi="Arial" w:cs="Arial"/>
          <w:color w:val="auto"/>
          <w:sz w:val="20"/>
          <w:szCs w:val="20"/>
          <w:lang w:val="en-US"/>
        </w:rPr>
        <w:t>in the course of</w:t>
      </w:r>
      <w:proofErr w:type="gramEnd"/>
      <w:r w:rsidRPr="002F0109">
        <w:rPr>
          <w:rFonts w:ascii="Arial" w:hAnsi="Arial" w:cs="Arial"/>
          <w:color w:val="auto"/>
          <w:sz w:val="20"/>
          <w:szCs w:val="20"/>
          <w:lang w:val="en-US"/>
        </w:rPr>
        <w:t xml:space="preserve"> a </w:t>
      </w:r>
      <w:r w:rsidR="00CC6053">
        <w:rPr>
          <w:rFonts w:ascii="Arial" w:hAnsi="Arial" w:cs="Arial"/>
          <w:color w:val="auto"/>
          <w:sz w:val="20"/>
          <w:szCs w:val="20"/>
          <w:lang w:val="en-US"/>
        </w:rPr>
        <w:t>C</w:t>
      </w:r>
      <w:r w:rsidRPr="002F0109">
        <w:rPr>
          <w:rFonts w:ascii="Arial" w:hAnsi="Arial" w:cs="Arial"/>
          <w:color w:val="auto"/>
          <w:sz w:val="20"/>
          <w:szCs w:val="20"/>
          <w:lang w:val="en-US"/>
        </w:rPr>
        <w:t>ompliance investigation not to delete specified data (retention obligation).</w:t>
      </w:r>
    </w:p>
    <w:p w14:paraId="3CB6877E" w14:textId="67B88284" w:rsidR="00B60342" w:rsidRPr="00A34F56" w:rsidRDefault="00B60342" w:rsidP="00646657">
      <w:pPr>
        <w:pStyle w:val="KeinAbsatzformat"/>
        <w:rPr>
          <w:rFonts w:ascii="Arial" w:hAnsi="Arial" w:cs="Arial"/>
          <w:color w:val="auto"/>
          <w:sz w:val="20"/>
          <w:szCs w:val="20"/>
          <w:lang w:val="en-US"/>
        </w:rPr>
      </w:pPr>
    </w:p>
    <w:p w14:paraId="1FE7AB74" w14:textId="19DD3F4A" w:rsidR="00ED3222" w:rsidRPr="00563CE7" w:rsidRDefault="00155160" w:rsidP="009F0E46">
      <w:pPr>
        <w:pStyle w:val="berschrift4"/>
        <w:rPr>
          <w:rFonts w:cs="Arial"/>
          <w:sz w:val="20"/>
          <w:szCs w:val="20"/>
        </w:rPr>
      </w:pPr>
      <w:bookmarkStart w:id="13" w:name="_8.1.2.2._Gesetzliche_Verjährungsfri"/>
      <w:bookmarkStart w:id="14" w:name="_8.1.2.2._Statutory_Limitation"/>
      <w:bookmarkEnd w:id="13"/>
      <w:bookmarkEnd w:id="14"/>
      <w:r w:rsidRPr="00563CE7">
        <w:rPr>
          <w:rFonts w:cs="Arial"/>
          <w:sz w:val="20"/>
          <w:szCs w:val="20"/>
        </w:rPr>
        <w:t>8.1.</w:t>
      </w:r>
      <w:r w:rsidR="003A4489" w:rsidRPr="00563CE7">
        <w:rPr>
          <w:rFonts w:cs="Arial"/>
          <w:sz w:val="20"/>
          <w:szCs w:val="20"/>
        </w:rPr>
        <w:t>2.2</w:t>
      </w:r>
      <w:r w:rsidRPr="00563CE7">
        <w:rPr>
          <w:rFonts w:cs="Arial"/>
          <w:sz w:val="20"/>
          <w:szCs w:val="20"/>
        </w:rPr>
        <w:t>.</w:t>
      </w:r>
      <w:r w:rsidR="00EE10F3" w:rsidRPr="00563CE7">
        <w:rPr>
          <w:rFonts w:cs="Arial"/>
          <w:sz w:val="20"/>
          <w:szCs w:val="20"/>
        </w:rPr>
        <w:t xml:space="preserve"> </w:t>
      </w:r>
      <w:r w:rsidR="00171469" w:rsidRPr="00563CE7">
        <w:rPr>
          <w:rFonts w:cs="Arial"/>
          <w:sz w:val="20"/>
          <w:szCs w:val="20"/>
        </w:rPr>
        <w:t>Statutory Limitation Period</w:t>
      </w:r>
      <w:r w:rsidR="00687631" w:rsidRPr="00563CE7">
        <w:rPr>
          <w:rFonts w:cs="Arial"/>
          <w:sz w:val="20"/>
          <w:szCs w:val="20"/>
        </w:rPr>
        <w:t>s</w:t>
      </w:r>
    </w:p>
    <w:p w14:paraId="31427490" w14:textId="668D8F3B" w:rsidR="00563CE7" w:rsidRPr="00563CE7" w:rsidRDefault="00563CE7" w:rsidP="00646657">
      <w:pPr>
        <w:pStyle w:val="KeinAbsatzformat"/>
        <w:rPr>
          <w:rFonts w:ascii="Arial" w:hAnsi="Arial" w:cs="Arial"/>
          <w:color w:val="auto"/>
          <w:sz w:val="20"/>
          <w:szCs w:val="20"/>
          <w:lang w:val="en-US"/>
        </w:rPr>
      </w:pPr>
      <w:r w:rsidRPr="00563CE7">
        <w:rPr>
          <w:rFonts w:ascii="Arial" w:hAnsi="Arial" w:cs="Arial"/>
          <w:color w:val="auto"/>
          <w:sz w:val="20"/>
          <w:szCs w:val="20"/>
          <w:lang w:val="en-US"/>
        </w:rPr>
        <w:t xml:space="preserve">A further right to data retention in </w:t>
      </w:r>
      <w:r>
        <w:rPr>
          <w:rFonts w:ascii="Arial" w:hAnsi="Arial" w:cs="Arial"/>
          <w:color w:val="auto"/>
          <w:sz w:val="20"/>
          <w:szCs w:val="20"/>
          <w:lang w:val="en-US"/>
        </w:rPr>
        <w:t>Compliance Case Handling</w:t>
      </w:r>
      <w:r w:rsidRPr="00563CE7">
        <w:rPr>
          <w:rFonts w:ascii="Arial" w:hAnsi="Arial" w:cs="Arial"/>
          <w:color w:val="auto"/>
          <w:sz w:val="20"/>
          <w:szCs w:val="20"/>
          <w:lang w:val="en-US"/>
        </w:rPr>
        <w:t xml:space="preserve"> arises due to im</w:t>
      </w:r>
      <w:r w:rsidR="00EE4F7F">
        <w:rPr>
          <w:rFonts w:ascii="Arial" w:hAnsi="Arial" w:cs="Arial"/>
          <w:color w:val="auto"/>
          <w:sz w:val="20"/>
          <w:szCs w:val="20"/>
          <w:lang w:val="en-US"/>
        </w:rPr>
        <w:t>minent</w:t>
      </w:r>
      <w:r w:rsidRPr="00563CE7">
        <w:rPr>
          <w:rFonts w:ascii="Arial" w:hAnsi="Arial" w:cs="Arial"/>
          <w:color w:val="auto"/>
          <w:sz w:val="20"/>
          <w:szCs w:val="20"/>
          <w:lang w:val="en-US"/>
        </w:rPr>
        <w:t xml:space="preserve"> or pending </w:t>
      </w:r>
      <w:r w:rsidR="00EE4F7F">
        <w:rPr>
          <w:rFonts w:ascii="Arial" w:hAnsi="Arial" w:cs="Arial"/>
          <w:color w:val="auto"/>
          <w:sz w:val="20"/>
          <w:szCs w:val="20"/>
          <w:lang w:val="en-US"/>
        </w:rPr>
        <w:t xml:space="preserve">damage </w:t>
      </w:r>
      <w:r w:rsidRPr="00563CE7">
        <w:rPr>
          <w:rFonts w:ascii="Arial" w:hAnsi="Arial" w:cs="Arial"/>
          <w:color w:val="auto"/>
          <w:sz w:val="20"/>
          <w:szCs w:val="20"/>
          <w:lang w:val="en-US"/>
        </w:rPr>
        <w:t>claims and criminal or administrative fine</w:t>
      </w:r>
      <w:r w:rsidR="00BB5E87">
        <w:rPr>
          <w:rFonts w:ascii="Arial" w:hAnsi="Arial" w:cs="Arial"/>
          <w:color w:val="auto"/>
          <w:sz w:val="20"/>
          <w:szCs w:val="20"/>
          <w:lang w:val="en-US"/>
        </w:rPr>
        <w:t>s</w:t>
      </w:r>
      <w:r w:rsidR="00BF1FB3">
        <w:rPr>
          <w:rFonts w:ascii="Arial" w:hAnsi="Arial" w:cs="Arial"/>
          <w:color w:val="auto"/>
          <w:sz w:val="20"/>
          <w:szCs w:val="20"/>
          <w:lang w:val="en-US"/>
        </w:rPr>
        <w:t xml:space="preserve"> </w:t>
      </w:r>
      <w:r w:rsidR="00BF1FB3">
        <w:rPr>
          <w:rFonts w:ascii="Arial" w:hAnsi="Arial" w:cs="Arial"/>
          <w:color w:val="auto"/>
          <w:sz w:val="20"/>
          <w:szCs w:val="20"/>
          <w:lang w:val="en-US"/>
        </w:rPr>
        <w:t>proceedings</w:t>
      </w:r>
      <w:r w:rsidRPr="00563CE7">
        <w:rPr>
          <w:rFonts w:ascii="Arial" w:hAnsi="Arial" w:cs="Arial"/>
          <w:color w:val="auto"/>
          <w:sz w:val="20"/>
          <w:szCs w:val="20"/>
          <w:lang w:val="en-US"/>
        </w:rPr>
        <w:t xml:space="preserve">. In this context, the applicable statutory periods of limitation must be </w:t>
      </w:r>
      <w:proofErr w:type="gramStart"/>
      <w:r w:rsidRPr="00563CE7">
        <w:rPr>
          <w:rFonts w:ascii="Arial" w:hAnsi="Arial" w:cs="Arial"/>
          <w:color w:val="auto"/>
          <w:sz w:val="20"/>
          <w:szCs w:val="20"/>
          <w:lang w:val="en-US"/>
        </w:rPr>
        <w:t>taken into account</w:t>
      </w:r>
      <w:proofErr w:type="gramEnd"/>
      <w:r w:rsidRPr="00563CE7">
        <w:rPr>
          <w:rFonts w:ascii="Arial" w:hAnsi="Arial" w:cs="Arial"/>
          <w:color w:val="auto"/>
          <w:sz w:val="20"/>
          <w:szCs w:val="20"/>
          <w:lang w:val="en-US"/>
        </w:rPr>
        <w:t>, which justify further retention prior to their expiry.</w:t>
      </w:r>
    </w:p>
    <w:p w14:paraId="3CC503CC" w14:textId="77777777" w:rsidR="001F3052" w:rsidRPr="00A34F56" w:rsidRDefault="001F3052" w:rsidP="00646657">
      <w:pPr>
        <w:pStyle w:val="KeinAbsatzformat"/>
        <w:rPr>
          <w:rFonts w:ascii="Arial" w:hAnsi="Arial" w:cs="Arial"/>
          <w:color w:val="auto"/>
          <w:sz w:val="20"/>
          <w:szCs w:val="20"/>
          <w:lang w:val="en-US"/>
        </w:rPr>
      </w:pPr>
    </w:p>
    <w:p w14:paraId="1F6C64BC" w14:textId="4184CD87" w:rsidR="00236B1A" w:rsidRPr="00EF49CF" w:rsidRDefault="007A3F74" w:rsidP="00236B1A">
      <w:pPr>
        <w:pStyle w:val="Untertitel"/>
        <w:rPr>
          <w:rFonts w:cs="Arial"/>
          <w:sz w:val="20"/>
          <w:szCs w:val="20"/>
        </w:rPr>
      </w:pPr>
      <w:r w:rsidRPr="00EF49CF">
        <w:rPr>
          <w:rFonts w:cs="Arial"/>
          <w:sz w:val="20"/>
          <w:szCs w:val="20"/>
        </w:rPr>
        <w:t xml:space="preserve">German </w:t>
      </w:r>
      <w:r w:rsidR="00E92D18" w:rsidRPr="00EF49CF">
        <w:rPr>
          <w:rFonts w:cs="Arial"/>
          <w:sz w:val="20"/>
          <w:szCs w:val="20"/>
        </w:rPr>
        <w:t>A</w:t>
      </w:r>
      <w:r w:rsidRPr="00EF49CF">
        <w:rPr>
          <w:rFonts w:cs="Arial"/>
          <w:sz w:val="20"/>
          <w:szCs w:val="20"/>
        </w:rPr>
        <w:t>dministrative and</w:t>
      </w:r>
      <w:r w:rsidR="00E92D18" w:rsidRPr="00EF49CF">
        <w:rPr>
          <w:rFonts w:cs="Arial"/>
          <w:sz w:val="20"/>
          <w:szCs w:val="20"/>
        </w:rPr>
        <w:t xml:space="preserve"> C</w:t>
      </w:r>
      <w:r w:rsidRPr="00EF49CF">
        <w:rPr>
          <w:rFonts w:cs="Arial"/>
          <w:sz w:val="20"/>
          <w:szCs w:val="20"/>
        </w:rPr>
        <w:t xml:space="preserve">riminal </w:t>
      </w:r>
      <w:r w:rsidR="00E92D18" w:rsidRPr="00EF49CF">
        <w:rPr>
          <w:rFonts w:cs="Arial"/>
          <w:sz w:val="20"/>
          <w:szCs w:val="20"/>
        </w:rPr>
        <w:t>L</w:t>
      </w:r>
      <w:r w:rsidRPr="00EF49CF">
        <w:rPr>
          <w:rFonts w:cs="Arial"/>
          <w:sz w:val="20"/>
          <w:szCs w:val="20"/>
        </w:rPr>
        <w:t>aw</w:t>
      </w:r>
    </w:p>
    <w:p w14:paraId="411311EF" w14:textId="6DB66653" w:rsidR="003F129B" w:rsidRDefault="006A46EB" w:rsidP="00646657">
      <w:pPr>
        <w:pStyle w:val="KeinAbsatzformat"/>
        <w:rPr>
          <w:rFonts w:ascii="Arial" w:hAnsi="Arial" w:cs="Arial"/>
          <w:color w:val="auto"/>
          <w:sz w:val="20"/>
          <w:szCs w:val="20"/>
          <w:lang w:val="en-US"/>
        </w:rPr>
      </w:pPr>
      <w:r w:rsidRPr="006A46EB">
        <w:rPr>
          <w:rFonts w:ascii="Arial" w:hAnsi="Arial" w:cs="Arial"/>
          <w:color w:val="auto"/>
          <w:sz w:val="20"/>
          <w:szCs w:val="20"/>
          <w:lang w:val="en-US"/>
        </w:rPr>
        <w:t xml:space="preserve">Depending on the exact allegations, the relevant statutory limitation period under German </w:t>
      </w:r>
      <w:r w:rsidR="00EF49CF">
        <w:rPr>
          <w:rFonts w:ascii="Arial" w:hAnsi="Arial" w:cs="Arial"/>
          <w:color w:val="auto"/>
          <w:sz w:val="20"/>
          <w:szCs w:val="20"/>
          <w:lang w:val="en-US"/>
        </w:rPr>
        <w:t>A</w:t>
      </w:r>
      <w:r w:rsidRPr="006A46EB">
        <w:rPr>
          <w:rFonts w:ascii="Arial" w:hAnsi="Arial" w:cs="Arial"/>
          <w:color w:val="auto"/>
          <w:sz w:val="20"/>
          <w:szCs w:val="20"/>
          <w:lang w:val="en-US"/>
        </w:rPr>
        <w:t xml:space="preserve">dministrative and </w:t>
      </w:r>
      <w:r w:rsidR="00EF49CF">
        <w:rPr>
          <w:rFonts w:ascii="Arial" w:hAnsi="Arial" w:cs="Arial"/>
          <w:color w:val="auto"/>
          <w:sz w:val="20"/>
          <w:szCs w:val="20"/>
          <w:lang w:val="en-US"/>
        </w:rPr>
        <w:t>C</w:t>
      </w:r>
      <w:r w:rsidRPr="006A46EB">
        <w:rPr>
          <w:rFonts w:ascii="Arial" w:hAnsi="Arial" w:cs="Arial"/>
          <w:color w:val="auto"/>
          <w:sz w:val="20"/>
          <w:szCs w:val="20"/>
          <w:lang w:val="en-US"/>
        </w:rPr>
        <w:t xml:space="preserve">riminal </w:t>
      </w:r>
      <w:r w:rsidR="00EF49CF">
        <w:rPr>
          <w:rFonts w:ascii="Arial" w:hAnsi="Arial" w:cs="Arial"/>
          <w:color w:val="auto"/>
          <w:sz w:val="20"/>
          <w:szCs w:val="20"/>
          <w:lang w:val="en-US"/>
        </w:rPr>
        <w:t>L</w:t>
      </w:r>
      <w:r w:rsidRPr="006A46EB">
        <w:rPr>
          <w:rFonts w:ascii="Arial" w:hAnsi="Arial" w:cs="Arial"/>
          <w:color w:val="auto"/>
          <w:sz w:val="20"/>
          <w:szCs w:val="20"/>
          <w:lang w:val="en-US"/>
        </w:rPr>
        <w:t xml:space="preserve">aw is generally 6 months to 3 years and 3 to 5 years respectively after the offence has been completed. For practicability reasons, we assume that the beginning of the limitation period in our Compliance cases is near to case closing. However, if a result constituting an element of the offence occurs later, the limitation period shall </w:t>
      </w:r>
      <w:r w:rsidRPr="006A46EB">
        <w:rPr>
          <w:rFonts w:ascii="Arial" w:hAnsi="Arial" w:cs="Arial"/>
          <w:color w:val="auto"/>
          <w:sz w:val="20"/>
          <w:szCs w:val="20"/>
          <w:lang w:val="en-US"/>
        </w:rPr>
        <w:lastRenderedPageBreak/>
        <w:t>commence to run from that time</w:t>
      </w:r>
      <w:r w:rsidR="009458BB">
        <w:rPr>
          <w:rStyle w:val="Funotenzeichen"/>
          <w:rFonts w:ascii="Arial" w:hAnsi="Arial" w:cs="Arial"/>
          <w:color w:val="auto"/>
          <w:sz w:val="20"/>
          <w:szCs w:val="20"/>
          <w:lang w:val="en-US"/>
        </w:rPr>
        <w:footnoteReference w:id="11"/>
      </w:r>
      <w:r w:rsidRPr="006A46EB">
        <w:rPr>
          <w:rFonts w:ascii="Arial" w:hAnsi="Arial" w:cs="Arial"/>
          <w:color w:val="auto"/>
          <w:sz w:val="20"/>
          <w:szCs w:val="20"/>
          <w:lang w:val="en-US"/>
        </w:rPr>
        <w:t>. Such a result could occur several years following case closing (e.g. ongoing payment under long-term contracts obtained by fraudulent or corruptive means).</w:t>
      </w:r>
    </w:p>
    <w:p w14:paraId="78FC3872" w14:textId="77777777" w:rsidR="00DC558F" w:rsidRPr="008D655F" w:rsidRDefault="00DC558F" w:rsidP="00646657">
      <w:pPr>
        <w:pStyle w:val="KeinAbsatzformat"/>
        <w:rPr>
          <w:rFonts w:ascii="Arial" w:hAnsi="Arial" w:cs="Arial"/>
          <w:color w:val="auto"/>
          <w:sz w:val="20"/>
          <w:szCs w:val="20"/>
          <w:lang w:val="en-US"/>
        </w:rPr>
      </w:pPr>
    </w:p>
    <w:p w14:paraId="4A0D6F29" w14:textId="77777777" w:rsidR="006347E8" w:rsidRPr="008D655F" w:rsidRDefault="006347E8" w:rsidP="006347E8">
      <w:pPr>
        <w:pStyle w:val="Untertitel"/>
        <w:rPr>
          <w:rFonts w:cs="Arial"/>
          <w:sz w:val="20"/>
          <w:szCs w:val="20"/>
        </w:rPr>
      </w:pPr>
      <w:r w:rsidRPr="008D655F">
        <w:rPr>
          <w:rFonts w:cs="Arial"/>
          <w:sz w:val="20"/>
          <w:szCs w:val="20"/>
        </w:rPr>
        <w:t>German Tax Laws</w:t>
      </w:r>
    </w:p>
    <w:p w14:paraId="0153BA72" w14:textId="013C4BC8" w:rsidR="003415B0" w:rsidRPr="003415B0" w:rsidRDefault="003415B0" w:rsidP="00646657">
      <w:pPr>
        <w:pStyle w:val="KeinAbsatzformat"/>
        <w:rPr>
          <w:rFonts w:ascii="Arial" w:hAnsi="Arial" w:cs="Arial"/>
          <w:color w:val="auto"/>
          <w:sz w:val="20"/>
          <w:szCs w:val="20"/>
          <w:lang w:val="en-US"/>
        </w:rPr>
      </w:pPr>
      <w:r w:rsidRPr="00E36503">
        <w:rPr>
          <w:rFonts w:ascii="Arial" w:hAnsi="Arial" w:cs="Arial"/>
          <w:color w:val="auto"/>
          <w:sz w:val="20"/>
          <w:szCs w:val="20"/>
          <w:lang w:val="en-US"/>
        </w:rPr>
        <w:t>Limitation period under relevant</w:t>
      </w:r>
      <w:r w:rsidR="009759B1">
        <w:rPr>
          <w:rFonts w:ascii="Arial" w:hAnsi="Arial" w:cs="Arial"/>
          <w:color w:val="auto"/>
          <w:sz w:val="20"/>
          <w:szCs w:val="20"/>
          <w:lang w:val="en-US"/>
        </w:rPr>
        <w:t xml:space="preserve"> German T</w:t>
      </w:r>
      <w:r w:rsidRPr="00E36503">
        <w:rPr>
          <w:rFonts w:ascii="Arial" w:hAnsi="Arial" w:cs="Arial"/>
          <w:color w:val="auto"/>
          <w:sz w:val="20"/>
          <w:szCs w:val="20"/>
          <w:lang w:val="en-US"/>
        </w:rPr>
        <w:t xml:space="preserve">ax </w:t>
      </w:r>
      <w:r w:rsidR="00277B7A">
        <w:rPr>
          <w:rFonts w:ascii="Arial" w:hAnsi="Arial" w:cs="Arial"/>
          <w:color w:val="auto"/>
          <w:sz w:val="20"/>
          <w:szCs w:val="20"/>
          <w:lang w:val="en-US"/>
        </w:rPr>
        <w:t>L</w:t>
      </w:r>
      <w:r w:rsidRPr="00E36503">
        <w:rPr>
          <w:rFonts w:ascii="Arial" w:hAnsi="Arial" w:cs="Arial"/>
          <w:color w:val="auto"/>
          <w:sz w:val="20"/>
          <w:szCs w:val="20"/>
          <w:lang w:val="en-US"/>
        </w:rPr>
        <w:t>aws is 4 to 10 years</w:t>
      </w:r>
      <w:r>
        <w:rPr>
          <w:rStyle w:val="Funotenzeichen"/>
        </w:rPr>
        <w:footnoteReference w:id="12"/>
      </w:r>
      <w:r w:rsidRPr="003415B0">
        <w:rPr>
          <w:lang w:val="en-US"/>
        </w:rPr>
        <w:t>.</w:t>
      </w:r>
    </w:p>
    <w:p w14:paraId="670EBE0A" w14:textId="77777777" w:rsidR="00DC558F" w:rsidRPr="006347E8" w:rsidRDefault="00DC558F" w:rsidP="00646657">
      <w:pPr>
        <w:pStyle w:val="KeinAbsatzformat"/>
        <w:rPr>
          <w:rFonts w:ascii="Arial" w:hAnsi="Arial" w:cs="Arial"/>
          <w:color w:val="auto"/>
          <w:sz w:val="20"/>
          <w:szCs w:val="20"/>
          <w:lang w:val="en-US"/>
        </w:rPr>
      </w:pPr>
    </w:p>
    <w:p w14:paraId="415F0845" w14:textId="77777777" w:rsidR="008B0696" w:rsidRPr="008D655F" w:rsidRDefault="008B0696" w:rsidP="008B0696">
      <w:pPr>
        <w:pStyle w:val="Untertitel"/>
        <w:rPr>
          <w:rFonts w:cs="Arial"/>
          <w:sz w:val="20"/>
          <w:szCs w:val="20"/>
        </w:rPr>
      </w:pPr>
      <w:r w:rsidRPr="008D655F">
        <w:rPr>
          <w:rFonts w:cs="Arial"/>
          <w:sz w:val="20"/>
          <w:szCs w:val="20"/>
        </w:rPr>
        <w:t>German Civil Law</w:t>
      </w:r>
    </w:p>
    <w:p w14:paraId="5370E5D2" w14:textId="7D25F0AB" w:rsidR="00986B5C" w:rsidRDefault="00986B5C" w:rsidP="00646657">
      <w:pPr>
        <w:pStyle w:val="KeinAbsatzformat"/>
        <w:rPr>
          <w:rFonts w:ascii="Arial" w:hAnsi="Arial" w:cs="Arial"/>
          <w:color w:val="auto"/>
          <w:sz w:val="20"/>
          <w:szCs w:val="20"/>
          <w:lang w:val="en-US"/>
        </w:rPr>
      </w:pPr>
      <w:r w:rsidRPr="00986B5C">
        <w:rPr>
          <w:rFonts w:ascii="Arial" w:hAnsi="Arial" w:cs="Arial"/>
          <w:color w:val="auto"/>
          <w:sz w:val="20"/>
          <w:szCs w:val="20"/>
          <w:lang w:val="en-US"/>
        </w:rPr>
        <w:t xml:space="preserve">For civil damage claims under German </w:t>
      </w:r>
      <w:r w:rsidR="000C69E8">
        <w:rPr>
          <w:rFonts w:ascii="Arial" w:hAnsi="Arial" w:cs="Arial"/>
          <w:color w:val="auto"/>
          <w:sz w:val="20"/>
          <w:szCs w:val="20"/>
          <w:lang w:val="en-US"/>
        </w:rPr>
        <w:t>Civil L</w:t>
      </w:r>
      <w:r w:rsidRPr="00986B5C">
        <w:rPr>
          <w:rFonts w:ascii="Arial" w:hAnsi="Arial" w:cs="Arial"/>
          <w:color w:val="auto"/>
          <w:sz w:val="20"/>
          <w:szCs w:val="20"/>
          <w:lang w:val="en-US"/>
        </w:rPr>
        <w:t xml:space="preserve">aw relevant limitation period is 3 years starting at the end of the year in which the claim arose up to </w:t>
      </w:r>
      <w:r w:rsidR="00C678FB">
        <w:rPr>
          <w:rFonts w:ascii="Arial" w:hAnsi="Arial" w:cs="Arial"/>
          <w:color w:val="auto"/>
          <w:sz w:val="20"/>
          <w:szCs w:val="20"/>
          <w:lang w:val="en-US"/>
        </w:rPr>
        <w:t>3</w:t>
      </w:r>
      <w:r w:rsidRPr="00986B5C">
        <w:rPr>
          <w:rFonts w:ascii="Arial" w:hAnsi="Arial" w:cs="Arial"/>
          <w:color w:val="auto"/>
          <w:sz w:val="20"/>
          <w:szCs w:val="20"/>
          <w:lang w:val="en-US"/>
        </w:rPr>
        <w:t>0 years in case of excusable lack of claimant’s knowledge of the circumstances giving rise to the claim and the identity of the obligor</w:t>
      </w:r>
      <w:r w:rsidR="005D461F">
        <w:rPr>
          <w:rStyle w:val="Funotenzeichen"/>
          <w:rFonts w:ascii="Arial" w:hAnsi="Arial" w:cs="Arial"/>
          <w:color w:val="auto"/>
          <w:sz w:val="20"/>
          <w:szCs w:val="20"/>
          <w:lang w:val="en-US"/>
        </w:rPr>
        <w:footnoteReference w:id="13"/>
      </w:r>
      <w:r w:rsidRPr="00986B5C">
        <w:rPr>
          <w:rFonts w:ascii="Arial" w:hAnsi="Arial" w:cs="Arial"/>
          <w:color w:val="auto"/>
          <w:sz w:val="20"/>
          <w:szCs w:val="20"/>
          <w:lang w:val="en-US"/>
        </w:rPr>
        <w:t>.</w:t>
      </w:r>
    </w:p>
    <w:p w14:paraId="3EA3E8D6" w14:textId="31282E1D" w:rsidR="00995391" w:rsidRPr="008D655F" w:rsidRDefault="00995391" w:rsidP="00646657">
      <w:pPr>
        <w:pStyle w:val="KeinAbsatzformat"/>
        <w:rPr>
          <w:rFonts w:ascii="Arial" w:hAnsi="Arial" w:cs="Arial"/>
          <w:color w:val="auto"/>
          <w:sz w:val="20"/>
          <w:szCs w:val="20"/>
          <w:lang w:val="en-US"/>
        </w:rPr>
      </w:pPr>
    </w:p>
    <w:p w14:paraId="6D7DD63D" w14:textId="146B66D1" w:rsidR="00995391" w:rsidRPr="00401874" w:rsidRDefault="00995391" w:rsidP="00C50CE0">
      <w:pPr>
        <w:pStyle w:val="Untertitel"/>
        <w:rPr>
          <w:rFonts w:cs="Arial"/>
          <w:sz w:val="20"/>
          <w:szCs w:val="20"/>
        </w:rPr>
      </w:pPr>
      <w:r w:rsidRPr="00401874">
        <w:rPr>
          <w:rFonts w:cs="Arial"/>
          <w:sz w:val="20"/>
          <w:szCs w:val="20"/>
        </w:rPr>
        <w:t>FCPA/UK Bribery Act</w:t>
      </w:r>
    </w:p>
    <w:p w14:paraId="14DCE34E" w14:textId="77777777" w:rsidR="00401874" w:rsidRDefault="00401874" w:rsidP="00401874">
      <w:pPr>
        <w:jc w:val="both"/>
      </w:pPr>
      <w:r>
        <w:t>Similar applies under FCPA provisions, especially in case of conspiracy</w:t>
      </w:r>
      <w:r>
        <w:rPr>
          <w:rStyle w:val="Funotenzeichen"/>
        </w:rPr>
        <w:footnoteReference w:id="14"/>
      </w:r>
      <w:r>
        <w:t>, while under the U.K. Bribery Act there is no formal statute of limitations at all</w:t>
      </w:r>
      <w:r>
        <w:rPr>
          <w:rStyle w:val="Funotenzeichen"/>
        </w:rPr>
        <w:footnoteReference w:id="15"/>
      </w:r>
      <w:r>
        <w:t>.</w:t>
      </w:r>
    </w:p>
    <w:p w14:paraId="3646D96D" w14:textId="77777777" w:rsidR="00995391" w:rsidRPr="008D655F" w:rsidRDefault="00995391" w:rsidP="00646657">
      <w:pPr>
        <w:pStyle w:val="KeinAbsatzformat"/>
        <w:rPr>
          <w:rFonts w:ascii="Arial" w:hAnsi="Arial" w:cs="Arial"/>
          <w:color w:val="auto"/>
          <w:sz w:val="20"/>
          <w:szCs w:val="20"/>
          <w:lang w:val="en-US"/>
        </w:rPr>
      </w:pPr>
    </w:p>
    <w:p w14:paraId="2D274F14" w14:textId="77777777" w:rsidR="00071D4A" w:rsidRPr="00071D4A" w:rsidRDefault="00071D4A" w:rsidP="00071D4A">
      <w:pPr>
        <w:pStyle w:val="Untertitel"/>
        <w:rPr>
          <w:rFonts w:cs="Arial"/>
          <w:sz w:val="20"/>
          <w:szCs w:val="20"/>
        </w:rPr>
      </w:pPr>
      <w:r w:rsidRPr="00071D4A">
        <w:rPr>
          <w:rFonts w:cs="Arial"/>
          <w:sz w:val="20"/>
          <w:szCs w:val="20"/>
        </w:rPr>
        <w:t>German Stock Corporation Law</w:t>
      </w:r>
    </w:p>
    <w:p w14:paraId="4B2AEF5A" w14:textId="1F324F32" w:rsidR="00861AB1" w:rsidRPr="00861AB1" w:rsidRDefault="00861AB1" w:rsidP="00646657">
      <w:pPr>
        <w:pStyle w:val="KeinAbsatzformat"/>
        <w:rPr>
          <w:rFonts w:ascii="Arial" w:hAnsi="Arial" w:cs="Arial"/>
          <w:color w:val="auto"/>
          <w:sz w:val="20"/>
          <w:szCs w:val="20"/>
          <w:lang w:val="en-US"/>
        </w:rPr>
      </w:pPr>
      <w:r w:rsidRPr="00861AB1">
        <w:rPr>
          <w:rFonts w:ascii="Arial" w:hAnsi="Arial" w:cs="Arial"/>
          <w:color w:val="auto"/>
          <w:sz w:val="20"/>
          <w:szCs w:val="20"/>
          <w:lang w:val="en-US"/>
        </w:rPr>
        <w:t>Additionally, Siemens management can be held liable for damage caused by not having duly organized the Compliance procedures for a period of 10 years, with the burden of proof for having applied the necessary diligence lying upon them</w:t>
      </w:r>
      <w:r w:rsidR="00232C02">
        <w:rPr>
          <w:rStyle w:val="Funotenzeichen"/>
          <w:rFonts w:ascii="Arial" w:hAnsi="Arial" w:cs="Arial"/>
          <w:color w:val="auto"/>
          <w:sz w:val="20"/>
          <w:szCs w:val="20"/>
          <w:lang w:val="en-US"/>
        </w:rPr>
        <w:footnoteReference w:id="16"/>
      </w:r>
      <w:r w:rsidRPr="00861AB1">
        <w:rPr>
          <w:rFonts w:ascii="Arial" w:hAnsi="Arial" w:cs="Arial"/>
          <w:color w:val="auto"/>
          <w:sz w:val="20"/>
          <w:szCs w:val="20"/>
          <w:lang w:val="en-US"/>
        </w:rPr>
        <w:t>.</w:t>
      </w:r>
    </w:p>
    <w:p w14:paraId="5AE4F218" w14:textId="3A8F3E1D" w:rsidR="00ED3222" w:rsidRPr="00115A64" w:rsidRDefault="00BC7C8A" w:rsidP="00ED3222">
      <w:pPr>
        <w:pStyle w:val="berschrift2"/>
        <w:spacing w:after="120"/>
        <w:rPr>
          <w:rFonts w:ascii="Arial" w:hAnsi="Arial" w:cs="Arial"/>
        </w:rPr>
      </w:pPr>
      <w:bookmarkStart w:id="15" w:name="_8.2._Datenlöschung…."/>
      <w:bookmarkStart w:id="16" w:name="_8.2._Datenlöschung"/>
      <w:bookmarkStart w:id="17" w:name="_Toc517637767"/>
      <w:bookmarkEnd w:id="15"/>
      <w:bookmarkEnd w:id="16"/>
      <w:r w:rsidRPr="00115A64">
        <w:rPr>
          <w:rFonts w:ascii="Arial" w:hAnsi="Arial" w:cs="Arial"/>
        </w:rPr>
        <w:lastRenderedPageBreak/>
        <w:t>8</w:t>
      </w:r>
      <w:r w:rsidR="0025020B" w:rsidRPr="00115A64">
        <w:rPr>
          <w:rFonts w:ascii="Arial" w:hAnsi="Arial" w:cs="Arial"/>
        </w:rPr>
        <w:t xml:space="preserve">.2. </w:t>
      </w:r>
      <w:bookmarkEnd w:id="17"/>
      <w:r w:rsidR="00ED3222" w:rsidRPr="00115A64">
        <w:rPr>
          <w:rFonts w:ascii="Arial" w:hAnsi="Arial" w:cs="Arial"/>
        </w:rPr>
        <w:t>Dat</w:t>
      </w:r>
      <w:r w:rsidR="00303D94" w:rsidRPr="00115A64">
        <w:rPr>
          <w:rFonts w:ascii="Arial" w:hAnsi="Arial" w:cs="Arial"/>
        </w:rPr>
        <w:t>a deletion</w:t>
      </w:r>
      <w:r w:rsidR="003B6151" w:rsidRPr="00115A64">
        <w:rPr>
          <w:rFonts w:ascii="Arial" w:hAnsi="Arial" w:cs="Arial"/>
        </w:rPr>
        <w:t xml:space="preserve"> </w:t>
      </w:r>
    </w:p>
    <w:p w14:paraId="33D76280" w14:textId="30B42D6D" w:rsidR="00115A64" w:rsidRPr="00115A64" w:rsidRDefault="00115A64" w:rsidP="00793C13">
      <w:pPr>
        <w:pStyle w:val="KeinAbsatzformat"/>
        <w:rPr>
          <w:rFonts w:ascii="Arial" w:hAnsi="Arial" w:cs="Arial"/>
          <w:color w:val="auto"/>
          <w:sz w:val="20"/>
          <w:szCs w:val="20"/>
          <w:lang w:val="en-US"/>
        </w:rPr>
      </w:pPr>
      <w:r w:rsidRPr="00115A64">
        <w:rPr>
          <w:rFonts w:ascii="Arial" w:hAnsi="Arial" w:cs="Arial"/>
          <w:color w:val="auto"/>
          <w:sz w:val="20"/>
          <w:szCs w:val="20"/>
          <w:lang w:val="en-US"/>
        </w:rPr>
        <w:t xml:space="preserve">Once the Compliance case or process is closed, the data is generally no longer required for the purpose for which it was collected or otherwise processed and must be deleted subject to the retention obligations </w:t>
      </w:r>
      <w:r w:rsidR="00EF79F5">
        <w:rPr>
          <w:rFonts w:ascii="Arial" w:hAnsi="Arial" w:cs="Arial"/>
          <w:color w:val="auto"/>
          <w:sz w:val="20"/>
          <w:szCs w:val="20"/>
          <w:lang w:val="en-US"/>
        </w:rPr>
        <w:t xml:space="preserve">and rights </w:t>
      </w:r>
      <w:r w:rsidRPr="00115A64">
        <w:rPr>
          <w:rFonts w:ascii="Arial" w:hAnsi="Arial" w:cs="Arial"/>
          <w:color w:val="auto"/>
          <w:sz w:val="20"/>
          <w:szCs w:val="20"/>
          <w:lang w:val="en-US"/>
        </w:rPr>
        <w:t xml:space="preserve">mentioned above (see </w:t>
      </w:r>
      <w:hyperlink w:anchor="_8.1._Data_retention" w:history="1">
        <w:r w:rsidRPr="00277B7A">
          <w:rPr>
            <w:rStyle w:val="Hyperlink"/>
            <w:rFonts w:ascii="Arial" w:hAnsi="Arial" w:cs="Arial"/>
            <w:sz w:val="20"/>
            <w:szCs w:val="20"/>
            <w:lang w:val="en-US"/>
          </w:rPr>
          <w:t xml:space="preserve">Chapter </w:t>
        </w:r>
        <w:r w:rsidR="00A17C7E" w:rsidRPr="00277B7A">
          <w:rPr>
            <w:rStyle w:val="Hyperlink"/>
            <w:rFonts w:ascii="Arial" w:hAnsi="Arial" w:cs="Arial"/>
            <w:sz w:val="20"/>
            <w:szCs w:val="20"/>
            <w:lang w:val="en-US"/>
          </w:rPr>
          <w:t>L.</w:t>
        </w:r>
        <w:r w:rsidRPr="00277B7A">
          <w:rPr>
            <w:rStyle w:val="Hyperlink"/>
            <w:rFonts w:ascii="Arial" w:hAnsi="Arial" w:cs="Arial"/>
            <w:sz w:val="20"/>
            <w:szCs w:val="20"/>
            <w:lang w:val="en-US"/>
          </w:rPr>
          <w:t>8.1</w:t>
        </w:r>
      </w:hyperlink>
      <w:r w:rsidRPr="00115A64">
        <w:rPr>
          <w:rFonts w:ascii="Arial" w:hAnsi="Arial" w:cs="Arial"/>
          <w:color w:val="auto"/>
          <w:sz w:val="20"/>
          <w:szCs w:val="20"/>
          <w:lang w:val="en-US"/>
        </w:rPr>
        <w:t>.), as well as other national regulations applicable in the specific case</w:t>
      </w:r>
      <w:r w:rsidR="006C244D">
        <w:rPr>
          <w:rFonts w:ascii="Arial" w:hAnsi="Arial" w:cs="Arial"/>
          <w:color w:val="auto"/>
          <w:sz w:val="20"/>
          <w:szCs w:val="20"/>
          <w:lang w:val="en-US"/>
        </w:rPr>
        <w:t>.</w:t>
      </w:r>
      <w:r w:rsidR="006C244D">
        <w:rPr>
          <w:rStyle w:val="Funotenzeichen"/>
          <w:rFonts w:ascii="Arial" w:hAnsi="Arial" w:cs="Arial"/>
          <w:color w:val="auto"/>
          <w:sz w:val="20"/>
          <w:szCs w:val="20"/>
          <w:lang w:val="en-US"/>
        </w:rPr>
        <w:footnoteReference w:id="17"/>
      </w:r>
    </w:p>
    <w:p w14:paraId="663A431D" w14:textId="77777777" w:rsidR="00780298" w:rsidRPr="008D655F" w:rsidRDefault="00780298" w:rsidP="00793C13">
      <w:pPr>
        <w:pStyle w:val="KeinAbsatzformat"/>
        <w:rPr>
          <w:rFonts w:ascii="Arial" w:hAnsi="Arial" w:cs="Arial"/>
          <w:color w:val="auto"/>
          <w:sz w:val="20"/>
          <w:szCs w:val="20"/>
          <w:lang w:val="en-US"/>
        </w:rPr>
      </w:pPr>
    </w:p>
    <w:p w14:paraId="534019E5" w14:textId="093E4D5F" w:rsidR="007E3781" w:rsidRPr="007E3781" w:rsidRDefault="007E3781" w:rsidP="00793C13">
      <w:pPr>
        <w:pStyle w:val="KeinAbsatzformat"/>
        <w:rPr>
          <w:rFonts w:ascii="Arial" w:hAnsi="Arial" w:cs="Arial"/>
          <w:color w:val="auto"/>
          <w:sz w:val="20"/>
          <w:szCs w:val="20"/>
          <w:lang w:val="en-US"/>
        </w:rPr>
      </w:pPr>
      <w:r w:rsidRPr="007E3781">
        <w:rPr>
          <w:rFonts w:ascii="Arial" w:hAnsi="Arial" w:cs="Arial"/>
          <w:color w:val="auto"/>
          <w:sz w:val="20"/>
          <w:szCs w:val="20"/>
          <w:lang w:val="en-US"/>
        </w:rPr>
        <w:t xml:space="preserve">Data deletion shall be observed at each and every step of the </w:t>
      </w:r>
      <w:hyperlink r:id="rId18" w:history="1">
        <w:r w:rsidRPr="00797E89">
          <w:rPr>
            <w:rStyle w:val="Hyperlink"/>
            <w:rFonts w:ascii="Arial" w:hAnsi="Arial" w:cs="Arial"/>
            <w:sz w:val="20"/>
            <w:szCs w:val="20"/>
            <w:lang w:val="en-US"/>
          </w:rPr>
          <w:t>Compliance Case Handling process</w:t>
        </w:r>
      </w:hyperlink>
      <w:r w:rsidRPr="007E3781">
        <w:rPr>
          <w:rFonts w:ascii="Arial" w:hAnsi="Arial" w:cs="Arial"/>
          <w:color w:val="auto"/>
          <w:sz w:val="20"/>
          <w:szCs w:val="20"/>
          <w:lang w:val="en-US"/>
        </w:rPr>
        <w:t xml:space="preserve"> up to and including disciplinary </w:t>
      </w:r>
      <w:r w:rsidR="00F27BCB">
        <w:rPr>
          <w:rFonts w:ascii="Arial" w:hAnsi="Arial" w:cs="Arial"/>
          <w:color w:val="auto"/>
          <w:sz w:val="20"/>
          <w:szCs w:val="20"/>
          <w:lang w:val="en-US"/>
        </w:rPr>
        <w:t>measures and remediation</w:t>
      </w:r>
      <w:r w:rsidRPr="007E3781">
        <w:rPr>
          <w:rFonts w:ascii="Arial" w:hAnsi="Arial" w:cs="Arial"/>
          <w:color w:val="auto"/>
          <w:sz w:val="20"/>
          <w:szCs w:val="20"/>
          <w:lang w:val="en-US"/>
        </w:rPr>
        <w:t>.</w:t>
      </w:r>
    </w:p>
    <w:p w14:paraId="7199BD55" w14:textId="3ACC9A33" w:rsidR="00A84EEA" w:rsidRPr="008D655F" w:rsidRDefault="00A84EEA" w:rsidP="00C37DDC">
      <w:pPr>
        <w:pStyle w:val="KeinAbsatzformat"/>
        <w:rPr>
          <w:rFonts w:ascii="Arial" w:hAnsi="Arial" w:cs="Arial"/>
          <w:color w:val="auto"/>
          <w:sz w:val="20"/>
          <w:szCs w:val="20"/>
          <w:lang w:val="en-US"/>
        </w:rPr>
      </w:pPr>
    </w:p>
    <w:p w14:paraId="28A5F9B0" w14:textId="019081CD" w:rsidR="007453B8" w:rsidRPr="008D655F" w:rsidRDefault="007453B8" w:rsidP="00C37DDC">
      <w:pPr>
        <w:pStyle w:val="KeinAbsatzformat"/>
        <w:rPr>
          <w:rFonts w:ascii="Arial" w:hAnsi="Arial" w:cs="Arial"/>
          <w:color w:val="auto"/>
          <w:sz w:val="20"/>
          <w:szCs w:val="20"/>
          <w:lang w:val="en-US"/>
        </w:rPr>
      </w:pPr>
      <w:r w:rsidRPr="007453B8">
        <w:rPr>
          <w:rFonts w:ascii="Arial" w:hAnsi="Arial" w:cs="Arial"/>
          <w:color w:val="auto"/>
          <w:sz w:val="20"/>
          <w:szCs w:val="20"/>
          <w:lang w:val="en-US"/>
        </w:rPr>
        <w:t xml:space="preserve">The deletion </w:t>
      </w:r>
      <w:r w:rsidRPr="008D655F">
        <w:rPr>
          <w:rFonts w:ascii="Arial" w:hAnsi="Arial" w:cs="Arial"/>
          <w:color w:val="auto"/>
          <w:sz w:val="20"/>
          <w:szCs w:val="20"/>
          <w:lang w:val="en-US"/>
        </w:rPr>
        <w:t>of all personal data takes place:</w:t>
      </w:r>
    </w:p>
    <w:p w14:paraId="486371A9" w14:textId="77777777" w:rsidR="004E1C94" w:rsidRDefault="00287603" w:rsidP="00B628B5">
      <w:pPr>
        <w:pStyle w:val="Listenabsatz"/>
        <w:numPr>
          <w:ilvl w:val="0"/>
          <w:numId w:val="8"/>
        </w:numPr>
        <w:rPr>
          <w:rFonts w:cs="Arial"/>
          <w:szCs w:val="20"/>
        </w:rPr>
      </w:pPr>
      <w:r w:rsidRPr="004E1C94">
        <w:rPr>
          <w:rFonts w:cs="Arial"/>
          <w:b/>
          <w:bCs/>
          <w:szCs w:val="20"/>
        </w:rPr>
        <w:t>Immediately</w:t>
      </w:r>
      <w:r w:rsidRPr="004E1C94">
        <w:rPr>
          <w:rFonts w:cs="Arial"/>
          <w:szCs w:val="20"/>
        </w:rPr>
        <w:t xml:space="preserve"> in the case of obviously abusive or unsubstantiated information as well as in the case of information which already after a rough examination turns out to be obviously unsubstantiated and are not based on sufficient grounds for suspicion.</w:t>
      </w:r>
    </w:p>
    <w:p w14:paraId="60F9EB83" w14:textId="77777777" w:rsidR="00836622" w:rsidRDefault="004E1C94" w:rsidP="00C50A99">
      <w:pPr>
        <w:pStyle w:val="Listenabsatz"/>
        <w:numPr>
          <w:ilvl w:val="0"/>
          <w:numId w:val="8"/>
        </w:numPr>
        <w:rPr>
          <w:rFonts w:cs="Arial"/>
          <w:szCs w:val="20"/>
        </w:rPr>
      </w:pPr>
      <w:r w:rsidRPr="00836622">
        <w:rPr>
          <w:rFonts w:cs="Arial"/>
          <w:szCs w:val="20"/>
        </w:rPr>
        <w:t xml:space="preserve">After </w:t>
      </w:r>
      <w:r w:rsidRPr="00836622">
        <w:rPr>
          <w:rFonts w:cs="Arial"/>
          <w:b/>
          <w:bCs/>
          <w:szCs w:val="20"/>
        </w:rPr>
        <w:t>4 months</w:t>
      </w:r>
      <w:r w:rsidRPr="00836622">
        <w:rPr>
          <w:rFonts w:cs="Arial"/>
          <w:szCs w:val="20"/>
        </w:rPr>
        <w:t xml:space="preserve"> in the case of data collection requests (</w:t>
      </w:r>
      <w:hyperlink r:id="rId19" w:history="1">
        <w:r w:rsidRPr="00836622">
          <w:rPr>
            <w:rStyle w:val="Hyperlink"/>
            <w:rFonts w:cs="Arial"/>
            <w:szCs w:val="20"/>
          </w:rPr>
          <w:t>Part 3 Chapter L.2.4.5</w:t>
        </w:r>
      </w:hyperlink>
      <w:r w:rsidRPr="00836622">
        <w:rPr>
          <w:rFonts w:cs="Arial"/>
          <w:szCs w:val="20"/>
        </w:rPr>
        <w:t xml:space="preserve">.). </w:t>
      </w:r>
    </w:p>
    <w:p w14:paraId="55C2C010" w14:textId="6ECCEECF" w:rsidR="00C16408" w:rsidRDefault="00F76842" w:rsidP="00C50A99">
      <w:pPr>
        <w:pStyle w:val="Listenabsatz"/>
        <w:numPr>
          <w:ilvl w:val="0"/>
          <w:numId w:val="8"/>
        </w:numPr>
        <w:rPr>
          <w:rFonts w:cs="Arial"/>
          <w:szCs w:val="20"/>
        </w:rPr>
      </w:pPr>
      <w:r w:rsidRPr="00836622">
        <w:rPr>
          <w:rFonts w:cs="Arial"/>
          <w:szCs w:val="20"/>
        </w:rPr>
        <w:t xml:space="preserve">After </w:t>
      </w:r>
      <w:r w:rsidRPr="00836622">
        <w:rPr>
          <w:rFonts w:cs="Arial"/>
          <w:b/>
          <w:bCs/>
          <w:szCs w:val="20"/>
        </w:rPr>
        <w:t xml:space="preserve">5 years </w:t>
      </w:r>
      <w:r w:rsidRPr="00836622">
        <w:rPr>
          <w:rFonts w:cs="Arial"/>
          <w:szCs w:val="20"/>
        </w:rPr>
        <w:t xml:space="preserve">of all data in the case of </w:t>
      </w:r>
      <w:r w:rsidR="00667B28" w:rsidRPr="00836622">
        <w:rPr>
          <w:rFonts w:cs="Arial"/>
          <w:szCs w:val="20"/>
        </w:rPr>
        <w:t>C</w:t>
      </w:r>
      <w:r w:rsidRPr="00836622">
        <w:rPr>
          <w:rFonts w:cs="Arial"/>
          <w:szCs w:val="20"/>
        </w:rPr>
        <w:t>ompliance with the retention obligations under the German Securities Trading Ac</w:t>
      </w:r>
      <w:r w:rsidR="00667B28" w:rsidRPr="00836622">
        <w:rPr>
          <w:rFonts w:cs="Arial"/>
          <w:szCs w:val="20"/>
        </w:rPr>
        <w:t>t</w:t>
      </w:r>
      <w:r w:rsidR="00C16408">
        <w:rPr>
          <w:rStyle w:val="Funotenzeichen"/>
          <w:rFonts w:cs="Arial"/>
          <w:szCs w:val="20"/>
        </w:rPr>
        <w:footnoteReference w:id="18"/>
      </w:r>
      <w:r w:rsidR="00C16408" w:rsidRPr="00836622">
        <w:rPr>
          <w:rFonts w:cs="Arial"/>
          <w:szCs w:val="20"/>
        </w:rPr>
        <w:t xml:space="preserve">. </w:t>
      </w:r>
    </w:p>
    <w:p w14:paraId="4E4B3CE0" w14:textId="77777777" w:rsidR="00B313B7" w:rsidRDefault="00836622" w:rsidP="00740C2D">
      <w:pPr>
        <w:pStyle w:val="Listenabsatz"/>
        <w:numPr>
          <w:ilvl w:val="0"/>
          <w:numId w:val="8"/>
        </w:numPr>
        <w:rPr>
          <w:rFonts w:cs="Arial"/>
          <w:szCs w:val="20"/>
        </w:rPr>
      </w:pPr>
      <w:r w:rsidRPr="00B313B7">
        <w:rPr>
          <w:rFonts w:cs="Arial"/>
          <w:szCs w:val="20"/>
        </w:rPr>
        <w:t xml:space="preserve">After </w:t>
      </w:r>
      <w:r w:rsidRPr="00B313B7">
        <w:rPr>
          <w:rFonts w:cs="Arial"/>
          <w:b/>
          <w:bCs/>
          <w:szCs w:val="20"/>
        </w:rPr>
        <w:t>6 years</w:t>
      </w:r>
      <w:r w:rsidRPr="00B313B7">
        <w:rPr>
          <w:rFonts w:cs="Arial"/>
          <w:szCs w:val="20"/>
        </w:rPr>
        <w:t xml:space="preserve"> in the case of Clearance, Closure Reports and all other Compliance cases that were closed without Findings or Compliance cases that were closed as implausible or duplicate</w:t>
      </w:r>
      <w:r w:rsidR="00516FD5" w:rsidRPr="00B313B7">
        <w:rPr>
          <w:rFonts w:cs="Arial"/>
          <w:szCs w:val="20"/>
        </w:rPr>
        <w:t>.</w:t>
      </w:r>
      <w:r w:rsidR="00F51904">
        <w:rPr>
          <w:rStyle w:val="Funotenzeichen"/>
          <w:rFonts w:cs="Arial"/>
          <w:szCs w:val="20"/>
        </w:rPr>
        <w:footnoteReference w:id="19"/>
      </w:r>
    </w:p>
    <w:p w14:paraId="36B53BDD" w14:textId="3306ECD3" w:rsidR="00516FD5" w:rsidRDefault="00B640E2" w:rsidP="00740C2D">
      <w:pPr>
        <w:pStyle w:val="Listenabsatz"/>
        <w:numPr>
          <w:ilvl w:val="0"/>
          <w:numId w:val="8"/>
        </w:numPr>
        <w:rPr>
          <w:rFonts w:cs="Arial"/>
          <w:szCs w:val="20"/>
        </w:rPr>
      </w:pPr>
      <w:r w:rsidRPr="00B313B7">
        <w:rPr>
          <w:rFonts w:cs="Arial"/>
          <w:szCs w:val="20"/>
        </w:rPr>
        <w:t xml:space="preserve">After </w:t>
      </w:r>
      <w:r w:rsidRPr="00B313B7">
        <w:rPr>
          <w:rFonts w:cs="Arial"/>
          <w:b/>
          <w:bCs/>
          <w:szCs w:val="20"/>
        </w:rPr>
        <w:t>10 years</w:t>
      </w:r>
      <w:r w:rsidRPr="00B313B7">
        <w:rPr>
          <w:rFonts w:cs="Arial"/>
          <w:szCs w:val="20"/>
        </w:rPr>
        <w:t xml:space="preserve"> in the case of Investigation Reports and all other compliance cases closed with Findings</w:t>
      </w:r>
      <w:r w:rsidR="00267822">
        <w:rPr>
          <w:rStyle w:val="Funotenzeichen"/>
          <w:rFonts w:cs="Arial"/>
          <w:szCs w:val="20"/>
        </w:rPr>
        <w:footnoteReference w:id="20"/>
      </w:r>
      <w:r w:rsidRPr="00B313B7">
        <w:rPr>
          <w:rFonts w:cs="Arial"/>
          <w:szCs w:val="20"/>
        </w:rPr>
        <w:t>, and in the case of original invoices and underlying contractually and fiscally relevant documents (e.g. attorney compensation agreements, time sheets)</w:t>
      </w:r>
      <w:r w:rsidR="001B0809">
        <w:rPr>
          <w:rStyle w:val="Funotenzeichen"/>
          <w:rFonts w:cs="Arial"/>
          <w:szCs w:val="20"/>
        </w:rPr>
        <w:footnoteReference w:id="21"/>
      </w:r>
      <w:r w:rsidRPr="00B313B7">
        <w:rPr>
          <w:rFonts w:cs="Arial"/>
          <w:szCs w:val="20"/>
        </w:rPr>
        <w:t>,</w:t>
      </w:r>
    </w:p>
    <w:p w14:paraId="2BB823EF" w14:textId="10C8C291" w:rsidR="004655D9" w:rsidRPr="00B313B7" w:rsidRDefault="004655D9" w:rsidP="00740C2D">
      <w:pPr>
        <w:pStyle w:val="Listenabsatz"/>
        <w:numPr>
          <w:ilvl w:val="0"/>
          <w:numId w:val="8"/>
        </w:numPr>
        <w:rPr>
          <w:rFonts w:cs="Arial"/>
          <w:szCs w:val="20"/>
        </w:rPr>
      </w:pPr>
      <w:r w:rsidRPr="004655D9">
        <w:rPr>
          <w:rFonts w:cs="Arial"/>
          <w:szCs w:val="20"/>
        </w:rPr>
        <w:t xml:space="preserve">After </w:t>
      </w:r>
      <w:r w:rsidRPr="004655D9">
        <w:rPr>
          <w:rFonts w:cs="Arial"/>
          <w:b/>
          <w:bCs/>
          <w:szCs w:val="20"/>
        </w:rPr>
        <w:t>15 years</w:t>
      </w:r>
      <w:r w:rsidRPr="004655D9">
        <w:rPr>
          <w:rFonts w:cs="Arial"/>
          <w:szCs w:val="20"/>
        </w:rPr>
        <w:t xml:space="preserve"> in the case of disciplinary proceedings and actions following </w:t>
      </w:r>
      <w:r>
        <w:rPr>
          <w:rFonts w:cs="Arial"/>
          <w:szCs w:val="20"/>
        </w:rPr>
        <w:t>C</w:t>
      </w:r>
      <w:r w:rsidRPr="004655D9">
        <w:rPr>
          <w:rFonts w:cs="Arial"/>
          <w:szCs w:val="20"/>
        </w:rPr>
        <w:t>ompliance investigations</w:t>
      </w:r>
      <w:r w:rsidR="00E27CF5">
        <w:rPr>
          <w:rStyle w:val="Funotenzeichen"/>
          <w:rFonts w:cs="Arial"/>
          <w:szCs w:val="20"/>
        </w:rPr>
        <w:footnoteReference w:id="22"/>
      </w:r>
      <w:r w:rsidRPr="004655D9">
        <w:rPr>
          <w:rFonts w:cs="Arial"/>
          <w:szCs w:val="20"/>
        </w:rPr>
        <w:t>.</w:t>
      </w:r>
    </w:p>
    <w:p w14:paraId="390513E9" w14:textId="77777777" w:rsidR="00752D24" w:rsidRPr="008D655F" w:rsidRDefault="00752D24" w:rsidP="00752D24">
      <w:pPr>
        <w:pStyle w:val="KeinAbsatzformat"/>
        <w:rPr>
          <w:rFonts w:ascii="Arial" w:hAnsi="Arial" w:cs="Arial"/>
          <w:color w:val="auto"/>
          <w:sz w:val="20"/>
          <w:szCs w:val="20"/>
          <w:lang w:val="en-US"/>
        </w:rPr>
      </w:pPr>
    </w:p>
    <w:p w14:paraId="12D9B228" w14:textId="77777777" w:rsidR="00752D24" w:rsidRPr="00752D24" w:rsidRDefault="00752D24" w:rsidP="00752D24">
      <w:pPr>
        <w:pStyle w:val="KeinAbsatzformat"/>
        <w:rPr>
          <w:rFonts w:ascii="Arial" w:hAnsi="Arial" w:cs="Arial"/>
          <w:color w:val="auto"/>
          <w:sz w:val="20"/>
          <w:szCs w:val="20"/>
          <w:lang w:val="en-US"/>
        </w:rPr>
      </w:pPr>
      <w:r w:rsidRPr="00752D24">
        <w:rPr>
          <w:rFonts w:ascii="Arial" w:hAnsi="Arial" w:cs="Arial"/>
          <w:color w:val="auto"/>
          <w:sz w:val="20"/>
          <w:szCs w:val="20"/>
          <w:lang w:val="en-US"/>
        </w:rPr>
        <w:t xml:space="preserve">The deletion period begins </w:t>
      </w:r>
    </w:p>
    <w:p w14:paraId="44945A35" w14:textId="241DB4B3" w:rsidR="00752D24" w:rsidRPr="00752D24" w:rsidRDefault="00752D24" w:rsidP="00752D24">
      <w:pPr>
        <w:pStyle w:val="Listenabsatz"/>
        <w:numPr>
          <w:ilvl w:val="0"/>
          <w:numId w:val="8"/>
        </w:numPr>
        <w:rPr>
          <w:rFonts w:cs="Arial"/>
          <w:szCs w:val="20"/>
        </w:rPr>
      </w:pPr>
      <w:r w:rsidRPr="00752D24">
        <w:rPr>
          <w:rFonts w:cs="Arial"/>
          <w:szCs w:val="20"/>
        </w:rPr>
        <w:t>for data collection orders, immediately after the lawyer closes the case,</w:t>
      </w:r>
    </w:p>
    <w:p w14:paraId="0A558D81" w14:textId="6F397EA2" w:rsidR="00752D24" w:rsidRPr="00752D24" w:rsidRDefault="00752D24" w:rsidP="00752D24">
      <w:pPr>
        <w:pStyle w:val="Listenabsatz"/>
        <w:numPr>
          <w:ilvl w:val="0"/>
          <w:numId w:val="8"/>
        </w:numPr>
        <w:rPr>
          <w:rFonts w:cs="Arial"/>
          <w:szCs w:val="20"/>
        </w:rPr>
      </w:pPr>
      <w:r w:rsidRPr="00752D24">
        <w:rPr>
          <w:rFonts w:cs="Arial"/>
          <w:szCs w:val="20"/>
        </w:rPr>
        <w:t xml:space="preserve">otherwise, after the end of the calendar year in which the lawyer closed the case, or </w:t>
      </w:r>
    </w:p>
    <w:p w14:paraId="0F225712" w14:textId="439C19E4" w:rsidR="00752D24" w:rsidRPr="00752D24" w:rsidRDefault="00752D24" w:rsidP="00752D24">
      <w:pPr>
        <w:pStyle w:val="Listenabsatz"/>
        <w:numPr>
          <w:ilvl w:val="0"/>
          <w:numId w:val="8"/>
        </w:numPr>
        <w:rPr>
          <w:rFonts w:cs="Arial"/>
          <w:szCs w:val="20"/>
        </w:rPr>
      </w:pPr>
      <w:r w:rsidRPr="00752D24">
        <w:rPr>
          <w:rFonts w:cs="Arial"/>
          <w:szCs w:val="20"/>
        </w:rPr>
        <w:t xml:space="preserve">for original invoices and underlying contractual and tax-related documents, after the end of the calendar year in which the document was created, or </w:t>
      </w:r>
    </w:p>
    <w:p w14:paraId="36CCB91F" w14:textId="07884118" w:rsidR="00EC07A0" w:rsidRDefault="00752D24" w:rsidP="00752D24">
      <w:pPr>
        <w:pStyle w:val="Listenabsatz"/>
        <w:numPr>
          <w:ilvl w:val="0"/>
          <w:numId w:val="8"/>
        </w:numPr>
        <w:rPr>
          <w:rFonts w:cs="Arial"/>
          <w:szCs w:val="20"/>
        </w:rPr>
      </w:pPr>
      <w:r w:rsidRPr="00752D24">
        <w:rPr>
          <w:rFonts w:cs="Arial"/>
          <w:szCs w:val="20"/>
        </w:rPr>
        <w:t>after the end of the year in which the disciplinary measure was imposed.</w:t>
      </w:r>
    </w:p>
    <w:p w14:paraId="740FE155" w14:textId="3C18EFF3" w:rsidR="009F0E46" w:rsidRPr="00193A37" w:rsidRDefault="00193A37" w:rsidP="00752D24">
      <w:pPr>
        <w:rPr>
          <w:rFonts w:cs="Arial"/>
          <w:szCs w:val="20"/>
        </w:rPr>
      </w:pPr>
      <w:r w:rsidRPr="00193A37">
        <w:rPr>
          <w:rFonts w:cs="Arial"/>
          <w:szCs w:val="20"/>
        </w:rPr>
        <w:t>For deletion periods of the reports of all Compliance Case Handling Tools, please refer to the deletion periods in the respective report of the CDP Center</w:t>
      </w:r>
      <w:r w:rsidR="009F0E46" w:rsidRPr="00193A37">
        <w:rPr>
          <w:rFonts w:cs="Arial"/>
          <w:szCs w:val="20"/>
        </w:rPr>
        <w:t>.</w:t>
      </w:r>
    </w:p>
    <w:p w14:paraId="7A1ECEF2" w14:textId="20512EC5" w:rsidR="00D45D2E" w:rsidRPr="00193A37" w:rsidRDefault="00BC7C8A" w:rsidP="00D45D2E">
      <w:pPr>
        <w:pStyle w:val="berschrift2"/>
        <w:rPr>
          <w:rFonts w:ascii="Arial" w:hAnsi="Arial" w:cs="Arial"/>
        </w:rPr>
      </w:pPr>
      <w:r w:rsidRPr="00193A37">
        <w:rPr>
          <w:rFonts w:ascii="Arial" w:hAnsi="Arial" w:cs="Arial"/>
        </w:rPr>
        <w:t>8</w:t>
      </w:r>
      <w:r w:rsidR="00D45D2E" w:rsidRPr="00193A37">
        <w:rPr>
          <w:rFonts w:ascii="Arial" w:hAnsi="Arial" w:cs="Arial"/>
        </w:rPr>
        <w:t>.</w:t>
      </w:r>
      <w:r w:rsidR="00F1483C" w:rsidRPr="00193A37">
        <w:rPr>
          <w:rFonts w:ascii="Arial" w:hAnsi="Arial" w:cs="Arial"/>
        </w:rPr>
        <w:t>3</w:t>
      </w:r>
      <w:r w:rsidR="00D45D2E" w:rsidRPr="00193A37">
        <w:rPr>
          <w:rFonts w:ascii="Arial" w:hAnsi="Arial" w:cs="Arial"/>
        </w:rPr>
        <w:t xml:space="preserve">. </w:t>
      </w:r>
      <w:r w:rsidR="008A126F" w:rsidRPr="00193A37">
        <w:rPr>
          <w:rFonts w:ascii="Arial" w:hAnsi="Arial" w:cs="Arial"/>
        </w:rPr>
        <w:t>Training and supporting material</w:t>
      </w:r>
      <w:r w:rsidR="00C818BB" w:rsidRPr="00193A37" w:rsidDel="001356C7">
        <w:rPr>
          <w:rFonts w:ascii="Arial" w:hAnsi="Arial" w:cs="Arial"/>
        </w:rPr>
        <w:t xml:space="preserve"> </w:t>
      </w:r>
    </w:p>
    <w:p w14:paraId="41090FCF" w14:textId="02667A79" w:rsidR="00CA385B" w:rsidRPr="00E66F59" w:rsidRDefault="00653D02" w:rsidP="00CA385B">
      <w:pPr>
        <w:pStyle w:val="KeinAbsatzformat"/>
        <w:rPr>
          <w:rFonts w:ascii="Arial" w:hAnsi="Arial" w:cs="Arial"/>
          <w:color w:val="auto"/>
          <w:sz w:val="20"/>
          <w:szCs w:val="20"/>
          <w:lang w:val="en-US"/>
        </w:rPr>
      </w:pPr>
      <w:r w:rsidRPr="00653D02">
        <w:rPr>
          <w:rFonts w:ascii="Arial" w:hAnsi="Arial" w:cs="Arial"/>
          <w:color w:val="auto"/>
          <w:sz w:val="20"/>
          <w:szCs w:val="20"/>
          <w:lang w:val="en-US"/>
        </w:rPr>
        <w:t xml:space="preserve">For support and guidance on relevant retention and deletion periods, see the </w:t>
      </w:r>
      <w:r w:rsidR="00CA385B" w:rsidRPr="00653D02">
        <w:rPr>
          <w:rFonts w:ascii="Arial" w:hAnsi="Arial" w:cs="Arial"/>
          <w:color w:val="auto"/>
          <w:sz w:val="20"/>
          <w:szCs w:val="20"/>
          <w:lang w:val="en-US"/>
        </w:rPr>
        <w:t xml:space="preserve">Siemens Guideline on retention obligations and </w:t>
      </w:r>
      <w:r w:rsidR="00CA385B" w:rsidRPr="00453582">
        <w:rPr>
          <w:rFonts w:ascii="Arial" w:hAnsi="Arial" w:cs="Arial"/>
          <w:color w:val="auto"/>
          <w:sz w:val="20"/>
          <w:szCs w:val="20"/>
          <w:lang w:val="en-US"/>
        </w:rPr>
        <w:t>periods</w:t>
      </w:r>
      <w:r w:rsidR="00E66F59" w:rsidRPr="00453582">
        <w:rPr>
          <w:rFonts w:ascii="Arial" w:hAnsi="Arial" w:cs="Arial"/>
          <w:color w:val="auto"/>
          <w:sz w:val="20"/>
          <w:szCs w:val="20"/>
          <w:lang w:val="en-US"/>
        </w:rPr>
        <w:t xml:space="preserve"> </w:t>
      </w:r>
      <w:r w:rsidR="00E66F59" w:rsidRPr="00453582">
        <w:rPr>
          <w:rFonts w:ascii="Arial" w:hAnsi="Arial" w:cs="Arial"/>
          <w:sz w:val="20"/>
          <w:szCs w:val="20"/>
          <w:lang w:val="en-US"/>
        </w:rPr>
        <w:t>(</w:t>
      </w:r>
      <w:proofErr w:type="spellStart"/>
      <w:r w:rsidR="00E66F59" w:rsidRPr="00453582">
        <w:rPr>
          <w:rFonts w:ascii="Arial" w:hAnsi="Arial" w:cs="Arial"/>
          <w:color w:val="auto"/>
          <w:sz w:val="20"/>
          <w:szCs w:val="20"/>
          <w:lang w:val="en-US"/>
        </w:rPr>
        <w:fldChar w:fldCharType="begin"/>
      </w:r>
      <w:r w:rsidR="00E66F59" w:rsidRPr="00453582">
        <w:rPr>
          <w:rFonts w:ascii="Arial" w:hAnsi="Arial" w:cs="Arial"/>
          <w:sz w:val="20"/>
          <w:szCs w:val="20"/>
          <w:lang w:val="en-US"/>
        </w:rPr>
        <w:instrText xml:space="preserve"> HYPERLINK "https://lkb.siemens.com/content/00000008/LegalKnowledgeBase/y1t6v041dbqp/LKB002358.pdf" </w:instrText>
      </w:r>
      <w:r w:rsidR="00E66F59" w:rsidRPr="00453582">
        <w:rPr>
          <w:rFonts w:ascii="Arial" w:hAnsi="Arial" w:cs="Arial"/>
          <w:color w:val="auto"/>
          <w:sz w:val="20"/>
          <w:szCs w:val="20"/>
          <w:lang w:val="en-US"/>
        </w:rPr>
        <w:fldChar w:fldCharType="separate"/>
      </w:r>
      <w:r w:rsidR="00E66F59" w:rsidRPr="00453582">
        <w:rPr>
          <w:rStyle w:val="Hyperlink"/>
          <w:rFonts w:ascii="Arial" w:hAnsi="Arial" w:cs="Arial"/>
          <w:sz w:val="20"/>
          <w:szCs w:val="20"/>
          <w:lang w:val="en-US"/>
        </w:rPr>
        <w:t>Leitfaden</w:t>
      </w:r>
      <w:proofErr w:type="spellEnd"/>
      <w:r w:rsidR="00E66F59" w:rsidRPr="00453582">
        <w:rPr>
          <w:rStyle w:val="Hyperlink"/>
          <w:rFonts w:ascii="Arial" w:hAnsi="Arial" w:cs="Arial"/>
          <w:sz w:val="20"/>
          <w:szCs w:val="20"/>
          <w:lang w:val="en-US"/>
        </w:rPr>
        <w:t xml:space="preserve"> </w:t>
      </w:r>
      <w:proofErr w:type="spellStart"/>
      <w:r w:rsidR="00E66F59" w:rsidRPr="00453582">
        <w:rPr>
          <w:rStyle w:val="Hyperlink"/>
          <w:rFonts w:ascii="Arial" w:hAnsi="Arial" w:cs="Arial"/>
          <w:sz w:val="20"/>
          <w:szCs w:val="20"/>
          <w:lang w:val="en-US"/>
        </w:rPr>
        <w:t>zu</w:t>
      </w:r>
      <w:proofErr w:type="spellEnd"/>
      <w:r w:rsidR="00E66F59" w:rsidRPr="00453582">
        <w:rPr>
          <w:rStyle w:val="Hyperlink"/>
          <w:rFonts w:ascii="Arial" w:hAnsi="Arial" w:cs="Arial"/>
          <w:sz w:val="20"/>
          <w:szCs w:val="20"/>
          <w:lang w:val="en-US"/>
        </w:rPr>
        <w:t xml:space="preserve"> </w:t>
      </w:r>
      <w:proofErr w:type="spellStart"/>
      <w:r w:rsidR="00E66F59" w:rsidRPr="00453582">
        <w:rPr>
          <w:rStyle w:val="Hyperlink"/>
          <w:rFonts w:ascii="Arial" w:hAnsi="Arial" w:cs="Arial"/>
          <w:sz w:val="20"/>
          <w:szCs w:val="20"/>
          <w:lang w:val="en-US"/>
        </w:rPr>
        <w:t>Aufbewahrungspflichten</w:t>
      </w:r>
      <w:proofErr w:type="spellEnd"/>
      <w:r w:rsidR="00E66F59" w:rsidRPr="00453582">
        <w:rPr>
          <w:rStyle w:val="Hyperlink"/>
          <w:rFonts w:ascii="Arial" w:hAnsi="Arial" w:cs="Arial"/>
          <w:sz w:val="20"/>
          <w:szCs w:val="20"/>
          <w:lang w:val="en-US"/>
        </w:rPr>
        <w:t xml:space="preserve"> und -</w:t>
      </w:r>
      <w:proofErr w:type="spellStart"/>
      <w:r w:rsidR="00E66F59" w:rsidRPr="00453582">
        <w:rPr>
          <w:rStyle w:val="Hyperlink"/>
          <w:rFonts w:ascii="Arial" w:hAnsi="Arial" w:cs="Arial"/>
          <w:sz w:val="20"/>
          <w:szCs w:val="20"/>
          <w:lang w:val="en-US"/>
        </w:rPr>
        <w:t>fristen</w:t>
      </w:r>
      <w:proofErr w:type="spellEnd"/>
      <w:r w:rsidR="00E66F59" w:rsidRPr="00453582">
        <w:rPr>
          <w:rStyle w:val="Hyperlink"/>
          <w:rFonts w:ascii="Arial" w:hAnsi="Arial" w:cs="Arial"/>
          <w:sz w:val="20"/>
          <w:szCs w:val="20"/>
        </w:rPr>
        <w:fldChar w:fldCharType="end"/>
      </w:r>
      <w:r w:rsidR="00E66F59" w:rsidRPr="00453582">
        <w:rPr>
          <w:rStyle w:val="Hyperlink"/>
          <w:rFonts w:ascii="Arial" w:hAnsi="Arial" w:cs="Arial"/>
          <w:sz w:val="20"/>
          <w:szCs w:val="20"/>
          <w:lang w:val="en-US"/>
        </w:rPr>
        <w:t xml:space="preserve"> - only available in German)</w:t>
      </w:r>
      <w:r w:rsidR="00453582" w:rsidRPr="00453582">
        <w:rPr>
          <w:rStyle w:val="Hyperlink"/>
          <w:rFonts w:ascii="Arial" w:hAnsi="Arial" w:cs="Arial"/>
          <w:sz w:val="20"/>
          <w:szCs w:val="20"/>
          <w:lang w:val="en-US"/>
        </w:rPr>
        <w:t>.</w:t>
      </w:r>
    </w:p>
    <w:p w14:paraId="1FB9329C" w14:textId="28FD70E6" w:rsidR="00D45D2E" w:rsidRPr="001927C8" w:rsidRDefault="00BC7C8A" w:rsidP="00D45D2E">
      <w:pPr>
        <w:pStyle w:val="berschrift2"/>
        <w:rPr>
          <w:rFonts w:ascii="Arial" w:hAnsi="Arial" w:cs="Arial"/>
          <w:lang w:val="de-DE"/>
        </w:rPr>
      </w:pPr>
      <w:r w:rsidRPr="001927C8">
        <w:rPr>
          <w:rFonts w:ascii="Arial" w:hAnsi="Arial" w:cs="Arial"/>
        </w:rPr>
        <w:t>8</w:t>
      </w:r>
      <w:r w:rsidR="00D45D2E" w:rsidRPr="001927C8">
        <w:rPr>
          <w:rFonts w:ascii="Arial" w:hAnsi="Arial" w:cs="Arial"/>
        </w:rPr>
        <w:t>.</w:t>
      </w:r>
      <w:r w:rsidR="00F1483C">
        <w:rPr>
          <w:rFonts w:ascii="Arial" w:hAnsi="Arial" w:cs="Arial"/>
        </w:rPr>
        <w:t>4</w:t>
      </w:r>
      <w:r w:rsidR="00D45D2E" w:rsidRPr="001927C8">
        <w:rPr>
          <w:rFonts w:ascii="Arial" w:hAnsi="Arial" w:cs="Arial"/>
        </w:rPr>
        <w:t xml:space="preserve">. </w:t>
      </w:r>
      <w:proofErr w:type="spellStart"/>
      <w:r w:rsidR="00117FBB">
        <w:rPr>
          <w:rFonts w:ascii="Arial" w:hAnsi="Arial" w:cs="Arial"/>
          <w:lang w:val="de-DE"/>
        </w:rPr>
        <w:t>History</w:t>
      </w:r>
      <w:proofErr w:type="spellEnd"/>
      <w:r w:rsidR="00117FBB">
        <w:rPr>
          <w:rFonts w:ascii="Arial" w:hAnsi="Arial" w:cs="Arial"/>
          <w:lang w:val="de-DE"/>
        </w:rPr>
        <w:t xml:space="preserve"> of </w:t>
      </w:r>
      <w:proofErr w:type="spellStart"/>
      <w:r w:rsidR="00117FBB">
        <w:rPr>
          <w:rFonts w:ascii="Arial" w:hAnsi="Arial" w:cs="Arial"/>
          <w:lang w:val="de-DE"/>
        </w:rPr>
        <w:t>changes</w:t>
      </w:r>
      <w:proofErr w:type="spellEnd"/>
    </w:p>
    <w:tbl>
      <w:tblPr>
        <w:tblStyle w:val="Tabellenraste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746"/>
        <w:gridCol w:w="5386"/>
      </w:tblGrid>
      <w:tr w:rsidR="00D45D2E" w:rsidRPr="000A0DE8" w14:paraId="714CCD28" w14:textId="77777777" w:rsidTr="002A44A1">
        <w:tc>
          <w:tcPr>
            <w:tcW w:w="2405" w:type="dxa"/>
            <w:shd w:val="clear" w:color="auto" w:fill="879BAA" w:themeFill="text2"/>
          </w:tcPr>
          <w:p w14:paraId="57484DAD" w14:textId="0127F95D" w:rsidR="00D45D2E" w:rsidRPr="001927C8" w:rsidRDefault="00D45D2E" w:rsidP="002A44A1">
            <w:pPr>
              <w:rPr>
                <w:rFonts w:cs="Arial"/>
                <w:b/>
                <w:color w:val="auto"/>
              </w:rPr>
            </w:pPr>
            <w:r w:rsidRPr="001927C8">
              <w:rPr>
                <w:rFonts w:cs="Arial"/>
                <w:b/>
                <w:color w:val="auto"/>
              </w:rPr>
              <w:t>Dat</w:t>
            </w:r>
            <w:r w:rsidR="00CA1820">
              <w:rPr>
                <w:rFonts w:cs="Arial"/>
                <w:b/>
                <w:color w:val="auto"/>
              </w:rPr>
              <w:t>e</w:t>
            </w:r>
          </w:p>
        </w:tc>
        <w:tc>
          <w:tcPr>
            <w:tcW w:w="2746" w:type="dxa"/>
            <w:shd w:val="clear" w:color="auto" w:fill="879BAA" w:themeFill="text2"/>
          </w:tcPr>
          <w:p w14:paraId="0BD8C888" w14:textId="7596059A" w:rsidR="00D45D2E" w:rsidRPr="001927C8" w:rsidRDefault="00D45D2E" w:rsidP="002A44A1">
            <w:pPr>
              <w:rPr>
                <w:rFonts w:cs="Arial"/>
                <w:b/>
                <w:color w:val="auto"/>
              </w:rPr>
            </w:pPr>
            <w:r w:rsidRPr="001927C8">
              <w:rPr>
                <w:rFonts w:cs="Arial"/>
                <w:b/>
                <w:color w:val="auto"/>
              </w:rPr>
              <w:t>Aut</w:t>
            </w:r>
            <w:r w:rsidR="00CA1820">
              <w:rPr>
                <w:rFonts w:cs="Arial"/>
                <w:b/>
                <w:color w:val="auto"/>
              </w:rPr>
              <w:t>h</w:t>
            </w:r>
            <w:r w:rsidRPr="001927C8">
              <w:rPr>
                <w:rFonts w:cs="Arial"/>
                <w:b/>
                <w:color w:val="auto"/>
              </w:rPr>
              <w:t>or</w:t>
            </w:r>
          </w:p>
        </w:tc>
        <w:tc>
          <w:tcPr>
            <w:tcW w:w="5386" w:type="dxa"/>
            <w:shd w:val="clear" w:color="auto" w:fill="879BAA" w:themeFill="text2"/>
          </w:tcPr>
          <w:p w14:paraId="1691C55A" w14:textId="0933A77C" w:rsidR="00D45D2E" w:rsidRPr="000A0DE8" w:rsidRDefault="000A0DE8" w:rsidP="000A0DE8">
            <w:pPr>
              <w:rPr>
                <w:rFonts w:cs="Arial"/>
                <w:b/>
                <w:color w:val="auto"/>
              </w:rPr>
            </w:pPr>
            <w:r w:rsidRPr="000A0DE8">
              <w:rPr>
                <w:rFonts w:cs="Arial"/>
                <w:b/>
                <w:color w:val="auto"/>
              </w:rPr>
              <w:t>Major changes of binding content</w:t>
            </w:r>
          </w:p>
        </w:tc>
      </w:tr>
      <w:tr w:rsidR="00D45D2E" w:rsidRPr="00CA1820" w14:paraId="5DB18C2C" w14:textId="77777777" w:rsidTr="002A44A1">
        <w:tc>
          <w:tcPr>
            <w:tcW w:w="2405" w:type="dxa"/>
          </w:tcPr>
          <w:p w14:paraId="2A6771F7" w14:textId="0002E82D" w:rsidR="00D45D2E" w:rsidRPr="001927C8" w:rsidRDefault="00D45D2E" w:rsidP="002A44A1">
            <w:pPr>
              <w:rPr>
                <w:rFonts w:cs="Arial"/>
              </w:rPr>
            </w:pPr>
            <w:proofErr w:type="gramStart"/>
            <w:r w:rsidRPr="001927C8">
              <w:rPr>
                <w:rFonts w:eastAsia="Times New Roman" w:cs="Arial"/>
              </w:rPr>
              <w:t>April</w:t>
            </w:r>
            <w:r w:rsidR="000A0DE8">
              <w:rPr>
                <w:rFonts w:eastAsia="Times New Roman" w:cs="Arial"/>
              </w:rPr>
              <w:t>,</w:t>
            </w:r>
            <w:proofErr w:type="gramEnd"/>
            <w:r w:rsidR="000A0DE8">
              <w:rPr>
                <w:rFonts w:eastAsia="Times New Roman" w:cs="Arial"/>
              </w:rPr>
              <w:t xml:space="preserve"> 1,</w:t>
            </w:r>
            <w:r w:rsidRPr="001927C8">
              <w:rPr>
                <w:rFonts w:eastAsia="Times New Roman" w:cs="Arial"/>
              </w:rPr>
              <w:t xml:space="preserve"> 20</w:t>
            </w:r>
            <w:r w:rsidR="00BC7C8A" w:rsidRPr="001927C8">
              <w:rPr>
                <w:rFonts w:eastAsia="Times New Roman" w:cs="Arial"/>
              </w:rPr>
              <w:t>21</w:t>
            </w:r>
          </w:p>
        </w:tc>
        <w:tc>
          <w:tcPr>
            <w:tcW w:w="2746" w:type="dxa"/>
          </w:tcPr>
          <w:p w14:paraId="5A9341A4" w14:textId="233C9291" w:rsidR="006B20FD" w:rsidRPr="001927C8" w:rsidRDefault="00BC7C8A" w:rsidP="006B20FD">
            <w:pPr>
              <w:rPr>
                <w:rFonts w:cs="Arial"/>
                <w:lang w:val="de-DE"/>
              </w:rPr>
            </w:pPr>
            <w:r w:rsidRPr="001927C8">
              <w:rPr>
                <w:rFonts w:cs="Arial"/>
                <w:lang w:val="de-DE"/>
              </w:rPr>
              <w:t>Yvonne Hamm-Düppe</w:t>
            </w:r>
          </w:p>
        </w:tc>
        <w:tc>
          <w:tcPr>
            <w:tcW w:w="5386" w:type="dxa"/>
          </w:tcPr>
          <w:p w14:paraId="5E4A2670" w14:textId="48EA35DF" w:rsidR="004B467D" w:rsidRPr="00CA1820" w:rsidRDefault="00CA1820" w:rsidP="004B467D">
            <w:pPr>
              <w:rPr>
                <w:rFonts w:cs="Arial"/>
              </w:rPr>
            </w:pPr>
            <w:r w:rsidRPr="00CA1820">
              <w:rPr>
                <w:rFonts w:cs="Arial"/>
              </w:rPr>
              <w:t xml:space="preserve">New Chapter L.8: Transition and consolidation of key Compliance Case </w:t>
            </w:r>
            <w:r w:rsidR="00453582">
              <w:rPr>
                <w:rFonts w:cs="Arial"/>
              </w:rPr>
              <w:t>H</w:t>
            </w:r>
            <w:r w:rsidRPr="00CA1820">
              <w:rPr>
                <w:rFonts w:cs="Arial"/>
              </w:rPr>
              <w:t>andling regulations from the "</w:t>
            </w:r>
            <w:r w:rsidR="002F0048">
              <w:rPr>
                <w:rFonts w:cs="Arial"/>
              </w:rPr>
              <w:t xml:space="preserve">LC CO </w:t>
            </w:r>
            <w:r w:rsidRPr="00CA1820">
              <w:rPr>
                <w:rFonts w:cs="Arial"/>
              </w:rPr>
              <w:t>Data deletion and retention policy" (dated Oct. 1, 2014, last amended Aug. 3, 2019); concurrently: repeal of the "</w:t>
            </w:r>
            <w:r w:rsidR="002F0048">
              <w:rPr>
                <w:rFonts w:cs="Arial"/>
              </w:rPr>
              <w:t xml:space="preserve">LC CO </w:t>
            </w:r>
            <w:r w:rsidRPr="00CA1820">
              <w:rPr>
                <w:rFonts w:cs="Arial"/>
              </w:rPr>
              <w:t>Data deletion and retention policy."</w:t>
            </w:r>
          </w:p>
        </w:tc>
      </w:tr>
    </w:tbl>
    <w:p w14:paraId="7F5B6CFD" w14:textId="77777777" w:rsidR="00D45D2E" w:rsidRPr="00CA1820" w:rsidRDefault="00D45D2E" w:rsidP="00D45D2E">
      <w:pPr>
        <w:rPr>
          <w:rFonts w:cs="Arial"/>
        </w:rPr>
      </w:pPr>
    </w:p>
    <w:p w14:paraId="71713386" w14:textId="1CEDFA89" w:rsidR="00D45D2E" w:rsidRPr="00294F07" w:rsidRDefault="00107CF8" w:rsidP="00D45D2E">
      <w:pPr>
        <w:pStyle w:val="berschrift2"/>
        <w:spacing w:after="120"/>
        <w:rPr>
          <w:rFonts w:ascii="Arial" w:hAnsi="Arial" w:cs="Arial"/>
          <w:lang w:val="de-DE"/>
        </w:rPr>
      </w:pPr>
      <w:r w:rsidRPr="00294F07">
        <w:rPr>
          <w:rFonts w:ascii="Arial" w:hAnsi="Arial" w:cs="Arial"/>
          <w:lang w:val="de-DE"/>
        </w:rPr>
        <w:t>8</w:t>
      </w:r>
      <w:r w:rsidR="00D45D2E" w:rsidRPr="00294F07">
        <w:rPr>
          <w:rFonts w:ascii="Arial" w:hAnsi="Arial" w:cs="Arial"/>
          <w:lang w:val="de-DE"/>
        </w:rPr>
        <w:t>.</w:t>
      </w:r>
      <w:r w:rsidR="00F1483C">
        <w:rPr>
          <w:rFonts w:ascii="Arial" w:hAnsi="Arial" w:cs="Arial"/>
          <w:lang w:val="de-DE"/>
        </w:rPr>
        <w:t>5</w:t>
      </w:r>
      <w:r w:rsidR="00D45D2E" w:rsidRPr="00294F07">
        <w:rPr>
          <w:rFonts w:ascii="Arial" w:hAnsi="Arial" w:cs="Arial"/>
          <w:lang w:val="de-DE"/>
        </w:rPr>
        <w:t xml:space="preserve">. </w:t>
      </w:r>
      <w:proofErr w:type="spellStart"/>
      <w:r w:rsidR="00117FBB">
        <w:rPr>
          <w:rFonts w:ascii="Arial" w:hAnsi="Arial" w:cs="Arial"/>
          <w:lang w:val="de-DE"/>
        </w:rPr>
        <w:t>Contacts</w:t>
      </w:r>
      <w:proofErr w:type="spellEnd"/>
    </w:p>
    <w:bookmarkEnd w:id="0"/>
    <w:p w14:paraId="3F2B1952" w14:textId="77777777" w:rsidR="006B5C6F" w:rsidRPr="00951D33" w:rsidRDefault="006B5C6F" w:rsidP="006B5C6F">
      <w:pPr>
        <w:pStyle w:val="HighlightboxGreyBulletpoints"/>
        <w:numPr>
          <w:ilvl w:val="0"/>
          <w:numId w:val="2"/>
        </w:numPr>
      </w:pPr>
      <w:r w:rsidRPr="00951D33">
        <w:t xml:space="preserve">Compliance Officer </w:t>
      </w:r>
    </w:p>
    <w:p w14:paraId="7377279E" w14:textId="77777777" w:rsidR="006B5C6F" w:rsidRPr="00951D33" w:rsidRDefault="006B5C6F" w:rsidP="006B5C6F">
      <w:pPr>
        <w:ind w:left="360"/>
      </w:pPr>
      <w:r w:rsidRPr="00951D33">
        <w:t xml:space="preserve">The Compliance Officer responsible for your unit can be found through the following </w:t>
      </w:r>
      <w:hyperlink r:id="rId20" w:history="1">
        <w:r w:rsidRPr="000E18BF">
          <w:rPr>
            <w:rStyle w:val="Hyperlink"/>
          </w:rPr>
          <w:t>link</w:t>
        </w:r>
      </w:hyperlink>
      <w:r w:rsidRPr="00951D33">
        <w:t>.</w:t>
      </w:r>
    </w:p>
    <w:p w14:paraId="3D37C785" w14:textId="77777777" w:rsidR="006B5C6F" w:rsidRPr="00951D33" w:rsidRDefault="006B5C6F" w:rsidP="006B5C6F">
      <w:pPr>
        <w:pStyle w:val="HighlightboxGreyBulletpoints"/>
        <w:numPr>
          <w:ilvl w:val="0"/>
          <w:numId w:val="2"/>
        </w:numPr>
      </w:pPr>
      <w:r w:rsidRPr="00951D33">
        <w:t>Corporate Governance Owner</w:t>
      </w:r>
    </w:p>
    <w:p w14:paraId="327E37A8" w14:textId="519D9280" w:rsidR="00092DEC" w:rsidRPr="00C50CE0" w:rsidRDefault="002F0048" w:rsidP="00C50CE0">
      <w:pPr>
        <w:ind w:left="360"/>
        <w:rPr>
          <w:rFonts w:cs="Arial"/>
          <w:color w:val="0000FF" w:themeColor="hyperlink"/>
          <w:u w:val="single"/>
          <w:lang w:val="de-DE"/>
        </w:rPr>
      </w:pPr>
      <w:hyperlink r:id="rId21" w:history="1">
        <w:r w:rsidR="00F05821" w:rsidRPr="001927C8">
          <w:rPr>
            <w:rStyle w:val="Hyperlink"/>
            <w:rFonts w:cs="Arial"/>
            <w:lang w:val="de-DE"/>
          </w:rPr>
          <w:t>A</w:t>
        </w:r>
        <w:r w:rsidR="002F2227" w:rsidRPr="001927C8">
          <w:rPr>
            <w:rStyle w:val="Hyperlink"/>
            <w:rFonts w:cs="Arial"/>
            <w:lang w:val="de-DE"/>
          </w:rPr>
          <w:t>n</w:t>
        </w:r>
        <w:r w:rsidR="00F05821" w:rsidRPr="001927C8">
          <w:rPr>
            <w:rStyle w:val="Hyperlink"/>
            <w:rFonts w:cs="Arial"/>
            <w:lang w:val="de-DE"/>
          </w:rPr>
          <w:t>nette Kraus (LC CO IR)</w:t>
        </w:r>
      </w:hyperlink>
    </w:p>
    <w:sectPr w:rsidR="00092DEC" w:rsidRPr="00C50CE0" w:rsidSect="00315AB4">
      <w:headerReference w:type="default" r:id="rId22"/>
      <w:footerReference w:type="default" r:id="rId23"/>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7BDC9" w14:textId="77777777" w:rsidR="006B2B2D" w:rsidRDefault="006B2B2D">
      <w:pPr>
        <w:spacing w:after="0" w:line="240" w:lineRule="auto"/>
      </w:pPr>
      <w:r>
        <w:separator/>
      </w:r>
    </w:p>
  </w:endnote>
  <w:endnote w:type="continuationSeparator" w:id="0">
    <w:p w14:paraId="4B61077B" w14:textId="77777777" w:rsidR="006B2B2D" w:rsidRDefault="006B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9CE0" w14:textId="77777777" w:rsidR="0095201C" w:rsidRDefault="0095201C">
    <w:pPr>
      <w:pStyle w:val="Fuzeile"/>
    </w:pPr>
    <w: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B228F" w14:textId="77777777" w:rsidR="006B2B2D" w:rsidRDefault="006B2B2D">
      <w:pPr>
        <w:spacing w:after="0" w:line="240" w:lineRule="auto"/>
      </w:pPr>
      <w:r>
        <w:separator/>
      </w:r>
    </w:p>
  </w:footnote>
  <w:footnote w:type="continuationSeparator" w:id="0">
    <w:p w14:paraId="697D17A5" w14:textId="77777777" w:rsidR="006B2B2D" w:rsidRDefault="006B2B2D">
      <w:pPr>
        <w:spacing w:after="0" w:line="240" w:lineRule="auto"/>
      </w:pPr>
      <w:r>
        <w:continuationSeparator/>
      </w:r>
    </w:p>
  </w:footnote>
  <w:footnote w:id="1">
    <w:p w14:paraId="7FC62B92" w14:textId="0FB47469" w:rsidR="00F86858" w:rsidRPr="009327E2" w:rsidRDefault="00F86858">
      <w:pPr>
        <w:pStyle w:val="Funotentext"/>
        <w:rPr>
          <w:sz w:val="20"/>
          <w:szCs w:val="20"/>
        </w:rPr>
      </w:pPr>
      <w:r>
        <w:rPr>
          <w:rStyle w:val="Funotenzeichen"/>
        </w:rPr>
        <w:footnoteRef/>
      </w:r>
      <w:r>
        <w:t xml:space="preserve"> </w:t>
      </w:r>
      <w:r w:rsidR="00602459" w:rsidRPr="009327E2">
        <w:rPr>
          <w:sz w:val="20"/>
          <w:szCs w:val="20"/>
        </w:rPr>
        <w:t xml:space="preserve">For the purposes of this Chapter, Compliance Case Handling means all processes with which Investigation Regulatory </w:t>
      </w:r>
      <w:r w:rsidR="00456F2F" w:rsidRPr="009327E2">
        <w:rPr>
          <w:sz w:val="20"/>
          <w:szCs w:val="20"/>
        </w:rPr>
        <w:t xml:space="preserve">(LC CO IR) </w:t>
      </w:r>
      <w:r w:rsidR="00602459" w:rsidRPr="009327E2">
        <w:rPr>
          <w:sz w:val="20"/>
          <w:szCs w:val="20"/>
        </w:rPr>
        <w:t>deals in terms of content.</w:t>
      </w:r>
    </w:p>
  </w:footnote>
  <w:footnote w:id="2">
    <w:p w14:paraId="054C8550" w14:textId="45C1FBA1" w:rsidR="006430B5" w:rsidRPr="00EC6BEA" w:rsidRDefault="006430B5">
      <w:pPr>
        <w:pStyle w:val="Funotentext"/>
      </w:pPr>
      <w:r w:rsidRPr="009327E2">
        <w:rPr>
          <w:rStyle w:val="Funotenzeichen"/>
          <w:sz w:val="20"/>
          <w:szCs w:val="20"/>
        </w:rPr>
        <w:footnoteRef/>
      </w:r>
      <w:r w:rsidRPr="009327E2">
        <w:rPr>
          <w:sz w:val="20"/>
          <w:szCs w:val="20"/>
        </w:rPr>
        <w:t xml:space="preserve"> For Germany ple</w:t>
      </w:r>
      <w:r w:rsidR="00733F56" w:rsidRPr="009327E2">
        <w:rPr>
          <w:sz w:val="20"/>
          <w:szCs w:val="20"/>
        </w:rPr>
        <w:t xml:space="preserve">ase also </w:t>
      </w:r>
      <w:r w:rsidR="00E92D18" w:rsidRPr="009327E2">
        <w:rPr>
          <w:sz w:val="20"/>
          <w:szCs w:val="20"/>
        </w:rPr>
        <w:t>see</w:t>
      </w:r>
      <w:r w:rsidR="00733F56" w:rsidRPr="009327E2">
        <w:rPr>
          <w:sz w:val="20"/>
          <w:szCs w:val="20"/>
        </w:rPr>
        <w:t xml:space="preserve"> </w:t>
      </w:r>
      <w:hyperlink r:id="rId1" w:history="1">
        <w:r w:rsidR="00733F56" w:rsidRPr="009327E2">
          <w:rPr>
            <w:rStyle w:val="Hyperlink"/>
            <w:sz w:val="20"/>
            <w:szCs w:val="20"/>
          </w:rPr>
          <w:t xml:space="preserve">No. 3.8. Annex 2 &amp; no. 6.2. Annex 3 to </w:t>
        </w:r>
        <w:r w:rsidR="00F466D1" w:rsidRPr="009327E2">
          <w:rPr>
            <w:rStyle w:val="Hyperlink"/>
            <w:sz w:val="20"/>
            <w:szCs w:val="20"/>
          </w:rPr>
          <w:t>C</w:t>
        </w:r>
        <w:r w:rsidR="00733F56" w:rsidRPr="009327E2">
          <w:rPr>
            <w:rStyle w:val="Hyperlink"/>
            <w:sz w:val="20"/>
            <w:szCs w:val="20"/>
          </w:rPr>
          <w:t>HR Circular No. 44/15 1</w:t>
        </w:r>
        <w:r w:rsidR="00733F56" w:rsidRPr="009327E2">
          <w:rPr>
            <w:rStyle w:val="Hyperlink"/>
            <w:sz w:val="20"/>
            <w:szCs w:val="20"/>
            <w:vertAlign w:val="superscript"/>
          </w:rPr>
          <w:t>st</w:t>
        </w:r>
        <w:r w:rsidR="00733F56" w:rsidRPr="009327E2">
          <w:rPr>
            <w:rStyle w:val="Hyperlink"/>
            <w:sz w:val="20"/>
            <w:szCs w:val="20"/>
          </w:rPr>
          <w:t xml:space="preserve"> Amendment of 21 September 2016 („</w:t>
        </w:r>
        <w:proofErr w:type="spellStart"/>
        <w:r w:rsidR="00733F56" w:rsidRPr="009327E2">
          <w:rPr>
            <w:rStyle w:val="Hyperlink"/>
            <w:sz w:val="20"/>
            <w:szCs w:val="20"/>
          </w:rPr>
          <w:t>Konzernbetriebsvereinbarung</w:t>
        </w:r>
        <w:proofErr w:type="spellEnd"/>
        <w:r w:rsidR="00733F56" w:rsidRPr="009327E2">
          <w:rPr>
            <w:rStyle w:val="Hyperlink"/>
            <w:sz w:val="20"/>
            <w:szCs w:val="20"/>
          </w:rPr>
          <w:t xml:space="preserve"> </w:t>
        </w:r>
        <w:proofErr w:type="spellStart"/>
        <w:r w:rsidR="00733F56" w:rsidRPr="009327E2">
          <w:rPr>
            <w:rStyle w:val="Hyperlink"/>
            <w:sz w:val="20"/>
            <w:szCs w:val="20"/>
          </w:rPr>
          <w:t>über</w:t>
        </w:r>
        <w:proofErr w:type="spellEnd"/>
        <w:r w:rsidR="00733F56" w:rsidRPr="009327E2">
          <w:rPr>
            <w:rStyle w:val="Hyperlink"/>
            <w:sz w:val="20"/>
            <w:szCs w:val="20"/>
          </w:rPr>
          <w:t xml:space="preserve"> das ‚Siemens-Compliance-</w:t>
        </w:r>
        <w:proofErr w:type="gramStart"/>
        <w:r w:rsidR="00733F56" w:rsidRPr="009327E2">
          <w:rPr>
            <w:rStyle w:val="Hyperlink"/>
            <w:sz w:val="20"/>
            <w:szCs w:val="20"/>
          </w:rPr>
          <w:t>System‘</w:t>
        </w:r>
        <w:proofErr w:type="gramEnd"/>
        <w:r w:rsidR="00724474" w:rsidRPr="009327E2">
          <w:rPr>
            <w:rStyle w:val="Hyperlink"/>
            <w:sz w:val="20"/>
            <w:szCs w:val="20"/>
          </w:rPr>
          <w:t>)</w:t>
        </w:r>
      </w:hyperlink>
      <w:r w:rsidR="00A34F56" w:rsidRPr="009327E2">
        <w:rPr>
          <w:rStyle w:val="Hyperlink"/>
          <w:sz w:val="20"/>
          <w:szCs w:val="20"/>
        </w:rPr>
        <w:t>.</w:t>
      </w:r>
    </w:p>
  </w:footnote>
  <w:footnote w:id="3">
    <w:p w14:paraId="193C6174" w14:textId="6E2157B3" w:rsidR="00EC6BEA" w:rsidRPr="00476282" w:rsidRDefault="00EC6BEA">
      <w:pPr>
        <w:pStyle w:val="Funotentext"/>
        <w:rPr>
          <w:sz w:val="20"/>
          <w:szCs w:val="20"/>
        </w:rPr>
      </w:pPr>
      <w:r w:rsidRPr="00476282">
        <w:rPr>
          <w:rStyle w:val="Funotenzeichen"/>
          <w:sz w:val="20"/>
          <w:szCs w:val="20"/>
        </w:rPr>
        <w:footnoteRef/>
      </w:r>
      <w:r w:rsidRPr="00476282">
        <w:rPr>
          <w:sz w:val="20"/>
          <w:szCs w:val="20"/>
        </w:rPr>
        <w:t xml:space="preserve"> (</w:t>
      </w:r>
      <w:r w:rsidR="00244C6A" w:rsidRPr="00476282">
        <w:rPr>
          <w:rFonts w:cs="Arial"/>
          <w:sz w:val="20"/>
          <w:szCs w:val="20"/>
        </w:rPr>
        <w:t>S</w:t>
      </w:r>
      <w:r w:rsidRPr="00476282">
        <w:rPr>
          <w:rFonts w:cs="Arial"/>
          <w:sz w:val="20"/>
          <w:szCs w:val="20"/>
        </w:rPr>
        <w:t>ec. 50 BRAO)</w:t>
      </w:r>
    </w:p>
  </w:footnote>
  <w:footnote w:id="4">
    <w:p w14:paraId="2262F68E" w14:textId="43231921" w:rsidR="00C472CF" w:rsidRPr="00476282" w:rsidRDefault="00C472CF">
      <w:pPr>
        <w:pStyle w:val="Funotentext"/>
        <w:rPr>
          <w:sz w:val="20"/>
          <w:szCs w:val="20"/>
        </w:rPr>
      </w:pPr>
      <w:r w:rsidRPr="00476282">
        <w:rPr>
          <w:rStyle w:val="Funotenzeichen"/>
          <w:sz w:val="20"/>
          <w:szCs w:val="20"/>
        </w:rPr>
        <w:footnoteRef/>
      </w:r>
      <w:r w:rsidRPr="00476282">
        <w:rPr>
          <w:sz w:val="20"/>
          <w:szCs w:val="20"/>
        </w:rPr>
        <w:t xml:space="preserve"> </w:t>
      </w:r>
      <w:r w:rsidR="008C3402" w:rsidRPr="00476282">
        <w:rPr>
          <w:sz w:val="20"/>
          <w:szCs w:val="20"/>
        </w:rPr>
        <w:t>Siemens Legal &amp; Compliance Document Management System / matter archive</w:t>
      </w:r>
    </w:p>
  </w:footnote>
  <w:footnote w:id="5">
    <w:p w14:paraId="6C9C707D" w14:textId="5CE9AD36" w:rsidR="00973978" w:rsidRPr="00476282" w:rsidRDefault="00973978">
      <w:pPr>
        <w:pStyle w:val="Funotentext"/>
        <w:rPr>
          <w:sz w:val="20"/>
          <w:szCs w:val="20"/>
        </w:rPr>
      </w:pPr>
      <w:r w:rsidRPr="00476282">
        <w:rPr>
          <w:rStyle w:val="Funotenzeichen"/>
          <w:sz w:val="20"/>
          <w:szCs w:val="20"/>
        </w:rPr>
        <w:footnoteRef/>
      </w:r>
      <w:r w:rsidRPr="00476282">
        <w:rPr>
          <w:sz w:val="20"/>
          <w:szCs w:val="20"/>
        </w:rPr>
        <w:t xml:space="preserve"> Siemens Compliance Forensic Case Management System</w:t>
      </w:r>
    </w:p>
  </w:footnote>
  <w:footnote w:id="6">
    <w:p w14:paraId="7E89C574" w14:textId="77669C6D" w:rsidR="00E92D18" w:rsidRPr="00E92D18" w:rsidRDefault="00FB23AA" w:rsidP="00E92D18">
      <w:pPr>
        <w:tabs>
          <w:tab w:val="left" w:pos="2127"/>
        </w:tabs>
        <w:spacing w:after="0"/>
        <w:ind w:left="2127" w:hanging="2127"/>
        <w:jc w:val="both"/>
        <w:rPr>
          <w:szCs w:val="20"/>
        </w:rPr>
      </w:pPr>
      <w:r w:rsidRPr="00476282">
        <w:rPr>
          <w:rStyle w:val="Funotenzeichen"/>
          <w:szCs w:val="20"/>
        </w:rPr>
        <w:footnoteRef/>
      </w:r>
      <w:r w:rsidRPr="00476282">
        <w:rPr>
          <w:szCs w:val="20"/>
        </w:rPr>
        <w:t xml:space="preserve"> Siemens Legal &amp; Compliance data analytics tool</w:t>
      </w:r>
    </w:p>
  </w:footnote>
  <w:footnote w:id="7">
    <w:p w14:paraId="4D655B40" w14:textId="2A04FE4E" w:rsidR="00F747EE" w:rsidRPr="00494D1B" w:rsidRDefault="00F747EE">
      <w:pPr>
        <w:pStyle w:val="Funotentext"/>
      </w:pPr>
      <w:r w:rsidRPr="00476282">
        <w:rPr>
          <w:rStyle w:val="Funotenzeichen"/>
          <w:sz w:val="20"/>
          <w:szCs w:val="20"/>
        </w:rPr>
        <w:footnoteRef/>
      </w:r>
      <w:r w:rsidRPr="00476282">
        <w:rPr>
          <w:sz w:val="20"/>
          <w:szCs w:val="20"/>
        </w:rPr>
        <w:t xml:space="preserve"> </w:t>
      </w:r>
      <w:r w:rsidR="00AB4A31" w:rsidRPr="00476282">
        <w:rPr>
          <w:sz w:val="20"/>
          <w:szCs w:val="20"/>
        </w:rPr>
        <w:t>(</w:t>
      </w:r>
      <w:r w:rsidRPr="00476282">
        <w:rPr>
          <w:sz w:val="20"/>
          <w:szCs w:val="20"/>
        </w:rPr>
        <w:t xml:space="preserve">Sec. </w:t>
      </w:r>
      <w:r w:rsidR="00AB4A31" w:rsidRPr="00476282">
        <w:rPr>
          <w:sz w:val="20"/>
          <w:szCs w:val="20"/>
        </w:rPr>
        <w:t>8 GWG)</w:t>
      </w:r>
    </w:p>
  </w:footnote>
  <w:footnote w:id="8">
    <w:p w14:paraId="1B00C18A" w14:textId="69F444CD" w:rsidR="00494D1B" w:rsidRPr="001408CA" w:rsidRDefault="00494D1B">
      <w:pPr>
        <w:pStyle w:val="Funotentext"/>
        <w:rPr>
          <w:sz w:val="20"/>
          <w:szCs w:val="20"/>
        </w:rPr>
      </w:pPr>
      <w:r>
        <w:rPr>
          <w:rStyle w:val="Funotenzeichen"/>
        </w:rPr>
        <w:footnoteRef/>
      </w:r>
      <w:r>
        <w:t xml:space="preserve"> </w:t>
      </w:r>
      <w:r w:rsidRPr="001408CA">
        <w:rPr>
          <w:sz w:val="20"/>
          <w:szCs w:val="20"/>
        </w:rPr>
        <w:t xml:space="preserve">(Sec. </w:t>
      </w:r>
      <w:r w:rsidR="00CB13D6" w:rsidRPr="001408CA">
        <w:rPr>
          <w:sz w:val="20"/>
          <w:szCs w:val="20"/>
        </w:rPr>
        <w:t xml:space="preserve">83 </w:t>
      </w:r>
      <w:proofErr w:type="spellStart"/>
      <w:r w:rsidRPr="001408CA">
        <w:rPr>
          <w:sz w:val="20"/>
          <w:szCs w:val="20"/>
        </w:rPr>
        <w:t>WpHG</w:t>
      </w:r>
      <w:proofErr w:type="spellEnd"/>
      <w:r w:rsidRPr="001408CA">
        <w:rPr>
          <w:sz w:val="20"/>
          <w:szCs w:val="20"/>
        </w:rPr>
        <w:t>)</w:t>
      </w:r>
    </w:p>
  </w:footnote>
  <w:footnote w:id="9">
    <w:p w14:paraId="3C046142" w14:textId="00D6AEDC" w:rsidR="001A307F" w:rsidRPr="001A307F" w:rsidRDefault="001A307F">
      <w:pPr>
        <w:pStyle w:val="Funotentext"/>
      </w:pPr>
      <w:r w:rsidRPr="001408CA">
        <w:rPr>
          <w:rStyle w:val="Funotenzeichen"/>
          <w:sz w:val="20"/>
          <w:szCs w:val="20"/>
        </w:rPr>
        <w:footnoteRef/>
      </w:r>
      <w:r w:rsidRPr="001408CA">
        <w:rPr>
          <w:sz w:val="20"/>
          <w:szCs w:val="20"/>
        </w:rPr>
        <w:t xml:space="preserve"> (Sec. 147 </w:t>
      </w:r>
      <w:r w:rsidR="00EC5EE6" w:rsidRPr="001408CA">
        <w:rPr>
          <w:sz w:val="20"/>
          <w:szCs w:val="20"/>
        </w:rPr>
        <w:t>AO, Sec. 257 HGB)</w:t>
      </w:r>
    </w:p>
  </w:footnote>
  <w:footnote w:id="10">
    <w:p w14:paraId="23719C68" w14:textId="08915854" w:rsidR="002C51F9" w:rsidRPr="002C51F9" w:rsidRDefault="002C51F9" w:rsidP="002C51F9">
      <w:pPr>
        <w:pStyle w:val="Funotentext"/>
      </w:pPr>
      <w:r>
        <w:rPr>
          <w:rStyle w:val="Funotenzeichen"/>
        </w:rPr>
        <w:footnoteRef/>
      </w:r>
      <w:r w:rsidRPr="002C51F9">
        <w:t xml:space="preserve"> </w:t>
      </w:r>
      <w:r w:rsidRPr="001408CA">
        <w:rPr>
          <w:sz w:val="20"/>
          <w:szCs w:val="20"/>
        </w:rPr>
        <w:t>The obligation to retain all possible documents within the scope of an "Investigation/Litigation Hold" issued by LC C LIT is detailed in the Guideline on Retention Obligations and Periods</w:t>
      </w:r>
      <w:r w:rsidR="00153D9C" w:rsidRPr="001408CA">
        <w:rPr>
          <w:rFonts w:cs="Arial"/>
          <w:sz w:val="20"/>
          <w:szCs w:val="20"/>
        </w:rPr>
        <w:t xml:space="preserve"> </w:t>
      </w:r>
      <w:r w:rsidR="00B71AB8" w:rsidRPr="001408CA">
        <w:rPr>
          <w:sz w:val="20"/>
          <w:szCs w:val="20"/>
        </w:rPr>
        <w:t xml:space="preserve">in section 2.4.1. </w:t>
      </w:r>
      <w:r w:rsidR="00153D9C" w:rsidRPr="001408CA">
        <w:rPr>
          <w:rFonts w:cs="Arial"/>
          <w:sz w:val="20"/>
          <w:szCs w:val="20"/>
        </w:rPr>
        <w:t>(</w:t>
      </w:r>
      <w:proofErr w:type="spellStart"/>
      <w:r w:rsidR="00153D9C" w:rsidRPr="001408CA">
        <w:fldChar w:fldCharType="begin"/>
      </w:r>
      <w:r w:rsidR="00153D9C" w:rsidRPr="001408CA">
        <w:rPr>
          <w:sz w:val="20"/>
          <w:szCs w:val="20"/>
        </w:rPr>
        <w:instrText xml:space="preserve"> HYPERLINK "https://lkb.siemens.com/content/00000008/LegalKnowledgeBase/y1t6v041dbqp/LKB002358.pdf" </w:instrText>
      </w:r>
      <w:r w:rsidR="00153D9C" w:rsidRPr="001408CA">
        <w:fldChar w:fldCharType="separate"/>
      </w:r>
      <w:r w:rsidR="00153D9C" w:rsidRPr="001408CA">
        <w:rPr>
          <w:rStyle w:val="Hyperlink"/>
          <w:rFonts w:cs="Arial"/>
          <w:sz w:val="20"/>
          <w:szCs w:val="20"/>
        </w:rPr>
        <w:t>Leitfaden</w:t>
      </w:r>
      <w:proofErr w:type="spellEnd"/>
      <w:r w:rsidR="00153D9C" w:rsidRPr="001408CA">
        <w:rPr>
          <w:rStyle w:val="Hyperlink"/>
          <w:rFonts w:cs="Arial"/>
          <w:sz w:val="20"/>
          <w:szCs w:val="20"/>
        </w:rPr>
        <w:t xml:space="preserve"> </w:t>
      </w:r>
      <w:proofErr w:type="spellStart"/>
      <w:r w:rsidR="00153D9C" w:rsidRPr="001408CA">
        <w:rPr>
          <w:rStyle w:val="Hyperlink"/>
          <w:rFonts w:cs="Arial"/>
          <w:sz w:val="20"/>
          <w:szCs w:val="20"/>
        </w:rPr>
        <w:t>zu</w:t>
      </w:r>
      <w:proofErr w:type="spellEnd"/>
      <w:r w:rsidR="00153D9C" w:rsidRPr="001408CA">
        <w:rPr>
          <w:rStyle w:val="Hyperlink"/>
          <w:rFonts w:cs="Arial"/>
          <w:sz w:val="20"/>
          <w:szCs w:val="20"/>
        </w:rPr>
        <w:t xml:space="preserve"> </w:t>
      </w:r>
      <w:proofErr w:type="spellStart"/>
      <w:r w:rsidR="00153D9C" w:rsidRPr="001408CA">
        <w:rPr>
          <w:rStyle w:val="Hyperlink"/>
          <w:rFonts w:cs="Arial"/>
          <w:sz w:val="20"/>
          <w:szCs w:val="20"/>
        </w:rPr>
        <w:t>Aufbewahrungspflichten</w:t>
      </w:r>
      <w:proofErr w:type="spellEnd"/>
      <w:r w:rsidR="00153D9C" w:rsidRPr="001408CA">
        <w:rPr>
          <w:rStyle w:val="Hyperlink"/>
          <w:rFonts w:cs="Arial"/>
          <w:sz w:val="20"/>
          <w:szCs w:val="20"/>
        </w:rPr>
        <w:t xml:space="preserve"> und -</w:t>
      </w:r>
      <w:proofErr w:type="spellStart"/>
      <w:r w:rsidR="00153D9C" w:rsidRPr="001408CA">
        <w:rPr>
          <w:rStyle w:val="Hyperlink"/>
          <w:rFonts w:cs="Arial"/>
          <w:sz w:val="20"/>
          <w:szCs w:val="20"/>
        </w:rPr>
        <w:t>fristen</w:t>
      </w:r>
      <w:proofErr w:type="spellEnd"/>
      <w:r w:rsidR="00153D9C" w:rsidRPr="001408CA">
        <w:rPr>
          <w:rStyle w:val="Hyperlink"/>
          <w:rFonts w:cs="Arial"/>
          <w:sz w:val="20"/>
          <w:szCs w:val="20"/>
          <w:lang w:val="de-DE"/>
        </w:rPr>
        <w:fldChar w:fldCharType="end"/>
      </w:r>
      <w:r w:rsidR="00153D9C" w:rsidRPr="001408CA">
        <w:rPr>
          <w:rStyle w:val="Hyperlink"/>
          <w:rFonts w:cs="Arial"/>
          <w:sz w:val="20"/>
          <w:szCs w:val="20"/>
        </w:rPr>
        <w:t>)</w:t>
      </w:r>
      <w:r w:rsidR="00B71AB8">
        <w:rPr>
          <w:rStyle w:val="Hyperlink"/>
          <w:rFonts w:cs="Arial"/>
          <w:sz w:val="20"/>
          <w:szCs w:val="20"/>
        </w:rPr>
        <w:t xml:space="preserve">. </w:t>
      </w:r>
      <w:r w:rsidR="006F299C" w:rsidRPr="001408CA">
        <w:rPr>
          <w:rFonts w:cs="Arial"/>
          <w:sz w:val="20"/>
          <w:szCs w:val="20"/>
        </w:rPr>
        <w:t>Siemens Circular 207 (“</w:t>
      </w:r>
      <w:r w:rsidR="006F299C" w:rsidRPr="001408CA">
        <w:rPr>
          <w:sz w:val="20"/>
          <w:szCs w:val="20"/>
        </w:rPr>
        <w:t>Obligation to retain documents after the conclusion of the independent compliance investigation”) related to the “</w:t>
      </w:r>
      <w:proofErr w:type="spellStart"/>
      <w:r w:rsidR="006F299C" w:rsidRPr="001408CA">
        <w:rPr>
          <w:sz w:val="20"/>
          <w:szCs w:val="20"/>
        </w:rPr>
        <w:t>Debevoise</w:t>
      </w:r>
      <w:proofErr w:type="spellEnd"/>
      <w:r w:rsidR="006F299C" w:rsidRPr="001408CA">
        <w:rPr>
          <w:sz w:val="20"/>
          <w:szCs w:val="20"/>
        </w:rPr>
        <w:t xml:space="preserve"> Investigation” end of 2006 has been archived and substituted by a “Legal Hold”.</w:t>
      </w:r>
    </w:p>
  </w:footnote>
  <w:footnote w:id="11">
    <w:p w14:paraId="1B2A88F0" w14:textId="6296D367" w:rsidR="009458BB" w:rsidRPr="001B080D" w:rsidRDefault="009458BB">
      <w:pPr>
        <w:pStyle w:val="Funotentext"/>
        <w:rPr>
          <w:sz w:val="20"/>
          <w:szCs w:val="20"/>
        </w:rPr>
      </w:pPr>
      <w:r>
        <w:rPr>
          <w:rStyle w:val="Funotenzeichen"/>
        </w:rPr>
        <w:footnoteRef/>
      </w:r>
      <w:r w:rsidRPr="009458BB">
        <w:t xml:space="preserve"> </w:t>
      </w:r>
      <w:r w:rsidRPr="001B080D">
        <w:rPr>
          <w:sz w:val="20"/>
          <w:szCs w:val="20"/>
        </w:rPr>
        <w:t>See sec. 78(3</w:t>
      </w:r>
      <w:proofErr w:type="gramStart"/>
      <w:r w:rsidRPr="001B080D">
        <w:rPr>
          <w:sz w:val="20"/>
          <w:szCs w:val="20"/>
        </w:rPr>
        <w:t>),(</w:t>
      </w:r>
      <w:proofErr w:type="gramEnd"/>
      <w:r w:rsidRPr="001B080D">
        <w:rPr>
          <w:sz w:val="20"/>
          <w:szCs w:val="20"/>
        </w:rPr>
        <w:t xml:space="preserve">4), 78a </w:t>
      </w:r>
      <w:proofErr w:type="spellStart"/>
      <w:r w:rsidRPr="001B080D">
        <w:rPr>
          <w:sz w:val="20"/>
          <w:szCs w:val="20"/>
        </w:rPr>
        <w:t>StGB</w:t>
      </w:r>
      <w:proofErr w:type="spellEnd"/>
      <w:r w:rsidRPr="001B080D">
        <w:rPr>
          <w:sz w:val="20"/>
          <w:szCs w:val="20"/>
        </w:rPr>
        <w:t xml:space="preserve"> and sec. 31 (2),(3) </w:t>
      </w:r>
      <w:proofErr w:type="spellStart"/>
      <w:r w:rsidRPr="001B080D">
        <w:rPr>
          <w:sz w:val="20"/>
          <w:szCs w:val="20"/>
        </w:rPr>
        <w:t>OWiG</w:t>
      </w:r>
      <w:proofErr w:type="spellEnd"/>
      <w:r w:rsidRPr="001B080D">
        <w:rPr>
          <w:sz w:val="20"/>
          <w:szCs w:val="20"/>
        </w:rPr>
        <w:t xml:space="preserve">; for details please refer to the </w:t>
      </w:r>
      <w:proofErr w:type="spellStart"/>
      <w:r w:rsidRPr="001B080D">
        <w:rPr>
          <w:sz w:val="20"/>
          <w:szCs w:val="20"/>
        </w:rPr>
        <w:t>StGB</w:t>
      </w:r>
      <w:proofErr w:type="spellEnd"/>
      <w:r w:rsidRPr="001B080D">
        <w:rPr>
          <w:sz w:val="20"/>
          <w:szCs w:val="20"/>
        </w:rPr>
        <w:t xml:space="preserve"> or any applicable special statues and case law.</w:t>
      </w:r>
    </w:p>
  </w:footnote>
  <w:footnote w:id="12">
    <w:p w14:paraId="7FA626AE" w14:textId="65F3267A" w:rsidR="003415B0" w:rsidRPr="001B080D" w:rsidRDefault="003415B0" w:rsidP="003415B0">
      <w:pPr>
        <w:pStyle w:val="Funotentext"/>
        <w:rPr>
          <w:sz w:val="20"/>
          <w:szCs w:val="20"/>
        </w:rPr>
      </w:pPr>
      <w:r w:rsidRPr="001B080D">
        <w:rPr>
          <w:rStyle w:val="Funotenzeichen"/>
          <w:sz w:val="20"/>
          <w:szCs w:val="20"/>
        </w:rPr>
        <w:footnoteRef/>
      </w:r>
      <w:r w:rsidRPr="001B080D">
        <w:rPr>
          <w:sz w:val="20"/>
          <w:szCs w:val="20"/>
        </w:rPr>
        <w:t xml:space="preserve"> See sec.169 (2) no. 2, 170, 370 AO¸ for details please refer to the </w:t>
      </w:r>
      <w:r w:rsidR="00E36503" w:rsidRPr="001B080D">
        <w:rPr>
          <w:sz w:val="20"/>
          <w:szCs w:val="20"/>
        </w:rPr>
        <w:t>relevant tax laws</w:t>
      </w:r>
      <w:r w:rsidRPr="001B080D">
        <w:rPr>
          <w:sz w:val="20"/>
          <w:szCs w:val="20"/>
        </w:rPr>
        <w:t xml:space="preserve"> or any applicable special statues and case law.</w:t>
      </w:r>
    </w:p>
  </w:footnote>
  <w:footnote w:id="13">
    <w:p w14:paraId="1F214528" w14:textId="6F39FF42" w:rsidR="005D461F" w:rsidRPr="001B080D" w:rsidRDefault="005D461F">
      <w:pPr>
        <w:pStyle w:val="Funotentext"/>
        <w:rPr>
          <w:sz w:val="20"/>
          <w:szCs w:val="20"/>
        </w:rPr>
      </w:pPr>
      <w:r w:rsidRPr="001B080D">
        <w:rPr>
          <w:rStyle w:val="Funotenzeichen"/>
          <w:sz w:val="20"/>
          <w:szCs w:val="20"/>
        </w:rPr>
        <w:footnoteRef/>
      </w:r>
      <w:r w:rsidRPr="001B080D">
        <w:rPr>
          <w:sz w:val="20"/>
          <w:szCs w:val="20"/>
        </w:rPr>
        <w:t xml:space="preserve"> See sec. 195, 199 (1) BGB; for details please refer to the BGB or any applicable special statues and case law.</w:t>
      </w:r>
    </w:p>
  </w:footnote>
  <w:footnote w:id="14">
    <w:p w14:paraId="7908D45D" w14:textId="77777777" w:rsidR="00401874" w:rsidRPr="001B080D" w:rsidRDefault="00401874" w:rsidP="00401874">
      <w:pPr>
        <w:pStyle w:val="Funotentext"/>
        <w:rPr>
          <w:sz w:val="20"/>
          <w:szCs w:val="20"/>
        </w:rPr>
      </w:pPr>
      <w:r w:rsidRPr="001B080D">
        <w:rPr>
          <w:rStyle w:val="Funotenzeichen"/>
          <w:sz w:val="20"/>
          <w:szCs w:val="20"/>
        </w:rPr>
        <w:footnoteRef/>
      </w:r>
      <w:r w:rsidRPr="001B080D">
        <w:rPr>
          <w:sz w:val="20"/>
          <w:szCs w:val="20"/>
        </w:rPr>
        <w:t xml:space="preserve"> A 5-years limitation period generally applies under FCPA, whereas conspiracy is deemed to be a “continuing offence” extending limitation period (see 18 U.S.C. §3282); the limitations period may also be extended by a tolling agreement, or the government may apply for an extension of up to 3 years in order to obtain evidence from foreign countries (18 U.S.C. § 3292); for civil actions see 28 U.S.C. §2462.</w:t>
      </w:r>
    </w:p>
  </w:footnote>
  <w:footnote w:id="15">
    <w:p w14:paraId="62C7FA5B" w14:textId="77777777" w:rsidR="00401874" w:rsidRPr="001B080D" w:rsidRDefault="00401874" w:rsidP="00401874">
      <w:pPr>
        <w:pStyle w:val="Funotentext"/>
        <w:rPr>
          <w:sz w:val="20"/>
          <w:szCs w:val="20"/>
        </w:rPr>
      </w:pPr>
      <w:r w:rsidRPr="001B080D">
        <w:rPr>
          <w:rStyle w:val="Funotenzeichen"/>
          <w:sz w:val="20"/>
          <w:szCs w:val="20"/>
        </w:rPr>
        <w:footnoteRef/>
      </w:r>
      <w:r w:rsidRPr="001B080D">
        <w:rPr>
          <w:sz w:val="20"/>
          <w:szCs w:val="20"/>
        </w:rPr>
        <w:t xml:space="preserve"> When deciding whether to prosecute an allegation, the competent U.K. authorities will decide on the basis of (i) the evidence and (ii) the public interest (see bribery Act 2010: Joint Prosecution Guidance of the Director of the Serious Fraud Office and the Director of Public Prosecutions, p. 4 et seq.).</w:t>
      </w:r>
    </w:p>
  </w:footnote>
  <w:footnote w:id="16">
    <w:p w14:paraId="6814E1A4" w14:textId="7279D1B9" w:rsidR="00232C02" w:rsidRPr="00232C02" w:rsidRDefault="00232C02">
      <w:pPr>
        <w:pStyle w:val="Funotentext"/>
        <w:rPr>
          <w:lang w:val="de-DE"/>
        </w:rPr>
      </w:pPr>
      <w:r>
        <w:rPr>
          <w:rStyle w:val="Funotenzeichen"/>
        </w:rPr>
        <w:footnoteRef/>
      </w:r>
      <w:r w:rsidRPr="0003108E">
        <w:t xml:space="preserve"> </w:t>
      </w:r>
      <w:r w:rsidR="0003108E" w:rsidRPr="0003108E">
        <w:rPr>
          <w:sz w:val="20"/>
          <w:szCs w:val="20"/>
        </w:rPr>
        <w:t xml:space="preserve">Sec. 93 para. 6 </w:t>
      </w:r>
      <w:proofErr w:type="spellStart"/>
      <w:r w:rsidR="0003108E" w:rsidRPr="0003108E">
        <w:rPr>
          <w:sz w:val="20"/>
          <w:szCs w:val="20"/>
        </w:rPr>
        <w:t>AktG</w:t>
      </w:r>
      <w:proofErr w:type="spellEnd"/>
      <w:r w:rsidR="0003108E" w:rsidRPr="0003108E">
        <w:rPr>
          <w:sz w:val="20"/>
          <w:szCs w:val="20"/>
        </w:rPr>
        <w:t xml:space="preserve"> – in combination with sec. 93 para. </w:t>
      </w:r>
      <w:r w:rsidR="0003108E" w:rsidRPr="0003108E">
        <w:rPr>
          <w:sz w:val="20"/>
          <w:szCs w:val="20"/>
          <w:lang w:val="de-DE"/>
        </w:rPr>
        <w:t xml:space="preserve">2, sec. 91 </w:t>
      </w:r>
      <w:proofErr w:type="spellStart"/>
      <w:r w:rsidR="0003108E" w:rsidRPr="0003108E">
        <w:rPr>
          <w:sz w:val="20"/>
          <w:szCs w:val="20"/>
          <w:lang w:val="de-DE"/>
        </w:rPr>
        <w:t>para</w:t>
      </w:r>
      <w:proofErr w:type="spellEnd"/>
      <w:r w:rsidR="0003108E" w:rsidRPr="0003108E">
        <w:rPr>
          <w:sz w:val="20"/>
          <w:szCs w:val="20"/>
          <w:lang w:val="de-DE"/>
        </w:rPr>
        <w:t>. 2 AktG.</w:t>
      </w:r>
    </w:p>
  </w:footnote>
  <w:footnote w:id="17">
    <w:p w14:paraId="0B3F8465" w14:textId="07A5AC72" w:rsidR="006C244D" w:rsidRPr="00CA4A0A" w:rsidRDefault="006C244D">
      <w:pPr>
        <w:pStyle w:val="Funotentext"/>
      </w:pPr>
      <w:r>
        <w:rPr>
          <w:rStyle w:val="Funotenzeichen"/>
        </w:rPr>
        <w:footnoteRef/>
      </w:r>
      <w:r w:rsidRPr="00CA4A0A">
        <w:t xml:space="preserve"> </w:t>
      </w:r>
      <w:r w:rsidR="00F466D1" w:rsidRPr="00476282">
        <w:rPr>
          <w:sz w:val="20"/>
          <w:szCs w:val="20"/>
        </w:rPr>
        <w:t xml:space="preserve">For Germany please also </w:t>
      </w:r>
      <w:r w:rsidR="00F466D1">
        <w:rPr>
          <w:sz w:val="20"/>
          <w:szCs w:val="20"/>
        </w:rPr>
        <w:t>see</w:t>
      </w:r>
      <w:r w:rsidR="00F466D1" w:rsidRPr="00476282">
        <w:rPr>
          <w:sz w:val="20"/>
          <w:szCs w:val="20"/>
        </w:rPr>
        <w:t xml:space="preserve"> </w:t>
      </w:r>
      <w:hyperlink r:id="rId2" w:history="1">
        <w:r w:rsidR="00F466D1" w:rsidRPr="00476282">
          <w:rPr>
            <w:rStyle w:val="Hyperlink"/>
            <w:sz w:val="20"/>
            <w:szCs w:val="20"/>
          </w:rPr>
          <w:t xml:space="preserve">No. 3.8. Annex 2 &amp; no. 6.2. Annex 3 to </w:t>
        </w:r>
        <w:r w:rsidR="00F466D1">
          <w:rPr>
            <w:rStyle w:val="Hyperlink"/>
            <w:sz w:val="20"/>
            <w:szCs w:val="20"/>
          </w:rPr>
          <w:t>C</w:t>
        </w:r>
        <w:r w:rsidR="00F466D1" w:rsidRPr="00476282">
          <w:rPr>
            <w:rStyle w:val="Hyperlink"/>
            <w:sz w:val="20"/>
            <w:szCs w:val="20"/>
          </w:rPr>
          <w:t>HR Circular No. 44/15 1</w:t>
        </w:r>
        <w:r w:rsidR="00F466D1" w:rsidRPr="00476282">
          <w:rPr>
            <w:rStyle w:val="Hyperlink"/>
            <w:sz w:val="20"/>
            <w:szCs w:val="20"/>
            <w:vertAlign w:val="superscript"/>
          </w:rPr>
          <w:t>st</w:t>
        </w:r>
        <w:r w:rsidR="00F466D1" w:rsidRPr="00476282">
          <w:rPr>
            <w:rStyle w:val="Hyperlink"/>
            <w:sz w:val="20"/>
            <w:szCs w:val="20"/>
          </w:rPr>
          <w:t xml:space="preserve"> Amendment of 21 September 2016 („</w:t>
        </w:r>
        <w:proofErr w:type="spellStart"/>
        <w:r w:rsidR="00F466D1" w:rsidRPr="00476282">
          <w:rPr>
            <w:rStyle w:val="Hyperlink"/>
            <w:sz w:val="20"/>
            <w:szCs w:val="20"/>
          </w:rPr>
          <w:t>Konzernbetriebsvereinbarung</w:t>
        </w:r>
        <w:proofErr w:type="spellEnd"/>
        <w:r w:rsidR="00F466D1" w:rsidRPr="00476282">
          <w:rPr>
            <w:rStyle w:val="Hyperlink"/>
            <w:sz w:val="20"/>
            <w:szCs w:val="20"/>
          </w:rPr>
          <w:t xml:space="preserve"> </w:t>
        </w:r>
        <w:proofErr w:type="spellStart"/>
        <w:r w:rsidR="00F466D1" w:rsidRPr="00476282">
          <w:rPr>
            <w:rStyle w:val="Hyperlink"/>
            <w:sz w:val="20"/>
            <w:szCs w:val="20"/>
          </w:rPr>
          <w:t>über</w:t>
        </w:r>
        <w:proofErr w:type="spellEnd"/>
        <w:r w:rsidR="00F466D1" w:rsidRPr="00476282">
          <w:rPr>
            <w:rStyle w:val="Hyperlink"/>
            <w:sz w:val="20"/>
            <w:szCs w:val="20"/>
          </w:rPr>
          <w:t xml:space="preserve"> das ‚Siemens-Compliance-</w:t>
        </w:r>
        <w:proofErr w:type="gramStart"/>
        <w:r w:rsidR="00F466D1" w:rsidRPr="00476282">
          <w:rPr>
            <w:rStyle w:val="Hyperlink"/>
            <w:sz w:val="20"/>
            <w:szCs w:val="20"/>
          </w:rPr>
          <w:t>System‘</w:t>
        </w:r>
        <w:proofErr w:type="gramEnd"/>
        <w:r w:rsidR="00F466D1" w:rsidRPr="00476282">
          <w:rPr>
            <w:rStyle w:val="Hyperlink"/>
            <w:sz w:val="20"/>
            <w:szCs w:val="20"/>
          </w:rPr>
          <w:t>)</w:t>
        </w:r>
      </w:hyperlink>
    </w:p>
  </w:footnote>
  <w:footnote w:id="18">
    <w:p w14:paraId="6A8CC915" w14:textId="077A82DE" w:rsidR="00C16408" w:rsidRPr="008D655F" w:rsidRDefault="00C16408">
      <w:pPr>
        <w:pStyle w:val="Funotentext"/>
      </w:pPr>
      <w:r>
        <w:rPr>
          <w:rStyle w:val="Funotenzeichen"/>
        </w:rPr>
        <w:footnoteRef/>
      </w:r>
      <w:r w:rsidRPr="008D655F">
        <w:t xml:space="preserve"> </w:t>
      </w:r>
      <w:r w:rsidRPr="008D655F">
        <w:rPr>
          <w:rFonts w:cs="Arial"/>
          <w:sz w:val="20"/>
          <w:szCs w:val="20"/>
        </w:rPr>
        <w:t>(</w:t>
      </w:r>
      <w:r w:rsidR="00667B28" w:rsidRPr="008D655F">
        <w:rPr>
          <w:rFonts w:cs="Arial"/>
          <w:sz w:val="20"/>
          <w:szCs w:val="20"/>
        </w:rPr>
        <w:t>Sec.</w:t>
      </w:r>
      <w:r w:rsidRPr="008D655F">
        <w:rPr>
          <w:rFonts w:cs="Arial"/>
          <w:sz w:val="20"/>
          <w:szCs w:val="20"/>
        </w:rPr>
        <w:t xml:space="preserve"> 83 Abs. 8 </w:t>
      </w:r>
      <w:proofErr w:type="spellStart"/>
      <w:r w:rsidRPr="008D655F">
        <w:rPr>
          <w:rFonts w:cs="Arial"/>
          <w:sz w:val="20"/>
          <w:szCs w:val="20"/>
        </w:rPr>
        <w:t>WpHG</w:t>
      </w:r>
      <w:proofErr w:type="spellEnd"/>
      <w:r w:rsidRPr="008D655F">
        <w:rPr>
          <w:rFonts w:cs="Arial"/>
          <w:sz w:val="20"/>
          <w:szCs w:val="20"/>
        </w:rPr>
        <w:t>)</w:t>
      </w:r>
    </w:p>
  </w:footnote>
  <w:footnote w:id="19">
    <w:p w14:paraId="4CFB6E62" w14:textId="64014A5F" w:rsidR="00F51904" w:rsidRPr="00F51904" w:rsidRDefault="00F51904">
      <w:pPr>
        <w:pStyle w:val="Funotentext"/>
      </w:pPr>
      <w:r>
        <w:rPr>
          <w:rStyle w:val="Funotenzeichen"/>
        </w:rPr>
        <w:footnoteRef/>
      </w:r>
      <w:r w:rsidRPr="00F51904">
        <w:t xml:space="preserve"> </w:t>
      </w:r>
      <w:r w:rsidRPr="00F51904">
        <w:rPr>
          <w:sz w:val="20"/>
          <w:szCs w:val="20"/>
        </w:rPr>
        <w:t>The closure of the case is usually documented by the closure of the case in TRACI by the respective case lawyer (regulated by</w:t>
      </w:r>
      <w:hyperlink r:id="rId3" w:history="1">
        <w:r w:rsidRPr="00AD4FD2">
          <w:rPr>
            <w:rStyle w:val="Hyperlink"/>
            <w:sz w:val="20"/>
            <w:szCs w:val="20"/>
          </w:rPr>
          <w:t xml:space="preserve"> </w:t>
        </w:r>
        <w:proofErr w:type="spellStart"/>
        <w:r w:rsidRPr="00AD4FD2">
          <w:rPr>
            <w:rStyle w:val="Hyperlink"/>
            <w:sz w:val="20"/>
            <w:szCs w:val="20"/>
          </w:rPr>
          <w:t>Konzernbetriebsvereinbarung</w:t>
        </w:r>
        <w:proofErr w:type="spellEnd"/>
        <w:r w:rsidRPr="00AD4FD2">
          <w:rPr>
            <w:rStyle w:val="Hyperlink"/>
            <w:sz w:val="20"/>
            <w:szCs w:val="20"/>
          </w:rPr>
          <w:t xml:space="preserve"> on the IT procedure "TRACI" CHR </w:t>
        </w:r>
        <w:r w:rsidR="00294501" w:rsidRPr="00AD4FD2">
          <w:rPr>
            <w:rStyle w:val="Hyperlink"/>
            <w:sz w:val="20"/>
            <w:szCs w:val="20"/>
          </w:rPr>
          <w:t>C</w:t>
        </w:r>
        <w:r w:rsidRPr="00AD4FD2">
          <w:rPr>
            <w:rStyle w:val="Hyperlink"/>
            <w:sz w:val="20"/>
            <w:szCs w:val="20"/>
          </w:rPr>
          <w:t>ircular no. 065/09 dated 31.07.2009, 8th addendum dated 19.01.2017</w:t>
        </w:r>
      </w:hyperlink>
      <w:r w:rsidRPr="00F51904">
        <w:rPr>
          <w:sz w:val="20"/>
          <w:szCs w:val="20"/>
        </w:rPr>
        <w:t>).</w:t>
      </w:r>
    </w:p>
  </w:footnote>
  <w:footnote w:id="20">
    <w:p w14:paraId="73F0C5F7" w14:textId="68ADA8C8" w:rsidR="00267822" w:rsidRPr="00267822" w:rsidRDefault="00267822" w:rsidP="00267822">
      <w:pPr>
        <w:pStyle w:val="Funotentext"/>
      </w:pPr>
      <w:r>
        <w:rPr>
          <w:rStyle w:val="Funotenzeichen"/>
        </w:rPr>
        <w:footnoteRef/>
      </w:r>
      <w:r w:rsidRPr="00267822">
        <w:t xml:space="preserve"> </w:t>
      </w:r>
      <w:r w:rsidRPr="00267822">
        <w:rPr>
          <w:sz w:val="20"/>
          <w:szCs w:val="20"/>
        </w:rPr>
        <w:t xml:space="preserve">The purpose of retention here is, on the one hand, that Siemens requires the data for the establishment, </w:t>
      </w:r>
      <w:proofErr w:type="gramStart"/>
      <w:r w:rsidRPr="00267822">
        <w:rPr>
          <w:sz w:val="20"/>
          <w:szCs w:val="20"/>
        </w:rPr>
        <w:t>exercise</w:t>
      </w:r>
      <w:proofErr w:type="gramEnd"/>
      <w:r w:rsidRPr="00267822">
        <w:rPr>
          <w:sz w:val="20"/>
          <w:szCs w:val="20"/>
        </w:rPr>
        <w:t xml:space="preserve"> or defense of legal claims. This applies during the statutory limitation period in which proceedings may be initiated or claims may be asserted by or against Siemens. On the other hand, retention is necessary to protect Siemens' legitimate interests; in particular, information on convictions for certain criminal offenses is usually required for participation in public tenders. See also obligation to delete pursuant to Section 8 (4) GWG.</w:t>
      </w:r>
    </w:p>
  </w:footnote>
  <w:footnote w:id="21">
    <w:p w14:paraId="01953370" w14:textId="107AA33A" w:rsidR="001B0809" w:rsidRPr="008D655F" w:rsidRDefault="001B0809">
      <w:pPr>
        <w:pStyle w:val="Funotentext"/>
      </w:pPr>
      <w:r>
        <w:rPr>
          <w:rStyle w:val="Funotenzeichen"/>
        </w:rPr>
        <w:footnoteRef/>
      </w:r>
      <w:r w:rsidRPr="008D655F">
        <w:t xml:space="preserve"> </w:t>
      </w:r>
      <w:r w:rsidRPr="008D655F">
        <w:rPr>
          <w:sz w:val="20"/>
          <w:szCs w:val="20"/>
        </w:rPr>
        <w:t>See in detail Guideline on Retention Obligations and Periods</w:t>
      </w:r>
      <w:r w:rsidRPr="008D655F">
        <w:rPr>
          <w:rFonts w:cs="Arial"/>
          <w:sz w:val="20"/>
          <w:szCs w:val="20"/>
        </w:rPr>
        <w:t xml:space="preserve"> (</w:t>
      </w:r>
      <w:proofErr w:type="spellStart"/>
      <w:r w:rsidR="002F0048">
        <w:fldChar w:fldCharType="begin"/>
      </w:r>
      <w:r w:rsidR="002F0048">
        <w:instrText xml:space="preserve"> HYPERLINK "https://lkb.siemens.com/content/00000008/LegalKnowledgeBase/y1t6v041dbqp/LKB002358.pdf" </w:instrText>
      </w:r>
      <w:r w:rsidR="002F0048">
        <w:fldChar w:fldCharType="separate"/>
      </w:r>
      <w:r w:rsidRPr="008D655F">
        <w:rPr>
          <w:rStyle w:val="Hyperlink"/>
          <w:rFonts w:cs="Arial"/>
          <w:sz w:val="20"/>
          <w:szCs w:val="20"/>
        </w:rPr>
        <w:t>Leitfaden</w:t>
      </w:r>
      <w:proofErr w:type="spellEnd"/>
      <w:r w:rsidRPr="008D655F">
        <w:rPr>
          <w:rStyle w:val="Hyperlink"/>
          <w:rFonts w:cs="Arial"/>
          <w:sz w:val="20"/>
          <w:szCs w:val="20"/>
        </w:rPr>
        <w:t xml:space="preserve"> </w:t>
      </w:r>
      <w:proofErr w:type="spellStart"/>
      <w:r w:rsidRPr="008D655F">
        <w:rPr>
          <w:rStyle w:val="Hyperlink"/>
          <w:rFonts w:cs="Arial"/>
          <w:sz w:val="20"/>
          <w:szCs w:val="20"/>
        </w:rPr>
        <w:t>zu</w:t>
      </w:r>
      <w:proofErr w:type="spellEnd"/>
      <w:r w:rsidRPr="008D655F">
        <w:rPr>
          <w:rStyle w:val="Hyperlink"/>
          <w:rFonts w:cs="Arial"/>
          <w:sz w:val="20"/>
          <w:szCs w:val="20"/>
        </w:rPr>
        <w:t xml:space="preserve"> </w:t>
      </w:r>
      <w:proofErr w:type="spellStart"/>
      <w:r w:rsidRPr="008D655F">
        <w:rPr>
          <w:rStyle w:val="Hyperlink"/>
          <w:rFonts w:cs="Arial"/>
          <w:sz w:val="20"/>
          <w:szCs w:val="20"/>
        </w:rPr>
        <w:t>Aufbewahrungspflichten</w:t>
      </w:r>
      <w:proofErr w:type="spellEnd"/>
      <w:r w:rsidRPr="008D655F">
        <w:rPr>
          <w:rStyle w:val="Hyperlink"/>
          <w:rFonts w:cs="Arial"/>
          <w:sz w:val="20"/>
          <w:szCs w:val="20"/>
        </w:rPr>
        <w:t xml:space="preserve"> und -</w:t>
      </w:r>
      <w:proofErr w:type="spellStart"/>
      <w:r w:rsidRPr="008D655F">
        <w:rPr>
          <w:rStyle w:val="Hyperlink"/>
          <w:rFonts w:cs="Arial"/>
          <w:sz w:val="20"/>
          <w:szCs w:val="20"/>
        </w:rPr>
        <w:t>fristen</w:t>
      </w:r>
      <w:proofErr w:type="spellEnd"/>
      <w:r w:rsidR="002F0048">
        <w:rPr>
          <w:rStyle w:val="Hyperlink"/>
          <w:rFonts w:cs="Arial"/>
          <w:sz w:val="20"/>
          <w:szCs w:val="20"/>
          <w:lang w:val="de-DE"/>
        </w:rPr>
        <w:fldChar w:fldCharType="end"/>
      </w:r>
      <w:r w:rsidRPr="008D655F">
        <w:rPr>
          <w:rStyle w:val="Hyperlink"/>
          <w:rFonts w:cs="Arial"/>
          <w:sz w:val="20"/>
          <w:szCs w:val="20"/>
        </w:rPr>
        <w:t>)</w:t>
      </w:r>
    </w:p>
  </w:footnote>
  <w:footnote w:id="22">
    <w:p w14:paraId="00DCEE86" w14:textId="47B3E57E" w:rsidR="00E27CF5" w:rsidRPr="00E27CF5" w:rsidRDefault="00E27CF5">
      <w:pPr>
        <w:pStyle w:val="Funotentext"/>
      </w:pPr>
      <w:r>
        <w:rPr>
          <w:rStyle w:val="Funotenzeichen"/>
        </w:rPr>
        <w:footnoteRef/>
      </w:r>
      <w:r w:rsidRPr="00E27CF5">
        <w:t xml:space="preserve"> </w:t>
      </w:r>
      <w:r w:rsidRPr="00E27CF5">
        <w:rPr>
          <w:sz w:val="20"/>
          <w:szCs w:val="20"/>
        </w:rPr>
        <w:t xml:space="preserve">The purpose of retention here is to conduct the so-called </w:t>
      </w:r>
      <w:r w:rsidR="009E7923">
        <w:rPr>
          <w:sz w:val="20"/>
          <w:szCs w:val="20"/>
        </w:rPr>
        <w:t>`</w:t>
      </w:r>
      <w:r w:rsidR="00F10CB0">
        <w:rPr>
          <w:sz w:val="20"/>
          <w:szCs w:val="20"/>
        </w:rPr>
        <w:t>C</w:t>
      </w:r>
      <w:r w:rsidRPr="00E27CF5">
        <w:rPr>
          <w:sz w:val="20"/>
          <w:szCs w:val="20"/>
        </w:rPr>
        <w:t xml:space="preserve">ompliance </w:t>
      </w:r>
      <w:r w:rsidR="00F10CB0">
        <w:rPr>
          <w:sz w:val="20"/>
          <w:szCs w:val="20"/>
        </w:rPr>
        <w:t>C</w:t>
      </w:r>
      <w:r w:rsidRPr="00E27CF5">
        <w:rPr>
          <w:sz w:val="20"/>
          <w:szCs w:val="20"/>
        </w:rPr>
        <w:t>heck</w:t>
      </w:r>
      <w:r w:rsidR="009E7923">
        <w:rPr>
          <w:sz w:val="20"/>
          <w:szCs w:val="20"/>
        </w:rPr>
        <w:t>`</w:t>
      </w:r>
      <w:r w:rsidRPr="00E27CF5">
        <w:rPr>
          <w:sz w:val="20"/>
          <w:szCs w:val="20"/>
        </w:rPr>
        <w:t xml:space="preserve"> as a basis for recruitment/promotion decisions for important key positions at Siemens. The Siemens AG interest includes the company-wide interest, see Art. 6 (1) f) GDPR.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95201C" w14:paraId="1709364C" w14:textId="77777777" w:rsidTr="00992C22">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10DBFE0D" w14:textId="77777777" w:rsidR="0095201C" w:rsidRPr="00700A74" w:rsidRDefault="0095201C">
          <w:pPr>
            <w:pStyle w:val="Kopfzeile"/>
            <w:ind w:left="-426"/>
            <w:rPr>
              <w:lang w:val="de-DE"/>
            </w:rPr>
          </w:pPr>
          <w:r w:rsidRPr="00700A74">
            <w:rPr>
              <w:lang w:val="de-DE"/>
            </w:rPr>
            <w:t>z</w:t>
          </w:r>
        </w:p>
      </w:tc>
      <w:tc>
        <w:tcPr>
          <w:tcW w:w="624" w:type="dxa"/>
        </w:tcPr>
        <w:p w14:paraId="62ADF437" w14:textId="77777777" w:rsidR="0095201C" w:rsidRPr="00700A74" w:rsidRDefault="0095201C">
          <w:pPr>
            <w:pStyle w:val="Kopfzeile"/>
            <w:ind w:left="-641"/>
            <w:rPr>
              <w:lang w:val="de-DE"/>
            </w:rPr>
          </w:pPr>
        </w:p>
      </w:tc>
      <w:tc>
        <w:tcPr>
          <w:tcW w:w="9752" w:type="dxa"/>
        </w:tcPr>
        <w:p w14:paraId="467EC45C" w14:textId="77777777" w:rsidR="0095201C" w:rsidRPr="00700A74" w:rsidRDefault="0095201C">
          <w:pPr>
            <w:pStyle w:val="Kopfzeile"/>
            <w:rPr>
              <w:lang w:val="de-DE"/>
            </w:rPr>
          </w:pPr>
        </w:p>
      </w:tc>
      <w:tc>
        <w:tcPr>
          <w:tcW w:w="1173" w:type="dxa"/>
        </w:tcPr>
        <w:p w14:paraId="083FEA39" w14:textId="77777777" w:rsidR="0095201C" w:rsidRDefault="0095201C">
          <w:pPr>
            <w:pStyle w:val="Kopfzeile"/>
          </w:pPr>
        </w:p>
      </w:tc>
    </w:tr>
    <w:tr w:rsidR="0095201C" w:rsidRPr="00080C34" w14:paraId="364664F1" w14:textId="77777777" w:rsidTr="00992C22">
      <w:trPr>
        <w:cantSplit/>
        <w:trHeight w:hRule="exact" w:val="575"/>
      </w:trPr>
      <w:tc>
        <w:tcPr>
          <w:tcW w:w="1020" w:type="dxa"/>
        </w:tcPr>
        <w:p w14:paraId="5774ADD1" w14:textId="77777777" w:rsidR="0095201C" w:rsidRPr="00700A74" w:rsidRDefault="0095201C">
          <w:pPr>
            <w:pStyle w:val="Fuzeile"/>
            <w:rPr>
              <w:lang w:val="de-DE"/>
            </w:rPr>
          </w:pPr>
        </w:p>
      </w:tc>
      <w:tc>
        <w:tcPr>
          <w:tcW w:w="624" w:type="dxa"/>
          <w:vAlign w:val="bottom"/>
        </w:tcPr>
        <w:p w14:paraId="323D0B36" w14:textId="77777777" w:rsidR="0095201C" w:rsidRPr="00700A74" w:rsidRDefault="0095201C">
          <w:pPr>
            <w:pStyle w:val="Fuzeile"/>
            <w:jc w:val="center"/>
            <w:rPr>
              <w:lang w:val="de-DE"/>
            </w:rPr>
          </w:pPr>
          <w:r w:rsidRPr="00700A74">
            <w:rPr>
              <w:noProof/>
              <w:lang w:val="de-DE" w:eastAsia="de-DE"/>
            </w:rPr>
            <w:drawing>
              <wp:inline distT="0" distB="0" distL="0" distR="0" wp14:anchorId="7D6D198B" wp14:editId="5D79DF95">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6AE3D9C0" w14:textId="69E95769" w:rsidR="0095201C" w:rsidRPr="00A71532" w:rsidRDefault="00F33BDF" w:rsidP="000E2753">
          <w:pPr>
            <w:pStyle w:val="Header"/>
          </w:pPr>
          <w:r>
            <w:t xml:space="preserve">Compliance Handbook | Part 3 | L. Case Handling, Discipline and Remediation </w:t>
          </w:r>
          <w:r w:rsidR="0095201C" w:rsidRPr="00F33BDF">
            <w:t xml:space="preserve">| </w:t>
          </w:r>
          <w:r w:rsidR="00080C34" w:rsidRPr="00F33BDF">
            <w:t xml:space="preserve">8. </w:t>
          </w:r>
          <w:r w:rsidR="00080C34" w:rsidRPr="00A71532">
            <w:t>Dat</w:t>
          </w:r>
          <w:r w:rsidR="00A71532" w:rsidRPr="00A71532">
            <w:t>a deletion and retention</w:t>
          </w:r>
        </w:p>
      </w:tc>
      <w:tc>
        <w:tcPr>
          <w:tcW w:w="1173" w:type="dxa"/>
        </w:tcPr>
        <w:p w14:paraId="4225915D" w14:textId="77777777" w:rsidR="0095201C" w:rsidRPr="00A71532" w:rsidRDefault="0095201C">
          <w:pPr>
            <w:pStyle w:val="Header"/>
          </w:pPr>
        </w:p>
      </w:tc>
    </w:tr>
  </w:tbl>
  <w:p w14:paraId="459B4851" w14:textId="77777777" w:rsidR="0095201C" w:rsidRPr="00A71532" w:rsidRDefault="009520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1"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132ED7"/>
    <w:multiLevelType w:val="hybridMultilevel"/>
    <w:tmpl w:val="268C1B7A"/>
    <w:lvl w:ilvl="0" w:tplc="6B58720E">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7A486E"/>
    <w:multiLevelType w:val="hybridMultilevel"/>
    <w:tmpl w:val="307A4958"/>
    <w:lvl w:ilvl="0" w:tplc="A88C97D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064D44"/>
    <w:multiLevelType w:val="hybridMultilevel"/>
    <w:tmpl w:val="9544EDCA"/>
    <w:lvl w:ilvl="0" w:tplc="248C89BC">
      <w:start w:val="3"/>
      <w:numFmt w:val="bullet"/>
      <w:lvlText w:val="-"/>
      <w:lvlJc w:val="left"/>
      <w:pPr>
        <w:ind w:left="720" w:hanging="360"/>
      </w:pPr>
      <w:rPr>
        <w:rFonts w:ascii="Arial" w:eastAsiaTheme="minorHAnsi"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A001CF"/>
    <w:multiLevelType w:val="hybridMultilevel"/>
    <w:tmpl w:val="634E1E18"/>
    <w:lvl w:ilvl="0" w:tplc="E8165ADA">
      <w:start w:val="1"/>
      <w:numFmt w:val="upperLetter"/>
      <w:pStyle w:val="berschrift1"/>
      <w:lvlText w:val="%1."/>
      <w:lvlJc w:val="left"/>
      <w:pPr>
        <w:ind w:left="360" w:hanging="360"/>
      </w:pPr>
      <w:rPr>
        <w:rFonts w:ascii="Times New Roman" w:hAnsi="Times New Roman" w:hint="default"/>
        <w:b w:val="0"/>
        <w:i w:val="0"/>
        <w:color w:val="BECDD7" w:themeColor="background2"/>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6" w15:restartNumberingAfterBreak="0">
    <w:nsid w:val="3CD32335"/>
    <w:multiLevelType w:val="hybridMultilevel"/>
    <w:tmpl w:val="9EDCEA4C"/>
    <w:lvl w:ilvl="0" w:tplc="04070001">
      <w:start w:val="1"/>
      <w:numFmt w:val="bullet"/>
      <w:lvlText w:val=""/>
      <w:lvlJc w:val="left"/>
      <w:pPr>
        <w:ind w:left="720" w:hanging="360"/>
      </w:pPr>
      <w:rPr>
        <w:rFonts w:ascii="Symbol" w:hAnsi="Symbol" w:hint="default"/>
      </w:rPr>
    </w:lvl>
    <w:lvl w:ilvl="1" w:tplc="04070019">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7"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AB19FC"/>
    <w:multiLevelType w:val="hybridMultilevel"/>
    <w:tmpl w:val="32044386"/>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986C08"/>
    <w:multiLevelType w:val="hybridMultilevel"/>
    <w:tmpl w:val="0C52FB10"/>
    <w:lvl w:ilvl="0" w:tplc="603C652E">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E25D42"/>
    <w:multiLevelType w:val="hybridMultilevel"/>
    <w:tmpl w:val="4124815E"/>
    <w:lvl w:ilvl="0" w:tplc="0FC0B704">
      <w:start w:val="1"/>
      <w:numFmt w:val="bullet"/>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5"/>
  </w:num>
  <w:num w:numId="4">
    <w:abstractNumId w:val="7"/>
  </w:num>
  <w:num w:numId="5">
    <w:abstractNumId w:val="0"/>
  </w:num>
  <w:num w:numId="6">
    <w:abstractNumId w:val="8"/>
  </w:num>
  <w:num w:numId="7">
    <w:abstractNumId w:val="4"/>
  </w:num>
  <w:num w:numId="8">
    <w:abstractNumId w:val="3"/>
  </w:num>
  <w:num w:numId="9">
    <w:abstractNumId w:val="9"/>
  </w:num>
  <w:num w:numId="10">
    <w:abstractNumId w:val="6"/>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22"/>
    <w:rsid w:val="000013A3"/>
    <w:rsid w:val="00002017"/>
    <w:rsid w:val="000032F4"/>
    <w:rsid w:val="00017CC2"/>
    <w:rsid w:val="00021FE7"/>
    <w:rsid w:val="00027002"/>
    <w:rsid w:val="0003108E"/>
    <w:rsid w:val="000417B3"/>
    <w:rsid w:val="00067757"/>
    <w:rsid w:val="00071D4A"/>
    <w:rsid w:val="00080C34"/>
    <w:rsid w:val="00092DEC"/>
    <w:rsid w:val="0009635E"/>
    <w:rsid w:val="000A0DE8"/>
    <w:rsid w:val="000B52E3"/>
    <w:rsid w:val="000B6E64"/>
    <w:rsid w:val="000C69E8"/>
    <w:rsid w:val="000E2753"/>
    <w:rsid w:val="00103208"/>
    <w:rsid w:val="00103BA3"/>
    <w:rsid w:val="001047E0"/>
    <w:rsid w:val="00107CF8"/>
    <w:rsid w:val="00111DE5"/>
    <w:rsid w:val="00115A64"/>
    <w:rsid w:val="00116944"/>
    <w:rsid w:val="00117FBB"/>
    <w:rsid w:val="00123150"/>
    <w:rsid w:val="00133CD1"/>
    <w:rsid w:val="001408CA"/>
    <w:rsid w:val="00143BEC"/>
    <w:rsid w:val="001501CD"/>
    <w:rsid w:val="00153D9C"/>
    <w:rsid w:val="00155160"/>
    <w:rsid w:val="001570D1"/>
    <w:rsid w:val="00164CAA"/>
    <w:rsid w:val="00171469"/>
    <w:rsid w:val="001821AC"/>
    <w:rsid w:val="00190EC8"/>
    <w:rsid w:val="001927C8"/>
    <w:rsid w:val="00193A37"/>
    <w:rsid w:val="001A307F"/>
    <w:rsid w:val="001B0809"/>
    <w:rsid w:val="001B080D"/>
    <w:rsid w:val="001C368A"/>
    <w:rsid w:val="001D1AE0"/>
    <w:rsid w:val="001D26E4"/>
    <w:rsid w:val="001E5D81"/>
    <w:rsid w:val="001F3052"/>
    <w:rsid w:val="00206C38"/>
    <w:rsid w:val="00221C98"/>
    <w:rsid w:val="0022207B"/>
    <w:rsid w:val="00227BE5"/>
    <w:rsid w:val="002311E5"/>
    <w:rsid w:val="00232C02"/>
    <w:rsid w:val="002351D1"/>
    <w:rsid w:val="00236B1A"/>
    <w:rsid w:val="00244C6A"/>
    <w:rsid w:val="0025020B"/>
    <w:rsid w:val="00254449"/>
    <w:rsid w:val="00255368"/>
    <w:rsid w:val="00267822"/>
    <w:rsid w:val="00277B7A"/>
    <w:rsid w:val="00282041"/>
    <w:rsid w:val="00285814"/>
    <w:rsid w:val="00286DF6"/>
    <w:rsid w:val="00287603"/>
    <w:rsid w:val="00291971"/>
    <w:rsid w:val="002941CE"/>
    <w:rsid w:val="00294501"/>
    <w:rsid w:val="00294F07"/>
    <w:rsid w:val="002A44A1"/>
    <w:rsid w:val="002B19E3"/>
    <w:rsid w:val="002C51F9"/>
    <w:rsid w:val="002C604E"/>
    <w:rsid w:val="002C7B13"/>
    <w:rsid w:val="002D0DB1"/>
    <w:rsid w:val="002E03A6"/>
    <w:rsid w:val="002F0048"/>
    <w:rsid w:val="002F0109"/>
    <w:rsid w:val="002F12C0"/>
    <w:rsid w:val="002F2227"/>
    <w:rsid w:val="002F3224"/>
    <w:rsid w:val="00303D94"/>
    <w:rsid w:val="00307FED"/>
    <w:rsid w:val="00315AB4"/>
    <w:rsid w:val="003179BD"/>
    <w:rsid w:val="0032478A"/>
    <w:rsid w:val="003415B0"/>
    <w:rsid w:val="00341BB6"/>
    <w:rsid w:val="00342134"/>
    <w:rsid w:val="00342DCD"/>
    <w:rsid w:val="00344F1A"/>
    <w:rsid w:val="003510BD"/>
    <w:rsid w:val="0036007F"/>
    <w:rsid w:val="00370E5E"/>
    <w:rsid w:val="00377B05"/>
    <w:rsid w:val="00386EE8"/>
    <w:rsid w:val="00395D49"/>
    <w:rsid w:val="003A0201"/>
    <w:rsid w:val="003A3AD8"/>
    <w:rsid w:val="003A4489"/>
    <w:rsid w:val="003B09C4"/>
    <w:rsid w:val="003B204C"/>
    <w:rsid w:val="003B6151"/>
    <w:rsid w:val="003D0C5D"/>
    <w:rsid w:val="003D213A"/>
    <w:rsid w:val="003F129B"/>
    <w:rsid w:val="00401874"/>
    <w:rsid w:val="0040631D"/>
    <w:rsid w:val="00412D9C"/>
    <w:rsid w:val="0041732A"/>
    <w:rsid w:val="00440D23"/>
    <w:rsid w:val="00443719"/>
    <w:rsid w:val="00452139"/>
    <w:rsid w:val="00453582"/>
    <w:rsid w:val="00456F2F"/>
    <w:rsid w:val="004655D9"/>
    <w:rsid w:val="004707A8"/>
    <w:rsid w:val="00476282"/>
    <w:rsid w:val="004859A4"/>
    <w:rsid w:val="00494151"/>
    <w:rsid w:val="00494D1B"/>
    <w:rsid w:val="004A011C"/>
    <w:rsid w:val="004B2C73"/>
    <w:rsid w:val="004B467D"/>
    <w:rsid w:val="004D400F"/>
    <w:rsid w:val="004E1C94"/>
    <w:rsid w:val="004E2DD2"/>
    <w:rsid w:val="004E6E61"/>
    <w:rsid w:val="004F5B12"/>
    <w:rsid w:val="00504121"/>
    <w:rsid w:val="0051077F"/>
    <w:rsid w:val="00516FD5"/>
    <w:rsid w:val="005204CC"/>
    <w:rsid w:val="005413F6"/>
    <w:rsid w:val="005617D1"/>
    <w:rsid w:val="00563CE7"/>
    <w:rsid w:val="00596D06"/>
    <w:rsid w:val="005A738F"/>
    <w:rsid w:val="005B0DD8"/>
    <w:rsid w:val="005B3B11"/>
    <w:rsid w:val="005C1C98"/>
    <w:rsid w:val="005C1FE5"/>
    <w:rsid w:val="005C63B2"/>
    <w:rsid w:val="005D461F"/>
    <w:rsid w:val="005E075F"/>
    <w:rsid w:val="005E2786"/>
    <w:rsid w:val="005E4564"/>
    <w:rsid w:val="005F2A6B"/>
    <w:rsid w:val="005F3A77"/>
    <w:rsid w:val="006022CD"/>
    <w:rsid w:val="00602459"/>
    <w:rsid w:val="00606A1F"/>
    <w:rsid w:val="006347E8"/>
    <w:rsid w:val="0064023C"/>
    <w:rsid w:val="006430B5"/>
    <w:rsid w:val="00646657"/>
    <w:rsid w:val="006507A6"/>
    <w:rsid w:val="00651694"/>
    <w:rsid w:val="00653D02"/>
    <w:rsid w:val="00655197"/>
    <w:rsid w:val="00662F8E"/>
    <w:rsid w:val="00664181"/>
    <w:rsid w:val="00667B28"/>
    <w:rsid w:val="00675FE1"/>
    <w:rsid w:val="00682EA2"/>
    <w:rsid w:val="00687631"/>
    <w:rsid w:val="0068769A"/>
    <w:rsid w:val="00697C82"/>
    <w:rsid w:val="006A46EB"/>
    <w:rsid w:val="006B20FD"/>
    <w:rsid w:val="006B2B2D"/>
    <w:rsid w:val="006B440E"/>
    <w:rsid w:val="006B5C6F"/>
    <w:rsid w:val="006B7B53"/>
    <w:rsid w:val="006C06A8"/>
    <w:rsid w:val="006C244D"/>
    <w:rsid w:val="006C4E5B"/>
    <w:rsid w:val="006C56F0"/>
    <w:rsid w:val="006D0208"/>
    <w:rsid w:val="006D199C"/>
    <w:rsid w:val="006E5BAE"/>
    <w:rsid w:val="006F0FF6"/>
    <w:rsid w:val="006F17A6"/>
    <w:rsid w:val="006F299C"/>
    <w:rsid w:val="00700A74"/>
    <w:rsid w:val="00704577"/>
    <w:rsid w:val="00707128"/>
    <w:rsid w:val="00724474"/>
    <w:rsid w:val="00733F56"/>
    <w:rsid w:val="007453B8"/>
    <w:rsid w:val="00752429"/>
    <w:rsid w:val="00752D24"/>
    <w:rsid w:val="007575FF"/>
    <w:rsid w:val="0076310E"/>
    <w:rsid w:val="007661DB"/>
    <w:rsid w:val="00775841"/>
    <w:rsid w:val="00780298"/>
    <w:rsid w:val="0078683E"/>
    <w:rsid w:val="00793840"/>
    <w:rsid w:val="00793C13"/>
    <w:rsid w:val="00797E89"/>
    <w:rsid w:val="007A3F74"/>
    <w:rsid w:val="007A503A"/>
    <w:rsid w:val="007A6A90"/>
    <w:rsid w:val="007C18EE"/>
    <w:rsid w:val="007E3781"/>
    <w:rsid w:val="0081175D"/>
    <w:rsid w:val="00827638"/>
    <w:rsid w:val="00836622"/>
    <w:rsid w:val="00847A94"/>
    <w:rsid w:val="00850964"/>
    <w:rsid w:val="00853E88"/>
    <w:rsid w:val="00854978"/>
    <w:rsid w:val="00861AB1"/>
    <w:rsid w:val="00863181"/>
    <w:rsid w:val="00863B97"/>
    <w:rsid w:val="00880CD4"/>
    <w:rsid w:val="008943A2"/>
    <w:rsid w:val="008A126F"/>
    <w:rsid w:val="008B0696"/>
    <w:rsid w:val="008C3402"/>
    <w:rsid w:val="008D655F"/>
    <w:rsid w:val="008E5AFC"/>
    <w:rsid w:val="00904EE4"/>
    <w:rsid w:val="009171DA"/>
    <w:rsid w:val="00923EFC"/>
    <w:rsid w:val="00924BBE"/>
    <w:rsid w:val="00927823"/>
    <w:rsid w:val="009327E2"/>
    <w:rsid w:val="00937419"/>
    <w:rsid w:val="009458BB"/>
    <w:rsid w:val="00947A4B"/>
    <w:rsid w:val="0095201C"/>
    <w:rsid w:val="00971B4E"/>
    <w:rsid w:val="00973978"/>
    <w:rsid w:val="009759B1"/>
    <w:rsid w:val="00986B5C"/>
    <w:rsid w:val="00992526"/>
    <w:rsid w:val="00992C22"/>
    <w:rsid w:val="00995391"/>
    <w:rsid w:val="00996686"/>
    <w:rsid w:val="00996F6C"/>
    <w:rsid w:val="009A6FF8"/>
    <w:rsid w:val="009B234F"/>
    <w:rsid w:val="009C431B"/>
    <w:rsid w:val="009D3A33"/>
    <w:rsid w:val="009E1645"/>
    <w:rsid w:val="009E4621"/>
    <w:rsid w:val="009E7923"/>
    <w:rsid w:val="009F0E46"/>
    <w:rsid w:val="009F3E4A"/>
    <w:rsid w:val="00A03349"/>
    <w:rsid w:val="00A07D37"/>
    <w:rsid w:val="00A17C7E"/>
    <w:rsid w:val="00A34D92"/>
    <w:rsid w:val="00A34F56"/>
    <w:rsid w:val="00A71532"/>
    <w:rsid w:val="00A84EEA"/>
    <w:rsid w:val="00A85147"/>
    <w:rsid w:val="00A96B3E"/>
    <w:rsid w:val="00AA0B70"/>
    <w:rsid w:val="00AB4A31"/>
    <w:rsid w:val="00AC1441"/>
    <w:rsid w:val="00AD4FD2"/>
    <w:rsid w:val="00AE7A0F"/>
    <w:rsid w:val="00AF77A4"/>
    <w:rsid w:val="00B220B4"/>
    <w:rsid w:val="00B26C5C"/>
    <w:rsid w:val="00B313B7"/>
    <w:rsid w:val="00B510DB"/>
    <w:rsid w:val="00B60342"/>
    <w:rsid w:val="00B60E59"/>
    <w:rsid w:val="00B640E2"/>
    <w:rsid w:val="00B70C60"/>
    <w:rsid w:val="00B71AB8"/>
    <w:rsid w:val="00B858C6"/>
    <w:rsid w:val="00B91D66"/>
    <w:rsid w:val="00BA5808"/>
    <w:rsid w:val="00BB5E87"/>
    <w:rsid w:val="00BB607F"/>
    <w:rsid w:val="00BC7C8A"/>
    <w:rsid w:val="00BD2A32"/>
    <w:rsid w:val="00BE2105"/>
    <w:rsid w:val="00BE5B85"/>
    <w:rsid w:val="00BE73A5"/>
    <w:rsid w:val="00BF1311"/>
    <w:rsid w:val="00BF1FB3"/>
    <w:rsid w:val="00BF2CAC"/>
    <w:rsid w:val="00C0348E"/>
    <w:rsid w:val="00C058D5"/>
    <w:rsid w:val="00C10682"/>
    <w:rsid w:val="00C16408"/>
    <w:rsid w:val="00C2087E"/>
    <w:rsid w:val="00C26653"/>
    <w:rsid w:val="00C338F1"/>
    <w:rsid w:val="00C37DDC"/>
    <w:rsid w:val="00C40DC8"/>
    <w:rsid w:val="00C410FC"/>
    <w:rsid w:val="00C472CF"/>
    <w:rsid w:val="00C50CE0"/>
    <w:rsid w:val="00C529B9"/>
    <w:rsid w:val="00C61936"/>
    <w:rsid w:val="00C634C6"/>
    <w:rsid w:val="00C65EEA"/>
    <w:rsid w:val="00C678FB"/>
    <w:rsid w:val="00C716E7"/>
    <w:rsid w:val="00C81458"/>
    <w:rsid w:val="00C81627"/>
    <w:rsid w:val="00C818BB"/>
    <w:rsid w:val="00C90839"/>
    <w:rsid w:val="00CA1820"/>
    <w:rsid w:val="00CA385B"/>
    <w:rsid w:val="00CA4A0A"/>
    <w:rsid w:val="00CB13D6"/>
    <w:rsid w:val="00CC1A5B"/>
    <w:rsid w:val="00CC6053"/>
    <w:rsid w:val="00CD266C"/>
    <w:rsid w:val="00CE1E5A"/>
    <w:rsid w:val="00CF4DAC"/>
    <w:rsid w:val="00D252CF"/>
    <w:rsid w:val="00D25ACC"/>
    <w:rsid w:val="00D41D89"/>
    <w:rsid w:val="00D45D2E"/>
    <w:rsid w:val="00D65D8D"/>
    <w:rsid w:val="00D86B2D"/>
    <w:rsid w:val="00D95FC3"/>
    <w:rsid w:val="00D973B4"/>
    <w:rsid w:val="00DA3DD9"/>
    <w:rsid w:val="00DA68EF"/>
    <w:rsid w:val="00DB01D4"/>
    <w:rsid w:val="00DB0950"/>
    <w:rsid w:val="00DB14B8"/>
    <w:rsid w:val="00DC558F"/>
    <w:rsid w:val="00DC7685"/>
    <w:rsid w:val="00DD1341"/>
    <w:rsid w:val="00DD1631"/>
    <w:rsid w:val="00DD4EC4"/>
    <w:rsid w:val="00DD5F56"/>
    <w:rsid w:val="00DE00B3"/>
    <w:rsid w:val="00DE379A"/>
    <w:rsid w:val="00E07D80"/>
    <w:rsid w:val="00E21423"/>
    <w:rsid w:val="00E23993"/>
    <w:rsid w:val="00E24886"/>
    <w:rsid w:val="00E24AB4"/>
    <w:rsid w:val="00E27CF5"/>
    <w:rsid w:val="00E319F4"/>
    <w:rsid w:val="00E36503"/>
    <w:rsid w:val="00E512A3"/>
    <w:rsid w:val="00E51590"/>
    <w:rsid w:val="00E57774"/>
    <w:rsid w:val="00E635E8"/>
    <w:rsid w:val="00E66F59"/>
    <w:rsid w:val="00E722EE"/>
    <w:rsid w:val="00E72390"/>
    <w:rsid w:val="00E76FB6"/>
    <w:rsid w:val="00E8022D"/>
    <w:rsid w:val="00E832CC"/>
    <w:rsid w:val="00E84956"/>
    <w:rsid w:val="00E84F06"/>
    <w:rsid w:val="00E87A61"/>
    <w:rsid w:val="00E9038B"/>
    <w:rsid w:val="00E92D18"/>
    <w:rsid w:val="00E962E9"/>
    <w:rsid w:val="00EA272D"/>
    <w:rsid w:val="00EB0951"/>
    <w:rsid w:val="00EB1807"/>
    <w:rsid w:val="00EC07A0"/>
    <w:rsid w:val="00EC5EE6"/>
    <w:rsid w:val="00EC6BEA"/>
    <w:rsid w:val="00ED3222"/>
    <w:rsid w:val="00ED3EFE"/>
    <w:rsid w:val="00EE10F3"/>
    <w:rsid w:val="00EE3786"/>
    <w:rsid w:val="00EE4F7F"/>
    <w:rsid w:val="00EF1F5C"/>
    <w:rsid w:val="00EF49CF"/>
    <w:rsid w:val="00EF4E9A"/>
    <w:rsid w:val="00EF79F5"/>
    <w:rsid w:val="00F05821"/>
    <w:rsid w:val="00F05A80"/>
    <w:rsid w:val="00F10CB0"/>
    <w:rsid w:val="00F145CC"/>
    <w:rsid w:val="00F1483C"/>
    <w:rsid w:val="00F2607D"/>
    <w:rsid w:val="00F26CDD"/>
    <w:rsid w:val="00F27BCB"/>
    <w:rsid w:val="00F33BDF"/>
    <w:rsid w:val="00F440EF"/>
    <w:rsid w:val="00F466D1"/>
    <w:rsid w:val="00F51904"/>
    <w:rsid w:val="00F612AE"/>
    <w:rsid w:val="00F67AE3"/>
    <w:rsid w:val="00F73CF7"/>
    <w:rsid w:val="00F747EE"/>
    <w:rsid w:val="00F752CE"/>
    <w:rsid w:val="00F76842"/>
    <w:rsid w:val="00F829CF"/>
    <w:rsid w:val="00F86858"/>
    <w:rsid w:val="00F87353"/>
    <w:rsid w:val="00F93CAB"/>
    <w:rsid w:val="00FB23AA"/>
    <w:rsid w:val="00FC53B3"/>
    <w:rsid w:val="00FD38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A552FFF"/>
  <w15:docId w15:val="{52F10199-FE6B-4B43-B614-677A9297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rsid w:val="00315AB4"/>
    <w:pPr>
      <w:spacing w:after="140" w:line="300" w:lineRule="auto"/>
    </w:pPr>
    <w:rPr>
      <w:sz w:val="20"/>
    </w:rPr>
  </w:style>
  <w:style w:type="paragraph" w:styleId="berschrift1">
    <w:name w:val="heading 1"/>
    <w:aliases w:val="_Headline 18 pt"/>
    <w:basedOn w:val="Standard"/>
    <w:next w:val="Standard"/>
    <w:link w:val="berschrift1Zchn"/>
    <w:uiPriority w:val="9"/>
    <w:qFormat/>
    <w:rsid w:val="00315AB4"/>
    <w:pPr>
      <w:keepNext/>
      <w:keepLines/>
      <w:numPr>
        <w:numId w:val="3"/>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
    <w:unhideWhenUsed/>
    <w:qFormat/>
    <w:rsid w:val="00315AB4"/>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rsid w:val="00315AB4"/>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rsid w:val="00315AB4"/>
    <w:pPr>
      <w:outlineLvl w:val="3"/>
    </w:pPr>
    <w:rPr>
      <w:bCs/>
      <w:iCs/>
    </w:rPr>
  </w:style>
  <w:style w:type="paragraph" w:styleId="berschrift5">
    <w:name w:val="heading 5"/>
    <w:basedOn w:val="berschrift3"/>
    <w:next w:val="KeinAbsatzformat"/>
    <w:link w:val="berschrift5Zchn"/>
    <w:uiPriority w:val="9"/>
    <w:unhideWhenUsed/>
    <w:qFormat/>
    <w:rsid w:val="00315AB4"/>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rsid w:val="00315AB4"/>
    <w:pPr>
      <w:keepNext/>
      <w:keepLines/>
      <w:outlineLvl w:val="5"/>
    </w:pPr>
    <w:rPr>
      <w:iCs/>
    </w:rPr>
  </w:style>
  <w:style w:type="paragraph" w:styleId="berschrift7">
    <w:name w:val="heading 7"/>
    <w:basedOn w:val="Standard"/>
    <w:next w:val="Standard"/>
    <w:link w:val="berschrift7Zchn"/>
    <w:qFormat/>
    <w:rsid w:val="00315AB4"/>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rsid w:val="00315AB4"/>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rsid w:val="00315AB4"/>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sid w:val="00315AB4"/>
    <w:rPr>
      <w:rFonts w:ascii="Times New Roman" w:eastAsiaTheme="majorEastAsia" w:hAnsi="Times New Roman" w:cstheme="majorBidi"/>
      <w:bCs/>
      <w:color w:val="BECDD7" w:themeColor="background2"/>
      <w:sz w:val="52"/>
      <w:szCs w:val="28"/>
    </w:rPr>
  </w:style>
  <w:style w:type="paragraph" w:styleId="KeinLeerraum">
    <w:name w:val="No Spacing"/>
    <w:uiPriority w:val="1"/>
    <w:rsid w:val="00315AB4"/>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
    <w:rsid w:val="00315AB4"/>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sid w:val="00315AB4"/>
    <w:rPr>
      <w:rFonts w:eastAsiaTheme="majorEastAsia" w:cstheme="majorBidi"/>
      <w:b/>
      <w:color w:val="006487" w:themeColor="accent3"/>
      <w:szCs w:val="26"/>
    </w:rPr>
  </w:style>
  <w:style w:type="character" w:styleId="SchwacheHervorhebung">
    <w:name w:val="Subtle Emphasis"/>
    <w:basedOn w:val="Absatz-Standardschriftart"/>
    <w:uiPriority w:val="19"/>
    <w:qFormat/>
    <w:rsid w:val="00315AB4"/>
    <w:rPr>
      <w:b/>
      <w:i w:val="0"/>
      <w:iCs/>
      <w:color w:val="000000" w:themeColor="text1"/>
    </w:rPr>
  </w:style>
  <w:style w:type="character" w:styleId="Hervorhebung">
    <w:name w:val="Emphasis"/>
    <w:basedOn w:val="Absatz-Standardschriftart"/>
    <w:uiPriority w:val="20"/>
    <w:qFormat/>
    <w:rsid w:val="00315AB4"/>
    <w:rPr>
      <w:b/>
      <w:i w:val="0"/>
      <w:iCs/>
    </w:rPr>
  </w:style>
  <w:style w:type="paragraph" w:styleId="Zitat">
    <w:name w:val="Quote"/>
    <w:basedOn w:val="Standard"/>
    <w:next w:val="Standard"/>
    <w:link w:val="ZitatZchn"/>
    <w:uiPriority w:val="29"/>
    <w:rsid w:val="00315AB4"/>
    <w:rPr>
      <w:i/>
      <w:iCs/>
    </w:rPr>
  </w:style>
  <w:style w:type="character" w:customStyle="1" w:styleId="ZitatZchn">
    <w:name w:val="Zitat Zchn"/>
    <w:basedOn w:val="Absatz-Standardschriftart"/>
    <w:link w:val="Zitat"/>
    <w:uiPriority w:val="29"/>
    <w:rsid w:val="00315AB4"/>
    <w:rPr>
      <w:i/>
      <w:iCs/>
      <w:sz w:val="20"/>
    </w:rPr>
  </w:style>
  <w:style w:type="character" w:styleId="IntensiveHervorhebung">
    <w:name w:val="Intense Emphasis"/>
    <w:basedOn w:val="Absatz-Standardschriftart"/>
    <w:uiPriority w:val="21"/>
    <w:qFormat/>
    <w:rsid w:val="00315AB4"/>
    <w:rPr>
      <w:b/>
      <w:bCs/>
      <w:i w:val="0"/>
      <w:iCs/>
      <w:color w:val="879BAA" w:themeColor="text2"/>
    </w:rPr>
  </w:style>
  <w:style w:type="paragraph" w:styleId="IntensivesZitat">
    <w:name w:val="Intense Quote"/>
    <w:basedOn w:val="Standard"/>
    <w:next w:val="Standard"/>
    <w:link w:val="IntensivesZitatZchn"/>
    <w:uiPriority w:val="30"/>
    <w:rsid w:val="00315AB4"/>
    <w:pP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315AB4"/>
    <w:rPr>
      <w:b/>
      <w:bCs/>
      <w:i/>
      <w:iCs/>
      <w:sz w:val="20"/>
    </w:rPr>
  </w:style>
  <w:style w:type="paragraph" w:styleId="Titel">
    <w:name w:val="Title"/>
    <w:basedOn w:val="Standard"/>
    <w:next w:val="Standard"/>
    <w:link w:val="TitelZchn"/>
    <w:uiPriority w:val="10"/>
    <w:rsid w:val="00315AB4"/>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sid w:val="00315AB4"/>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rsid w:val="00315AB4"/>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sid w:val="00315AB4"/>
    <w:rPr>
      <w:rFonts w:eastAsiaTheme="majorEastAsia" w:cstheme="majorBidi"/>
      <w:b/>
      <w:iCs/>
      <w:color w:val="879BAA" w:themeColor="text2"/>
    </w:rPr>
  </w:style>
  <w:style w:type="paragraph" w:customStyle="1" w:styleId="Footer">
    <w:name w:val="_Footer"/>
    <w:basedOn w:val="KeinAbsatzformat"/>
    <w:next w:val="KeinAbsatzformat"/>
    <w:qFormat/>
    <w:rsid w:val="00315AB4"/>
    <w:rPr>
      <w:color w:val="879BAA" w:themeColor="text2"/>
      <w:sz w:val="15"/>
    </w:rPr>
  </w:style>
  <w:style w:type="paragraph" w:customStyle="1" w:styleId="KeinAbsatzformat">
    <w:name w:val="[Kein Absatzformat]"/>
    <w:rsid w:val="00315AB4"/>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sid w:val="00315AB4"/>
    <w:rPr>
      <w:sz w:val="16"/>
      <w:szCs w:val="16"/>
    </w:rPr>
  </w:style>
  <w:style w:type="paragraph" w:styleId="Kommentartext">
    <w:name w:val="annotation text"/>
    <w:basedOn w:val="Standard"/>
    <w:link w:val="KommentartextZchn"/>
    <w:uiPriority w:val="99"/>
    <w:unhideWhenUsed/>
    <w:rsid w:val="00315AB4"/>
    <w:pPr>
      <w:spacing w:line="240" w:lineRule="auto"/>
    </w:pPr>
    <w:rPr>
      <w:szCs w:val="20"/>
    </w:rPr>
  </w:style>
  <w:style w:type="character" w:customStyle="1" w:styleId="KommentartextZchn">
    <w:name w:val="Kommentartext Zchn"/>
    <w:basedOn w:val="Absatz-Standardschriftart"/>
    <w:link w:val="Kommentartext"/>
    <w:uiPriority w:val="99"/>
    <w:rsid w:val="00315AB4"/>
    <w:rPr>
      <w:sz w:val="20"/>
      <w:szCs w:val="20"/>
    </w:rPr>
  </w:style>
  <w:style w:type="paragraph" w:styleId="Kommentarthema">
    <w:name w:val="annotation subject"/>
    <w:basedOn w:val="Kommentartext"/>
    <w:next w:val="Kommentartext"/>
    <w:link w:val="KommentarthemaZchn"/>
    <w:uiPriority w:val="99"/>
    <w:semiHidden/>
    <w:unhideWhenUsed/>
    <w:rsid w:val="00315AB4"/>
    <w:rPr>
      <w:b/>
      <w:bCs/>
    </w:rPr>
  </w:style>
  <w:style w:type="character" w:customStyle="1" w:styleId="KommentarthemaZchn">
    <w:name w:val="Kommentarthema Zchn"/>
    <w:basedOn w:val="KommentartextZchn"/>
    <w:link w:val="Kommentarthema"/>
    <w:uiPriority w:val="99"/>
    <w:semiHidden/>
    <w:rsid w:val="00315AB4"/>
    <w:rPr>
      <w:b/>
      <w:bCs/>
      <w:sz w:val="20"/>
      <w:szCs w:val="20"/>
    </w:rPr>
  </w:style>
  <w:style w:type="paragraph" w:styleId="Sprechblasentext">
    <w:name w:val="Balloon Text"/>
    <w:basedOn w:val="Standard"/>
    <w:link w:val="SprechblasentextZchn"/>
    <w:uiPriority w:val="99"/>
    <w:semiHidden/>
    <w:unhideWhenUsed/>
    <w:rsid w:val="00315AB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AB4"/>
    <w:rPr>
      <w:rFonts w:ascii="Tahoma" w:hAnsi="Tahoma" w:cs="Tahoma"/>
      <w:sz w:val="16"/>
      <w:szCs w:val="16"/>
    </w:rPr>
  </w:style>
  <w:style w:type="table" w:styleId="Tabellenraster">
    <w:name w:val="Table Grid"/>
    <w:aliases w:val="Highlight_Box_Stone 35%"/>
    <w:basedOn w:val="NormaleTabelle"/>
    <w:rsid w:val="00315AB4"/>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sid w:val="00315AB4"/>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sid w:val="00315AB4"/>
    <w:rPr>
      <w:rFonts w:eastAsiaTheme="majorEastAsia" w:cstheme="majorBidi"/>
      <w:b/>
      <w:bCs/>
      <w:iCs/>
      <w:color w:val="006487" w:themeColor="accent3"/>
      <w:szCs w:val="26"/>
    </w:rPr>
  </w:style>
  <w:style w:type="paragraph" w:customStyle="1" w:styleId="CopyBulletpoints">
    <w:name w:val="_Copy Bulletpoints"/>
    <w:basedOn w:val="Standard"/>
    <w:qFormat/>
    <w:rsid w:val="00315AB4"/>
    <w:pPr>
      <w:spacing w:after="240"/>
      <w:contextualSpacing/>
    </w:pPr>
    <w:rPr>
      <w:lang w:val="en-GB"/>
    </w:rPr>
  </w:style>
  <w:style w:type="paragraph" w:customStyle="1" w:styleId="Page">
    <w:name w:val="_Page"/>
    <w:next w:val="KeinAbsatzformat"/>
    <w:qFormat/>
    <w:rsid w:val="00315AB4"/>
    <w:pPr>
      <w:spacing w:after="0"/>
      <w:jc w:val="right"/>
    </w:pPr>
    <w:rPr>
      <w:b/>
      <w:sz w:val="18"/>
      <w:szCs w:val="18"/>
    </w:rPr>
  </w:style>
  <w:style w:type="character" w:styleId="Fett">
    <w:name w:val="Strong"/>
    <w:basedOn w:val="Absatz-Standardschriftart"/>
    <w:uiPriority w:val="22"/>
    <w:qFormat/>
    <w:rsid w:val="00315AB4"/>
    <w:rPr>
      <w:b/>
      <w:bCs/>
    </w:rPr>
  </w:style>
  <w:style w:type="paragraph" w:styleId="Fuzeile">
    <w:name w:val="footer"/>
    <w:next w:val="KeinAbsatzformat"/>
    <w:link w:val="FuzeileZchn"/>
    <w:uiPriority w:val="99"/>
    <w:unhideWhenUsed/>
    <w:rsid w:val="00315AB4"/>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sid w:val="00315AB4"/>
    <w:rPr>
      <w:color w:val="879BAA" w:themeColor="text2"/>
      <w:sz w:val="15"/>
    </w:rPr>
  </w:style>
  <w:style w:type="paragraph" w:customStyle="1" w:styleId="DoDontHeadline1">
    <w:name w:val="_Do/Don't Headline 1"/>
    <w:next w:val="KeinAbsatzformat"/>
    <w:qFormat/>
    <w:rsid w:val="00315AB4"/>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rsid w:val="00315AB4"/>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rsid w:val="00315AB4"/>
    <w:pPr>
      <w:contextualSpacing/>
    </w:pPr>
    <w:rPr>
      <w:b/>
      <w:color w:val="FFFFFF" w:themeColor="background1"/>
    </w:rPr>
  </w:style>
  <w:style w:type="paragraph" w:styleId="Listenabsatz">
    <w:name w:val="List Paragraph"/>
    <w:basedOn w:val="Standard"/>
    <w:uiPriority w:val="99"/>
    <w:qFormat/>
    <w:rsid w:val="00315AB4"/>
    <w:pPr>
      <w:ind w:left="720"/>
      <w:contextualSpacing/>
    </w:pPr>
  </w:style>
  <w:style w:type="paragraph" w:customStyle="1" w:styleId="DoDontCopy">
    <w:name w:val="_Do/Don't Copy"/>
    <w:qFormat/>
    <w:rsid w:val="00315AB4"/>
    <w:pPr>
      <w:spacing w:after="40"/>
    </w:pPr>
    <w:rPr>
      <w:color w:val="FFFFFF" w:themeColor="background1"/>
      <w:sz w:val="20"/>
    </w:rPr>
  </w:style>
  <w:style w:type="paragraph" w:customStyle="1" w:styleId="HighlightboxGreyBulletpoints">
    <w:name w:val="_Highlightbox_Grey: Bulletpoints"/>
    <w:basedOn w:val="DoDontBulletpoints"/>
    <w:qFormat/>
    <w:rsid w:val="00315AB4"/>
    <w:pPr>
      <w:spacing w:after="120"/>
    </w:pPr>
    <w:rPr>
      <w:b/>
      <w:color w:val="006487" w:themeColor="accent3"/>
      <w:sz w:val="20"/>
      <w:szCs w:val="20"/>
    </w:rPr>
  </w:style>
  <w:style w:type="paragraph" w:customStyle="1" w:styleId="DoDontBulletpoints">
    <w:name w:val="_Do/Don't Bulletpoints"/>
    <w:basedOn w:val="Standard"/>
    <w:qFormat/>
    <w:rsid w:val="00315AB4"/>
    <w:pPr>
      <w:spacing w:line="240" w:lineRule="auto"/>
    </w:pPr>
    <w:rPr>
      <w:color w:val="FFFFFF" w:themeColor="background1"/>
      <w:sz w:val="18"/>
    </w:rPr>
  </w:style>
  <w:style w:type="paragraph" w:customStyle="1" w:styleId="HighlightboxGreyHeadlineNaturalBlue">
    <w:name w:val="_Highlightbox_Grey: Headline Natural Blue"/>
    <w:basedOn w:val="Standard"/>
    <w:qFormat/>
    <w:rsid w:val="00315AB4"/>
    <w:pPr>
      <w:tabs>
        <w:tab w:val="left" w:pos="426"/>
      </w:tabs>
      <w:spacing w:after="120" w:line="240" w:lineRule="auto"/>
    </w:pPr>
    <w:rPr>
      <w:b/>
      <w:color w:val="006487" w:themeColor="accent3"/>
    </w:rPr>
  </w:style>
  <w:style w:type="paragraph" w:customStyle="1" w:styleId="ExamplesCopy">
    <w:name w:val="_Examples Copy"/>
    <w:basedOn w:val="Standard"/>
    <w:rsid w:val="00315AB4"/>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sid w:val="00315AB4"/>
    <w:rPr>
      <w:caps w:val="0"/>
      <w:smallCaps w:val="0"/>
      <w:color w:val="BECDD7" w:themeColor="background2"/>
      <w:u w:val="none"/>
    </w:rPr>
  </w:style>
  <w:style w:type="paragraph" w:customStyle="1" w:styleId="HighlightboxGreyCopy">
    <w:name w:val="_Highlightbox_Grey: Copy"/>
    <w:basedOn w:val="HighlightboxGreyHeadlineNaturalBlue"/>
    <w:qFormat/>
    <w:rsid w:val="00315AB4"/>
    <w:rPr>
      <w:b w:val="0"/>
    </w:rPr>
  </w:style>
  <w:style w:type="character" w:styleId="Buchtitel">
    <w:name w:val="Book Title"/>
    <w:basedOn w:val="Absatz-Standardschriftart"/>
    <w:uiPriority w:val="33"/>
    <w:rsid w:val="00315AB4"/>
    <w:rPr>
      <w:b w:val="0"/>
      <w:bCs/>
      <w:i/>
      <w:caps w:val="0"/>
      <w:smallCaps w:val="0"/>
      <w:spacing w:val="0"/>
    </w:rPr>
  </w:style>
  <w:style w:type="paragraph" w:customStyle="1" w:styleId="Underlinepictures">
    <w:name w:val="_Underline: pictures"/>
    <w:aliases w:val="graphics,tables"/>
    <w:basedOn w:val="KeinAbsatzformat"/>
    <w:qFormat/>
    <w:rsid w:val="00315AB4"/>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sid w:val="00315AB4"/>
    <w:rPr>
      <w:color w:val="006487" w:themeColor="accent3"/>
    </w:rPr>
  </w:style>
  <w:style w:type="paragraph" w:customStyle="1" w:styleId="Numbers">
    <w:name w:val="_Numbers"/>
    <w:basedOn w:val="Standard"/>
    <w:qFormat/>
    <w:rsid w:val="00315AB4"/>
    <w:pPr>
      <w:numPr>
        <w:numId w:val="1"/>
      </w:numPr>
      <w:tabs>
        <w:tab w:val="left" w:pos="426"/>
      </w:tabs>
      <w:ind w:left="442" w:hanging="357"/>
      <w:contextualSpacing/>
    </w:pPr>
    <w:rPr>
      <w:rFonts w:cs="Arial"/>
    </w:rPr>
  </w:style>
  <w:style w:type="paragraph" w:styleId="Kopfzeile">
    <w:name w:val="header"/>
    <w:basedOn w:val="Standard"/>
    <w:link w:val="KopfzeileZchn"/>
    <w:uiPriority w:val="99"/>
    <w:unhideWhenUsed/>
    <w:rsid w:val="00315AB4"/>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sid w:val="00315AB4"/>
    <w:rPr>
      <w:sz w:val="15"/>
    </w:rPr>
  </w:style>
  <w:style w:type="paragraph" w:customStyle="1" w:styleId="Header">
    <w:name w:val="_Header"/>
    <w:next w:val="KeinAbsatzformat"/>
    <w:qFormat/>
    <w:rsid w:val="00315AB4"/>
    <w:rPr>
      <w:sz w:val="15"/>
    </w:rPr>
  </w:style>
  <w:style w:type="table" w:customStyle="1" w:styleId="HelleSchattierung-Akzent11">
    <w:name w:val="Helle Schattierung - Akzent 11"/>
    <w:basedOn w:val="NormaleTabelle"/>
    <w:uiPriority w:val="60"/>
    <w:rsid w:val="00315AB4"/>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rsid w:val="00315AB4"/>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rsid w:val="00315AB4"/>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rsid w:val="00315AB4"/>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rsid w:val="00315AB4"/>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sid w:val="00315AB4"/>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sid w:val="00315AB4"/>
    <w:rPr>
      <w:rFonts w:eastAsiaTheme="majorEastAsia" w:cstheme="majorBidi"/>
      <w:b/>
      <w:iCs/>
      <w:color w:val="006487" w:themeColor="accent3"/>
      <w:szCs w:val="26"/>
    </w:rPr>
  </w:style>
  <w:style w:type="numbering" w:customStyle="1" w:styleId="Formatvorlage1">
    <w:name w:val="Formatvorlage1"/>
    <w:uiPriority w:val="99"/>
    <w:rsid w:val="00315AB4"/>
    <w:pPr>
      <w:numPr>
        <w:numId w:val="4"/>
      </w:numPr>
    </w:pPr>
  </w:style>
  <w:style w:type="paragraph" w:styleId="Dokumentstruktur">
    <w:name w:val="Document Map"/>
    <w:basedOn w:val="Standard"/>
    <w:link w:val="DokumentstrukturZchn"/>
    <w:uiPriority w:val="99"/>
    <w:semiHidden/>
    <w:unhideWhenUsed/>
    <w:rsid w:val="00315AB4"/>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15AB4"/>
    <w:rPr>
      <w:rFonts w:ascii="Tahoma" w:hAnsi="Tahoma" w:cs="Tahoma"/>
      <w:sz w:val="16"/>
      <w:szCs w:val="16"/>
    </w:rPr>
  </w:style>
  <w:style w:type="character" w:styleId="Hyperlink">
    <w:name w:val="Hyperlink"/>
    <w:basedOn w:val="Absatz-Standardschriftart"/>
    <w:uiPriority w:val="99"/>
    <w:unhideWhenUsed/>
    <w:rsid w:val="00315AB4"/>
    <w:rPr>
      <w:color w:val="0000FF" w:themeColor="hyperlink"/>
      <w:u w:val="single"/>
    </w:rPr>
  </w:style>
  <w:style w:type="paragraph" w:styleId="Funotentext">
    <w:name w:val="footnote text"/>
    <w:basedOn w:val="Standard"/>
    <w:link w:val="FunotentextZchn"/>
    <w:uiPriority w:val="99"/>
    <w:rsid w:val="00315AB4"/>
    <w:pPr>
      <w:spacing w:after="200" w:line="276" w:lineRule="auto"/>
    </w:pPr>
    <w:rPr>
      <w:sz w:val="22"/>
    </w:rPr>
  </w:style>
  <w:style w:type="character" w:customStyle="1" w:styleId="FunotentextZchn">
    <w:name w:val="Fußnotentext Zchn"/>
    <w:basedOn w:val="Absatz-Standardschriftart"/>
    <w:link w:val="Funotentext"/>
    <w:uiPriority w:val="99"/>
    <w:rsid w:val="00315AB4"/>
  </w:style>
  <w:style w:type="paragraph" w:customStyle="1" w:styleId="eManualAufzhlunga">
    <w:name w:val="eManual Aufzählung a"/>
    <w:aliases w:val="b"/>
    <w:basedOn w:val="Standard"/>
    <w:uiPriority w:val="99"/>
    <w:rsid w:val="00315AB4"/>
    <w:pPr>
      <w:numPr>
        <w:numId w:val="5"/>
      </w:numPr>
      <w:spacing w:after="200" w:line="360" w:lineRule="atLeast"/>
      <w:jc w:val="both"/>
    </w:pPr>
    <w:rPr>
      <w:rFonts w:cs="Arial"/>
      <w:sz w:val="22"/>
    </w:rPr>
  </w:style>
  <w:style w:type="character" w:styleId="Funotenzeichen">
    <w:name w:val="footnote reference"/>
    <w:basedOn w:val="Absatz-Standardschriftart"/>
    <w:uiPriority w:val="99"/>
    <w:unhideWhenUsed/>
    <w:rsid w:val="00315AB4"/>
    <w:rPr>
      <w:vertAlign w:val="superscript"/>
    </w:rPr>
  </w:style>
  <w:style w:type="character" w:customStyle="1" w:styleId="berschrift7Zchn">
    <w:name w:val="Überschrift 7 Zchn"/>
    <w:basedOn w:val="Absatz-Standardschriftart"/>
    <w:link w:val="berschrift7"/>
    <w:rsid w:val="00315AB4"/>
  </w:style>
  <w:style w:type="character" w:customStyle="1" w:styleId="berschrift8Zchn">
    <w:name w:val="Überschrift 8 Zchn"/>
    <w:basedOn w:val="Absatz-Standardschriftart"/>
    <w:link w:val="berschrift8"/>
    <w:rsid w:val="00315AB4"/>
    <w:rPr>
      <w:i/>
      <w:iCs/>
      <w:szCs w:val="24"/>
    </w:rPr>
  </w:style>
  <w:style w:type="character" w:customStyle="1" w:styleId="berschrift9Zchn">
    <w:name w:val="Überschrift 9 Zchn"/>
    <w:basedOn w:val="Absatz-Standardschriftart"/>
    <w:link w:val="berschrift9"/>
    <w:rsid w:val="00315AB4"/>
    <w:rPr>
      <w:rFonts w:cs="Arial"/>
    </w:rPr>
  </w:style>
  <w:style w:type="character" w:styleId="BesuchterLink">
    <w:name w:val="FollowedHyperlink"/>
    <w:basedOn w:val="Absatz-Standardschriftart"/>
    <w:uiPriority w:val="99"/>
    <w:semiHidden/>
    <w:unhideWhenUsed/>
    <w:rsid w:val="00315AB4"/>
    <w:rPr>
      <w:color w:val="800080" w:themeColor="followedHyperlink"/>
      <w:u w:val="single"/>
    </w:rPr>
  </w:style>
  <w:style w:type="paragraph" w:styleId="StandardWeb">
    <w:name w:val="Normal (Web)"/>
    <w:basedOn w:val="Standard"/>
    <w:uiPriority w:val="99"/>
    <w:semiHidden/>
    <w:unhideWhenUsed/>
    <w:rsid w:val="00315AB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sid w:val="00315AB4"/>
    <w:rPr>
      <w:strike w:val="0"/>
      <w:dstrike w:val="0"/>
      <w:color w:val="990000"/>
      <w:u w:val="none"/>
      <w:effect w:val="none"/>
    </w:rPr>
  </w:style>
  <w:style w:type="paragraph" w:customStyle="1" w:styleId="Default">
    <w:name w:val="Default"/>
    <w:rsid w:val="00315AB4"/>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rsid w:val="00D41D8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customStyle="1" w:styleId="scfbrieftext">
    <w:name w:val="scfbrieftext"/>
    <w:basedOn w:val="Standard"/>
    <w:qFormat/>
    <w:rsid w:val="0025020B"/>
    <w:pPr>
      <w:spacing w:after="0" w:line="240" w:lineRule="auto"/>
    </w:pPr>
    <w:rPr>
      <w:rFonts w:eastAsia="Times New Roman" w:cs="Times New Roman"/>
      <w:sz w:val="22"/>
      <w:szCs w:val="20"/>
    </w:rPr>
  </w:style>
  <w:style w:type="character" w:styleId="NichtaufgelsteErwhnung">
    <w:name w:val="Unresolved Mention"/>
    <w:basedOn w:val="Absatz-Standardschriftart"/>
    <w:uiPriority w:val="99"/>
    <w:semiHidden/>
    <w:unhideWhenUsed/>
    <w:rsid w:val="003A3AD8"/>
    <w:rPr>
      <w:color w:val="605E5C"/>
      <w:shd w:val="clear" w:color="auto" w:fill="E1DFDD"/>
    </w:rPr>
  </w:style>
  <w:style w:type="paragraph" w:styleId="NurText">
    <w:name w:val="Plain Text"/>
    <w:basedOn w:val="Standard"/>
    <w:link w:val="NurTextZchn"/>
    <w:uiPriority w:val="99"/>
    <w:semiHidden/>
    <w:unhideWhenUsed/>
    <w:rsid w:val="00996686"/>
    <w:pPr>
      <w:spacing w:after="0" w:line="240" w:lineRule="auto"/>
    </w:pPr>
    <w:rPr>
      <w:rFonts w:ascii="Calibri" w:hAnsi="Calibri" w:cs="Calibri"/>
      <w:sz w:val="22"/>
      <w:lang w:val="de-DE" w:eastAsia="de-DE"/>
    </w:rPr>
  </w:style>
  <w:style w:type="character" w:customStyle="1" w:styleId="NurTextZchn">
    <w:name w:val="Nur Text Zchn"/>
    <w:basedOn w:val="Absatz-Standardschriftart"/>
    <w:link w:val="NurText"/>
    <w:uiPriority w:val="99"/>
    <w:semiHidden/>
    <w:rsid w:val="00996686"/>
    <w:rPr>
      <w:rFonts w:ascii="Calibri" w:hAnsi="Calibri" w:cs="Calibri"/>
      <w:lang w:val="de-DE" w:eastAsia="de-DE"/>
    </w:rPr>
  </w:style>
  <w:style w:type="table" w:customStyle="1" w:styleId="HighlightBoxStone352">
    <w:name w:val="Highlight_Box_Stone 35%2"/>
    <w:basedOn w:val="NormaleTabelle"/>
    <w:next w:val="Tabellenraster"/>
    <w:rsid w:val="001927C8"/>
    <w:pPr>
      <w:spacing w:after="0" w:line="240" w:lineRule="auto"/>
    </w:pPr>
    <w:rPr>
      <w:color w:val="006487"/>
      <w:sz w:val="20"/>
    </w:rPr>
    <w:tblPr>
      <w:tblCellMar>
        <w:top w:w="340" w:type="dxa"/>
        <w:left w:w="340" w:type="dxa"/>
        <w:bottom w:w="227" w:type="dxa"/>
        <w:right w:w="454" w:type="dxa"/>
      </w:tblCellMar>
    </w:tblPr>
    <w:tcPr>
      <w:shd w:val="clear" w:color="auto" w:fill="F2F5F7"/>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2176038">
      <w:bodyDiv w:val="1"/>
      <w:marLeft w:val="0"/>
      <w:marRight w:val="0"/>
      <w:marTop w:val="0"/>
      <w:marBottom w:val="0"/>
      <w:divBdr>
        <w:top w:val="none" w:sz="0" w:space="0" w:color="auto"/>
        <w:left w:val="none" w:sz="0" w:space="0" w:color="auto"/>
        <w:bottom w:val="none" w:sz="0" w:space="0" w:color="auto"/>
        <w:right w:val="none" w:sz="0" w:space="0" w:color="auto"/>
      </w:divBdr>
      <w:divsChild>
        <w:div w:id="877819257">
          <w:marLeft w:val="288"/>
          <w:marRight w:val="0"/>
          <w:marTop w:val="0"/>
          <w:marBottom w:val="0"/>
          <w:divBdr>
            <w:top w:val="none" w:sz="0" w:space="0" w:color="auto"/>
            <w:left w:val="none" w:sz="0" w:space="0" w:color="auto"/>
            <w:bottom w:val="none" w:sz="0" w:space="0" w:color="auto"/>
            <w:right w:val="none" w:sz="0" w:space="0" w:color="auto"/>
          </w:divBdr>
        </w:div>
        <w:div w:id="1624920661">
          <w:marLeft w:val="288"/>
          <w:marRight w:val="0"/>
          <w:marTop w:val="0"/>
          <w:marBottom w:val="0"/>
          <w:divBdr>
            <w:top w:val="none" w:sz="0" w:space="0" w:color="auto"/>
            <w:left w:val="none" w:sz="0" w:space="0" w:color="auto"/>
            <w:bottom w:val="none" w:sz="0" w:space="0" w:color="auto"/>
            <w:right w:val="none" w:sz="0" w:space="0" w:color="auto"/>
          </w:divBdr>
        </w:div>
        <w:div w:id="449474603">
          <w:marLeft w:val="288"/>
          <w:marRight w:val="0"/>
          <w:marTop w:val="0"/>
          <w:marBottom w:val="0"/>
          <w:divBdr>
            <w:top w:val="none" w:sz="0" w:space="0" w:color="auto"/>
            <w:left w:val="none" w:sz="0" w:space="0" w:color="auto"/>
            <w:bottom w:val="none" w:sz="0" w:space="0" w:color="auto"/>
            <w:right w:val="none" w:sz="0" w:space="0" w:color="auto"/>
          </w:divBdr>
        </w:div>
        <w:div w:id="1232691529">
          <w:marLeft w:val="274"/>
          <w:marRight w:val="0"/>
          <w:marTop w:val="0"/>
          <w:marBottom w:val="0"/>
          <w:divBdr>
            <w:top w:val="none" w:sz="0" w:space="0" w:color="auto"/>
            <w:left w:val="none" w:sz="0" w:space="0" w:color="auto"/>
            <w:bottom w:val="none" w:sz="0" w:space="0" w:color="auto"/>
            <w:right w:val="none" w:sz="0" w:space="0" w:color="auto"/>
          </w:divBdr>
        </w:div>
        <w:div w:id="1685093276">
          <w:marLeft w:val="274"/>
          <w:marRight w:val="0"/>
          <w:marTop w:val="0"/>
          <w:marBottom w:val="0"/>
          <w:divBdr>
            <w:top w:val="none" w:sz="0" w:space="0" w:color="auto"/>
            <w:left w:val="none" w:sz="0" w:space="0" w:color="auto"/>
            <w:bottom w:val="none" w:sz="0" w:space="0" w:color="auto"/>
            <w:right w:val="none" w:sz="0" w:space="0" w:color="auto"/>
          </w:divBdr>
        </w:div>
        <w:div w:id="611209811">
          <w:marLeft w:val="274"/>
          <w:marRight w:val="0"/>
          <w:marTop w:val="0"/>
          <w:marBottom w:val="0"/>
          <w:divBdr>
            <w:top w:val="none" w:sz="0" w:space="0" w:color="auto"/>
            <w:left w:val="none" w:sz="0" w:space="0" w:color="auto"/>
            <w:bottom w:val="none" w:sz="0" w:space="0" w:color="auto"/>
            <w:right w:val="none" w:sz="0" w:space="0" w:color="auto"/>
          </w:divBdr>
        </w:div>
        <w:div w:id="1914972829">
          <w:marLeft w:val="274"/>
          <w:marRight w:val="0"/>
          <w:marTop w:val="0"/>
          <w:marBottom w:val="0"/>
          <w:divBdr>
            <w:top w:val="none" w:sz="0" w:space="0" w:color="auto"/>
            <w:left w:val="none" w:sz="0" w:space="0" w:color="auto"/>
            <w:bottom w:val="none" w:sz="0" w:space="0" w:color="auto"/>
            <w:right w:val="none" w:sz="0" w:space="0" w:color="auto"/>
          </w:divBdr>
        </w:div>
        <w:div w:id="924189224">
          <w:marLeft w:val="274"/>
          <w:marRight w:val="0"/>
          <w:marTop w:val="0"/>
          <w:marBottom w:val="0"/>
          <w:divBdr>
            <w:top w:val="none" w:sz="0" w:space="0" w:color="auto"/>
            <w:left w:val="none" w:sz="0" w:space="0" w:color="auto"/>
            <w:bottom w:val="none" w:sz="0" w:space="0" w:color="auto"/>
            <w:right w:val="none" w:sz="0" w:space="0" w:color="auto"/>
          </w:divBdr>
        </w:div>
      </w:divsChild>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009915435">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52279922">
      <w:bodyDiv w:val="1"/>
      <w:marLeft w:val="0"/>
      <w:marRight w:val="0"/>
      <w:marTop w:val="0"/>
      <w:marBottom w:val="0"/>
      <w:divBdr>
        <w:top w:val="none" w:sz="0" w:space="0" w:color="auto"/>
        <w:left w:val="none" w:sz="0" w:space="0" w:color="auto"/>
        <w:bottom w:val="none" w:sz="0" w:space="0" w:color="auto"/>
        <w:right w:val="none" w:sz="0" w:space="0" w:color="auto"/>
      </w:divBdr>
      <w:divsChild>
        <w:div w:id="1183129755">
          <w:marLeft w:val="288"/>
          <w:marRight w:val="0"/>
          <w:marTop w:val="0"/>
          <w:marBottom w:val="0"/>
          <w:divBdr>
            <w:top w:val="none" w:sz="0" w:space="0" w:color="auto"/>
            <w:left w:val="none" w:sz="0" w:space="0" w:color="auto"/>
            <w:bottom w:val="none" w:sz="0" w:space="0" w:color="auto"/>
            <w:right w:val="none" w:sz="0" w:space="0" w:color="auto"/>
          </w:divBdr>
        </w:div>
        <w:div w:id="1838306234">
          <w:marLeft w:val="288"/>
          <w:marRight w:val="0"/>
          <w:marTop w:val="0"/>
          <w:marBottom w:val="0"/>
          <w:divBdr>
            <w:top w:val="none" w:sz="0" w:space="0" w:color="auto"/>
            <w:left w:val="none" w:sz="0" w:space="0" w:color="auto"/>
            <w:bottom w:val="none" w:sz="0" w:space="0" w:color="auto"/>
            <w:right w:val="none" w:sz="0" w:space="0" w:color="auto"/>
          </w:divBdr>
        </w:div>
        <w:div w:id="450979411">
          <w:marLeft w:val="288"/>
          <w:marRight w:val="0"/>
          <w:marTop w:val="0"/>
          <w:marBottom w:val="0"/>
          <w:divBdr>
            <w:top w:val="none" w:sz="0" w:space="0" w:color="auto"/>
            <w:left w:val="none" w:sz="0" w:space="0" w:color="auto"/>
            <w:bottom w:val="none" w:sz="0" w:space="0" w:color="auto"/>
            <w:right w:val="none" w:sz="0" w:space="0" w:color="auto"/>
          </w:divBdr>
        </w:div>
        <w:div w:id="912542640">
          <w:marLeft w:val="288"/>
          <w:marRight w:val="0"/>
          <w:marTop w:val="0"/>
          <w:marBottom w:val="0"/>
          <w:divBdr>
            <w:top w:val="none" w:sz="0" w:space="0" w:color="auto"/>
            <w:left w:val="none" w:sz="0" w:space="0" w:color="auto"/>
            <w:bottom w:val="none" w:sz="0" w:space="0" w:color="auto"/>
            <w:right w:val="none" w:sz="0" w:space="0" w:color="auto"/>
          </w:divBdr>
        </w:div>
        <w:div w:id="205724012">
          <w:marLeft w:val="288"/>
          <w:marRight w:val="0"/>
          <w:marTop w:val="0"/>
          <w:marBottom w:val="0"/>
          <w:divBdr>
            <w:top w:val="none" w:sz="0" w:space="0" w:color="auto"/>
            <w:left w:val="none" w:sz="0" w:space="0" w:color="auto"/>
            <w:bottom w:val="none" w:sz="0" w:space="0" w:color="auto"/>
            <w:right w:val="none" w:sz="0" w:space="0" w:color="auto"/>
          </w:divBdr>
        </w:div>
        <w:div w:id="1261253714">
          <w:marLeft w:val="288"/>
          <w:marRight w:val="0"/>
          <w:marTop w:val="0"/>
          <w:marBottom w:val="0"/>
          <w:divBdr>
            <w:top w:val="none" w:sz="0" w:space="0" w:color="auto"/>
            <w:left w:val="none" w:sz="0" w:space="0" w:color="auto"/>
            <w:bottom w:val="none" w:sz="0" w:space="0" w:color="auto"/>
            <w:right w:val="none" w:sz="0" w:space="0" w:color="auto"/>
          </w:divBdr>
        </w:div>
      </w:divsChild>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66258793">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594124289">
      <w:bodyDiv w:val="1"/>
      <w:marLeft w:val="0"/>
      <w:marRight w:val="0"/>
      <w:marTop w:val="0"/>
      <w:marBottom w:val="0"/>
      <w:divBdr>
        <w:top w:val="none" w:sz="0" w:space="0" w:color="auto"/>
        <w:left w:val="none" w:sz="0" w:space="0" w:color="auto"/>
        <w:bottom w:val="none" w:sz="0" w:space="0" w:color="auto"/>
        <w:right w:val="none" w:sz="0" w:space="0" w:color="auto"/>
      </w:divBdr>
      <w:divsChild>
        <w:div w:id="216363189">
          <w:marLeft w:val="288"/>
          <w:marRight w:val="0"/>
          <w:marTop w:val="84"/>
          <w:marBottom w:val="0"/>
          <w:divBdr>
            <w:top w:val="none" w:sz="0" w:space="0" w:color="auto"/>
            <w:left w:val="none" w:sz="0" w:space="0" w:color="auto"/>
            <w:bottom w:val="none" w:sz="0" w:space="0" w:color="auto"/>
            <w:right w:val="none" w:sz="0" w:space="0" w:color="auto"/>
          </w:divBdr>
        </w:div>
        <w:div w:id="280772745">
          <w:marLeft w:val="288"/>
          <w:marRight w:val="0"/>
          <w:marTop w:val="84"/>
          <w:marBottom w:val="0"/>
          <w:divBdr>
            <w:top w:val="none" w:sz="0" w:space="0" w:color="auto"/>
            <w:left w:val="none" w:sz="0" w:space="0" w:color="auto"/>
            <w:bottom w:val="none" w:sz="0" w:space="0" w:color="auto"/>
            <w:right w:val="none" w:sz="0" w:space="0" w:color="auto"/>
          </w:divBdr>
        </w:div>
      </w:divsChild>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885367735">
      <w:bodyDiv w:val="1"/>
      <w:marLeft w:val="0"/>
      <w:marRight w:val="0"/>
      <w:marTop w:val="0"/>
      <w:marBottom w:val="0"/>
      <w:divBdr>
        <w:top w:val="none" w:sz="0" w:space="0" w:color="auto"/>
        <w:left w:val="none" w:sz="0" w:space="0" w:color="auto"/>
        <w:bottom w:val="none" w:sz="0" w:space="0" w:color="auto"/>
        <w:right w:val="none" w:sz="0" w:space="0" w:color="auto"/>
      </w:divBdr>
    </w:div>
    <w:div w:id="2013289761">
      <w:bodyDiv w:val="1"/>
      <w:marLeft w:val="0"/>
      <w:marRight w:val="0"/>
      <w:marTop w:val="0"/>
      <w:marBottom w:val="0"/>
      <w:divBdr>
        <w:top w:val="none" w:sz="0" w:space="0" w:color="auto"/>
        <w:left w:val="none" w:sz="0" w:space="0" w:color="auto"/>
        <w:bottom w:val="none" w:sz="0" w:space="0" w:color="auto"/>
        <w:right w:val="none" w:sz="0" w:space="0" w:color="auto"/>
      </w:divBdr>
      <w:divsChild>
        <w:div w:id="539518960">
          <w:marLeft w:val="274"/>
          <w:marRight w:val="0"/>
          <w:marTop w:val="0"/>
          <w:marBottom w:val="0"/>
          <w:divBdr>
            <w:top w:val="none" w:sz="0" w:space="0" w:color="auto"/>
            <w:left w:val="none" w:sz="0" w:space="0" w:color="auto"/>
            <w:bottom w:val="none" w:sz="0" w:space="0" w:color="auto"/>
            <w:right w:val="none" w:sz="0" w:space="0" w:color="auto"/>
          </w:divBdr>
        </w:div>
        <w:div w:id="1432433412">
          <w:marLeft w:val="274"/>
          <w:marRight w:val="0"/>
          <w:marTop w:val="0"/>
          <w:marBottom w:val="0"/>
          <w:divBdr>
            <w:top w:val="none" w:sz="0" w:space="0" w:color="auto"/>
            <w:left w:val="none" w:sz="0" w:space="0" w:color="auto"/>
            <w:bottom w:val="none" w:sz="0" w:space="0" w:color="auto"/>
            <w:right w:val="none" w:sz="0" w:space="0" w:color="auto"/>
          </w:divBdr>
        </w:div>
        <w:div w:id="1866212807">
          <w:marLeft w:val="274"/>
          <w:marRight w:val="0"/>
          <w:marTop w:val="0"/>
          <w:marBottom w:val="0"/>
          <w:divBdr>
            <w:top w:val="none" w:sz="0" w:space="0" w:color="auto"/>
            <w:left w:val="none" w:sz="0" w:space="0" w:color="auto"/>
            <w:bottom w:val="none" w:sz="0" w:space="0" w:color="auto"/>
            <w:right w:val="none" w:sz="0" w:space="0" w:color="auto"/>
          </w:divBdr>
        </w:div>
        <w:div w:id="1843003441">
          <w:marLeft w:val="274"/>
          <w:marRight w:val="0"/>
          <w:marTop w:val="0"/>
          <w:marBottom w:val="0"/>
          <w:divBdr>
            <w:top w:val="none" w:sz="0" w:space="0" w:color="auto"/>
            <w:left w:val="none" w:sz="0" w:space="0" w:color="auto"/>
            <w:bottom w:val="none" w:sz="0" w:space="0" w:color="auto"/>
            <w:right w:val="none" w:sz="0" w:space="0" w:color="auto"/>
          </w:divBdr>
        </w:div>
        <w:div w:id="2060086843">
          <w:marLeft w:val="274"/>
          <w:marRight w:val="0"/>
          <w:marTop w:val="0"/>
          <w:marBottom w:val="0"/>
          <w:divBdr>
            <w:top w:val="none" w:sz="0" w:space="0" w:color="auto"/>
            <w:left w:val="none" w:sz="0" w:space="0" w:color="auto"/>
            <w:bottom w:val="none" w:sz="0" w:space="0" w:color="auto"/>
            <w:right w:val="none" w:sz="0" w:space="0" w:color="auto"/>
          </w:divBdr>
        </w:div>
        <w:div w:id="526335508">
          <w:marLeft w:val="274"/>
          <w:marRight w:val="0"/>
          <w:marTop w:val="0"/>
          <w:marBottom w:val="0"/>
          <w:divBdr>
            <w:top w:val="none" w:sz="0" w:space="0" w:color="auto"/>
            <w:left w:val="none" w:sz="0" w:space="0" w:color="auto"/>
            <w:bottom w:val="none" w:sz="0" w:space="0" w:color="auto"/>
            <w:right w:val="none" w:sz="0" w:space="0" w:color="auto"/>
          </w:divBdr>
        </w:div>
        <w:div w:id="995260701">
          <w:marLeft w:val="274"/>
          <w:marRight w:val="0"/>
          <w:marTop w:val="0"/>
          <w:marBottom w:val="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books.siemens.com/public/LC/chen/index.htm?n=Part-3-Compliance-Internal-Tasks,L.-Case-Handling,-Discipline-and-Remediation,4.-Disciplinary-Measures" TargetMode="External"/><Relationship Id="rId18" Type="http://schemas.openxmlformats.org/officeDocument/2006/relationships/hyperlink" Target="https://webbooks.siemens.com/public/LC/chen/index.htm?n=Part-3-Compliance-Internal-Tasks,L.-Case-Handling,-Discipline-and-Remediation,1.-Process-Principles,1.-Process-Overview" TargetMode="External"/><Relationship Id="rId3" Type="http://schemas.openxmlformats.org/officeDocument/2006/relationships/customXml" Target="../customXml/item3.xml"/><Relationship Id="rId21" Type="http://schemas.openxmlformats.org/officeDocument/2006/relationships/hyperlink" Target="https://soc.siemens.cloud/profile/Z002K99S" TargetMode="External"/><Relationship Id="rId7" Type="http://schemas.openxmlformats.org/officeDocument/2006/relationships/settings" Target="settings.xml"/><Relationship Id="rId12" Type="http://schemas.openxmlformats.org/officeDocument/2006/relationships/hyperlink" Target="https://webbooks.siemens.com/public/LC/chen/index.htm?n=Part-3-Compliance-Internal-Tasks,L.-Case-Handling,-Discipline-and-Remediation,2.-Case-Handling" TargetMode="External"/><Relationship Id="rId17" Type="http://schemas.openxmlformats.org/officeDocument/2006/relationships/hyperlink" Target="https://srs.siemens.clou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ebbooks.siemens.com/public/LC/chen/index.htm?n=Part-3-Compliance-Internal-Tasks,L.-Case-Handling,-Discipline-and-Remediation,7.-Dealing-with-public-authorities-and-other-third-parties,7.1.-Information-requests" TargetMode="External"/><Relationship Id="rId20" Type="http://schemas.openxmlformats.org/officeDocument/2006/relationships/hyperlink" Target="https://intranet.for.siemens.com/cms/059/en/about/org/Pages/compliance_organization.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books.siemens.com/public/LC/chen/index.htm?n=Part-1-Activity-Fields,D.-Data-Privacy,1.-Responsibility"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ebbooks.siemens.com/public/LC/chen/index.htm?n=Part-3-Compliance-Internal-Tasks,L.-Case-Handling,-Discipline-and-Remediation,7.-Dealing-with-public-authorities-and-other-third-parties,7.1.-Information-request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ebbooks.siemens.com/public/LC/chen/index.htm?n=Part-3-Compliance-Internal-Tasks,L.-Case-Handling,-Discipline-and-Remediation,2.-Case-Handling,2.4.-Investigation-process-for-allegations,2.4.5.-Data-colle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books.siemens.com/public/LC/chen/index.htm?n=Part-3-Compliance-Internal-Tasks,L.-Case-Handling,-Discipline-and-Remediation,5.-Remediation"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se04.siemens.com/content/P0006195/Shared%20Documents/dir2010_2019/2009/CHRRS6509_8.pdf" TargetMode="External"/><Relationship Id="rId2" Type="http://schemas.openxmlformats.org/officeDocument/2006/relationships/hyperlink" Target="https://wse04.siemens.com/content/P0006195/Shared%20Documents/dir2010_2019/2015/HRRS201544_03_KBV_Compliance_System.pdf" TargetMode="External"/><Relationship Id="rId1" Type="http://schemas.openxmlformats.org/officeDocument/2006/relationships/hyperlink" Target="https://wse04.siemens.com/content/P0006195/Shared%20Documents/dir2010_2019/2015/HRRS201544_03_KBV_Compliance_System.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L. Case Handling, Discipline and Remediation</TermName>
          <TermId xmlns="http://schemas.microsoft.com/office/infopath/2007/PartnerControls">3c4fdfc4-f95d-40a4-8535-c2b9d1c7686e</TermId>
        </TermInfo>
      </Terms>
    </nb766c42a6d34ad7b224884871f9394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5C410B-8DA4-4E57-8D14-A0D69B388DE0}">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terms/"/>
    <ds:schemaRef ds:uri="http://purl.org/dc/dcmitype/"/>
    <ds:schemaRef ds:uri="http://schemas.microsoft.com/office/infopath/2007/PartnerControls"/>
    <ds:schemaRef ds:uri="D4B7477C-7A02-450C-8063-62DA1C092FE9"/>
    <ds:schemaRef ds:uri="6ee1f5f8-4a5f-4619-969f-c34e20667274"/>
    <ds:schemaRef ds:uri="d4b7477c-7a02-450c-8063-62da1c092fe9"/>
    <ds:schemaRef ds:uri="http://www.w3.org/XML/1998/namespace"/>
  </ds:schemaRefs>
</ds:datastoreItem>
</file>

<file path=customXml/itemProps2.xml><?xml version="1.0" encoding="utf-8"?>
<ds:datastoreItem xmlns:ds="http://schemas.openxmlformats.org/officeDocument/2006/customXml" ds:itemID="{435A7DAA-ECAE-4EBD-A58B-8DF3B1551BC2}">
  <ds:schemaRefs>
    <ds:schemaRef ds:uri="http://schemas.openxmlformats.org/officeDocument/2006/bibliography"/>
  </ds:schemaRefs>
</ds:datastoreItem>
</file>

<file path=customXml/itemProps3.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4.xml><?xml version="1.0" encoding="utf-8"?>
<ds:datastoreItem xmlns:ds="http://schemas.openxmlformats.org/officeDocument/2006/customXml" ds:itemID="{9388D25E-B77F-47E7-94AB-0683B04D0D02}"/>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6</Pages>
  <Words>1676</Words>
  <Characters>10563</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Schieber, Franziska</dc:creator>
  <cp:keywords>C_Restricted</cp:keywords>
  <dc:description/>
  <cp:lastModifiedBy>Hamm-Dueppe, Yvonne (LC CO RFC LF)</cp:lastModifiedBy>
  <cp:revision>189</cp:revision>
  <cp:lastPrinted>2015-08-31T13:30:00Z</cp:lastPrinted>
  <dcterms:created xsi:type="dcterms:W3CDTF">2021-03-30T10:44:00Z</dcterms:created>
  <dcterms:modified xsi:type="dcterms:W3CDTF">2021-03-31T06:52:00Z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-1737067326</vt:i4>
  </property>
  <property fmtid="{D5CDD505-2E9C-101B-9397-08002B2CF9AE}" pid="3" name="_NewReviewCycle">
    <vt:lpwstr/>
  </property>
  <property fmtid="{D5CDD505-2E9C-101B-9397-08002B2CF9AE}" pid="4" name="_EmailSubject">
    <vt:lpwstr>Business Partner Web Book  |  Templates</vt:lpwstr>
  </property>
  <property fmtid="{D5CDD505-2E9C-101B-9397-08002B2CF9AE}" pid="5" name="_AuthorEmail">
    <vt:lpwstr>Joerg.Nullmeier@siemens.com</vt:lpwstr>
  </property>
  <property fmtid="{D5CDD505-2E9C-101B-9397-08002B2CF9AE}" pid="6" name="_AuthorEmailDisplayName">
    <vt:lpwstr>Nullmeier, Joerg (LC CB GF)</vt:lpwstr>
  </property>
  <property fmtid="{D5CDD505-2E9C-101B-9397-08002B2CF9AE}" pid="7" name="_PreviousAdHocReviewCycleID">
    <vt:i4>305844147</vt:i4>
  </property>
  <property fmtid="{D5CDD505-2E9C-101B-9397-08002B2CF9AE}" pid="8" name="ContentTypeId">
    <vt:lpwstr>0x010100DA792F68E16F46C1935D46987B61C0F50099EFCC051DBFF746BCEF6C3628588333</vt:lpwstr>
  </property>
  <property fmtid="{D5CDD505-2E9C-101B-9397-08002B2CF9AE}" pid="9" name="TOC">
    <vt:lpwstr>92;#L. Case Handling, Discipline and Remediation|3c4fdfc4-f95d-40a4-8535-c2b9d1c7686e</vt:lpwstr>
  </property>
  <property fmtid="{D5CDD505-2E9C-101B-9397-08002B2CF9AE}" pid="10" name="_ReviewingToolsShownOnce">
    <vt:lpwstr/>
  </property>
  <property fmtid="{D5CDD505-2E9C-101B-9397-08002B2CF9AE}" pid="11" name="Document Confidentiality">
    <vt:lpwstr>Restricted</vt:lpwstr>
  </property>
  <property fmtid="{D5CDD505-2E9C-101B-9397-08002B2CF9AE}" pid="12" name="MSIP_Label_a59b6cd5-d141-4a33-8bf1-0ca04484304f_Enabled">
    <vt:lpwstr>true</vt:lpwstr>
  </property>
  <property fmtid="{D5CDD505-2E9C-101B-9397-08002B2CF9AE}" pid="13" name="MSIP_Label_a59b6cd5-d141-4a33-8bf1-0ca04484304f_SetDate">
    <vt:lpwstr>2021-03-30T10:43:36Z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ffe9e92a-2857-4e36-91df-91b23cdd04ff</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