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spacing w:before="0" w:after="0"/>
        <w:rPr/>
      </w:pPr>
      <w:r>
        <w:rPr/>
        <w:t>modbus_meta</w:t>
      </w:r>
      <w:r>
        <w:rPr/>
        <w:t>主要的目的是定义如何将一种设备的</w:t>
      </w:r>
      <w:r>
        <w:rPr/>
        <w:t>MODBUS</w:t>
      </w:r>
      <w:r>
        <w:rPr/>
        <w:t>寄存器映形式射到</w:t>
      </w:r>
      <w:r>
        <w:rPr/>
        <w:t>URI</w:t>
      </w:r>
      <w:r>
        <w:rPr/>
        <w:t>表示的资源属性形式，比如把寄存器地址</w:t>
      </w:r>
      <w:r>
        <w:rPr/>
        <w:t>1</w:t>
      </w:r>
      <w:r>
        <w:rPr/>
        <w:t>映射成资源”</w:t>
      </w:r>
      <w:r>
        <w:rPr/>
        <w:t>/t/ temperature”</w:t>
      </w:r>
      <w:r>
        <w:rPr/>
        <w:t>来访问。</w:t>
      </w:r>
    </w:p>
    <w:p>
      <w:pPr>
        <w:pStyle w:val="Normal"/>
        <w:spacing w:before="0" w:after="0"/>
        <w:rPr/>
      </w:pPr>
      <w:r>
        <w:rPr/>
      </w:r>
    </w:p>
    <w:p>
      <w:pPr>
        <w:pStyle w:val="Normal"/>
        <w:spacing w:before="0" w:after="0"/>
        <w:rPr/>
      </w:pPr>
      <w:r>
        <w:rPr/>
        <w:t>配置文件中一个资源属性映射的寄存器方式可以通过以下两种方式来指定：</w:t>
      </w:r>
    </w:p>
    <w:p>
      <w:pPr>
        <w:pStyle w:val="ListParagraph"/>
        <w:numPr>
          <w:ilvl w:val="0"/>
          <w:numId w:val="2"/>
        </w:numPr>
        <w:spacing w:before="0" w:after="0"/>
        <w:rPr/>
      </w:pPr>
      <w:r>
        <w:rPr/>
        <w:t>直接读取的地址</w:t>
      </w:r>
      <w:r>
        <w:rPr/>
        <w:t xml:space="preserve">: </w:t>
      </w:r>
      <w:r>
        <w:rPr/>
        <w:t>使用字段”</w:t>
      </w:r>
      <w:r>
        <w:rPr/>
        <w:t>a”</w:t>
      </w:r>
      <w:r>
        <w:rPr/>
        <w:t>表示</w:t>
      </w:r>
    </w:p>
    <w:p>
      <w:pPr>
        <w:pStyle w:val="ListParagraph"/>
        <w:numPr>
          <w:ilvl w:val="0"/>
          <w:numId w:val="2"/>
        </w:numPr>
        <w:spacing w:before="0" w:after="0"/>
        <w:rPr/>
      </w:pPr>
      <w:r>
        <w:rPr/>
        <w:t>通过所在资源寄存器块的相对位置：使用”</w:t>
      </w:r>
      <w:r>
        <w:rPr/>
        <w:t>reg”+”o”</w:t>
      </w:r>
      <w:r>
        <w:rPr/>
        <w:t>两个字段组合完成</w:t>
      </w:r>
    </w:p>
    <w:p>
      <w:pPr>
        <w:pStyle w:val="Normal"/>
        <w:tabs>
          <w:tab w:val="left" w:pos="3020" w:leader="none"/>
        </w:tabs>
        <w:rPr/>
      </w:pPr>
      <w:r>
        <w:rPr/>
        <mc:AlternateContent>
          <mc:Choice Requires="wpg">
            <w:drawing>
              <wp:inline distT="0" distB="0" distL="114300" distR="114300">
                <wp:extent cx="7057390" cy="2896235"/>
                <wp:effectExtent l="0" t="0" r="0" b="0"/>
                <wp:docPr id="1" name="Canvas 3"/>
                <a:graphic xmlns:a="http://schemas.openxmlformats.org/drawingml/2006/main">
                  <a:graphicData uri="http://schemas.microsoft.com/office/word/2010/wordprocessingGroup">
                    <wpg:wgp>
                      <wpg:cNvGrpSpPr/>
                      <wpg:grpSpPr>
                        <a:xfrm>
                          <a:off x="0" y="0"/>
                          <a:ext cx="7056720" cy="2895480"/>
                        </a:xfrm>
                      </wpg:grpSpPr>
                      <wps:wsp>
                        <wps:cNvSpPr/>
                        <wps:spPr>
                          <a:xfrm>
                            <a:off x="725040" y="0"/>
                            <a:ext cx="5486400" cy="2895480"/>
                          </a:xfrm>
                          <a:prstGeom prst="rect">
                            <a:avLst/>
                          </a:prstGeom>
                          <a:noFill/>
                          <a:ln>
                            <a:noFill/>
                          </a:ln>
                        </wps:spPr>
                        <wps:style>
                          <a:lnRef idx="0"/>
                          <a:fillRef idx="0"/>
                          <a:effectRef idx="0"/>
                          <a:fontRef idx="minor"/>
                        </wps:style>
                        <wps:bodyPr/>
                      </wps:wsp>
                      <wps:wsp>
                        <wps:cNvSpPr txBox="1"/>
                        <wps:spPr>
                          <a:xfrm>
                            <a:off x="1398240" y="260280"/>
                            <a:ext cx="317520" cy="254160"/>
                          </a:xfrm>
                          <a:prstGeom prst="rect">
                            <a:avLst/>
                          </a:prstGeom>
                          <a:solidFill>
                            <a:srgbClr val="ffffff"/>
                          </a:solidFill>
                          <a:ln w="12600">
                            <a:solidFill>
                              <a:srgbClr val="1f4d78"/>
                            </a:solidFill>
                            <a:round/>
                          </a:ln>
                        </wps:spPr>
                        <wps:txbx>
                          <w:txbxContent>
                            <w:p>
                              <w:pPr>
                                <w:overflowPunct w:val="false"/>
                                <w:spacing w:before="0" w:after="0" w:lineRule="auto" w:line="240"/>
                                <w:jc w:val="center"/>
                                <w:rPr/>
                              </w:pPr>
                              <w:r>
                                <w:rPr>
                                  <w:color w:val="000000"/>
                                </w:rPr>
                                <w:t>0</w:t>
                              </w:r>
                            </w:p>
                          </w:txbxContent>
                        </wps:txbx>
                        <wps:bodyPr wrap="square" lIns="0" rIns="0" tIns="0" bIns="0" anchor="ctr">
                          <a:spAutoFit/>
                        </wps:bodyPr>
                      </wps:wsp>
                      <wps:wsp>
                        <wps:cNvSpPr txBox="1"/>
                        <wps:spPr>
                          <a:xfrm>
                            <a:off x="1709280" y="260280"/>
                            <a:ext cx="304920" cy="260280"/>
                          </a:xfrm>
                          <a:prstGeom prst="rect">
                            <a:avLst/>
                          </a:prstGeom>
                          <a:solidFill>
                            <a:srgbClr val="ffffff"/>
                          </a:solidFill>
                          <a:ln w="12600">
                            <a:solidFill>
                              <a:srgbClr val="1f4d78"/>
                            </a:solidFill>
                            <a:round/>
                          </a:ln>
                        </wps:spPr>
                        <wps:txbx>
                          <w:txbxContent>
                            <w:p>
                              <w:pPr>
                                <w:overflowPunct w:val="false"/>
                                <w:spacing w:before="0" w:after="0" w:lineRule="auto" w:line="240"/>
                                <w:jc w:val="center"/>
                                <w:rPr/>
                              </w:pPr>
                              <w:r>
                                <w:rPr>
                                  <w:color w:val="000000"/>
                                </w:rPr>
                                <w:t>1</w:t>
                              </w:r>
                            </w:p>
                          </w:txbxContent>
                        </wps:txbx>
                        <wps:bodyPr wrap="square" lIns="0" rIns="0" tIns="0" bIns="0" anchor="ctr">
                          <a:spAutoFit/>
                        </wps:bodyPr>
                      </wps:wsp>
                      <wps:wsp>
                        <wps:cNvSpPr txBox="1"/>
                        <wps:spPr>
                          <a:xfrm>
                            <a:off x="2014200" y="260280"/>
                            <a:ext cx="304920" cy="260280"/>
                          </a:xfrm>
                          <a:prstGeom prst="rect">
                            <a:avLst/>
                          </a:prstGeom>
                          <a:solidFill>
                            <a:srgbClr val="ffffff"/>
                          </a:solidFill>
                          <a:ln w="12600">
                            <a:solidFill>
                              <a:srgbClr val="1f4d78"/>
                            </a:solidFill>
                            <a:round/>
                          </a:ln>
                        </wps:spPr>
                        <wps:txbx>
                          <w:txbxContent>
                            <w:p>
                              <w:pPr>
                                <w:overflowPunct w:val="false"/>
                                <w:spacing w:before="0" w:after="0" w:lineRule="auto" w:line="240"/>
                                <w:jc w:val="center"/>
                                <w:rPr/>
                              </w:pPr>
                              <w:r>
                                <w:rPr>
                                  <w:color w:val="000000"/>
                                </w:rPr>
                                <w:t>2</w:t>
                              </w:r>
                            </w:p>
                          </w:txbxContent>
                        </wps:txbx>
                        <wps:bodyPr wrap="square" lIns="0" rIns="0" tIns="0" bIns="0" anchor="ctr">
                          <a:spAutoFit/>
                        </wps:bodyPr>
                      </wps:wsp>
                      <wps:wsp>
                        <wps:cNvSpPr txBox="1"/>
                        <wps:spPr>
                          <a:xfrm>
                            <a:off x="2325240" y="260280"/>
                            <a:ext cx="304920" cy="260280"/>
                          </a:xfrm>
                          <a:prstGeom prst="rect">
                            <a:avLst/>
                          </a:prstGeom>
                          <a:solidFill>
                            <a:srgbClr val="ffffff"/>
                          </a:solidFill>
                          <a:ln w="12600">
                            <a:solidFill>
                              <a:srgbClr val="1f4d78"/>
                            </a:solidFill>
                            <a:round/>
                          </a:ln>
                        </wps:spPr>
                        <wps:txbx>
                          <w:txbxContent>
                            <w:p>
                              <w:pPr>
                                <w:overflowPunct w:val="false"/>
                                <w:spacing w:before="0" w:after="0" w:lineRule="auto" w:line="240"/>
                                <w:jc w:val="center"/>
                                <w:rPr/>
                              </w:pPr>
                              <w:r>
                                <w:rPr>
                                  <w:color w:val="000000"/>
                                </w:rPr>
                                <w:t>3</w:t>
                              </w:r>
                            </w:p>
                          </w:txbxContent>
                        </wps:txbx>
                        <wps:bodyPr wrap="square" lIns="0" rIns="0" tIns="0" bIns="0" anchor="ctr">
                          <a:spAutoFit/>
                        </wps:bodyPr>
                      </wps:wsp>
                      <wps:wsp>
                        <wps:cNvSpPr txBox="1"/>
                        <wps:spPr>
                          <a:xfrm>
                            <a:off x="2623680" y="260280"/>
                            <a:ext cx="304920" cy="260280"/>
                          </a:xfrm>
                          <a:prstGeom prst="rect">
                            <a:avLst/>
                          </a:prstGeom>
                          <a:solidFill>
                            <a:srgbClr val="ffffff"/>
                          </a:solidFill>
                          <a:ln w="12600">
                            <a:solidFill>
                              <a:srgbClr val="1f4d78"/>
                            </a:solidFill>
                            <a:round/>
                          </a:ln>
                        </wps:spPr>
                        <wps:txbx>
                          <w:txbxContent>
                            <w:p>
                              <w:pPr>
                                <w:overflowPunct w:val="false"/>
                                <w:spacing w:before="0" w:after="0" w:lineRule="auto" w:line="240"/>
                                <w:jc w:val="center"/>
                                <w:rPr/>
                              </w:pPr>
                              <w:r>
                                <w:rPr>
                                  <w:color w:val="000000"/>
                                </w:rPr>
                                <w:t>4</w:t>
                              </w:r>
                            </w:p>
                          </w:txbxContent>
                        </wps:txbx>
                        <wps:bodyPr wrap="square" lIns="0" rIns="0" tIns="0" bIns="0" anchor="ctr">
                          <a:spAutoFit/>
                        </wps:bodyPr>
                      </wps:wsp>
                      <wps:wsp>
                        <wps:cNvSpPr txBox="1"/>
                        <wps:spPr>
                          <a:xfrm>
                            <a:off x="2935080" y="260280"/>
                            <a:ext cx="304920" cy="260280"/>
                          </a:xfrm>
                          <a:prstGeom prst="rect">
                            <a:avLst/>
                          </a:prstGeom>
                          <a:solidFill>
                            <a:srgbClr val="ffffff"/>
                          </a:solidFill>
                          <a:ln w="12600">
                            <a:solidFill>
                              <a:srgbClr val="1f4d78"/>
                            </a:solidFill>
                            <a:round/>
                          </a:ln>
                        </wps:spPr>
                        <wps:txbx>
                          <w:txbxContent>
                            <w:p>
                              <w:pPr>
                                <w:overflowPunct w:val="false"/>
                                <w:spacing w:before="0" w:after="0" w:lineRule="auto" w:line="240"/>
                                <w:jc w:val="center"/>
                                <w:rPr/>
                              </w:pPr>
                              <w:r>
                                <w:rPr>
                                  <w:color w:val="000000"/>
                                </w:rPr>
                                <w:t>5</w:t>
                              </w:r>
                            </w:p>
                          </w:txbxContent>
                        </wps:txbx>
                        <wps:bodyPr wrap="square" lIns="0" rIns="0" tIns="0" bIns="0" anchor="ctr">
                          <a:spAutoFit/>
                        </wps:bodyPr>
                      </wps:wsp>
                      <wps:wsp>
                        <wps:cNvSpPr txBox="1"/>
                        <wps:spPr>
                          <a:xfrm>
                            <a:off x="3239640" y="260280"/>
                            <a:ext cx="304920" cy="247680"/>
                          </a:xfrm>
                          <a:prstGeom prst="rect">
                            <a:avLst/>
                          </a:prstGeom>
                          <a:solidFill>
                            <a:srgbClr val="ffffff"/>
                          </a:solidFill>
                          <a:ln w="12600">
                            <a:solidFill>
                              <a:srgbClr val="1f4d78"/>
                            </a:solidFill>
                            <a:round/>
                          </a:ln>
                        </wps:spPr>
                        <wps:bodyPr/>
                      </wps:wsp>
                      <wps:wsp>
                        <wps:cNvSpPr txBox="1"/>
                        <wps:spPr>
                          <a:xfrm>
                            <a:off x="3551040" y="260280"/>
                            <a:ext cx="304920" cy="247680"/>
                          </a:xfrm>
                          <a:prstGeom prst="rect">
                            <a:avLst/>
                          </a:prstGeom>
                          <a:solidFill>
                            <a:srgbClr val="ffffff"/>
                          </a:solidFill>
                          <a:ln w="12600">
                            <a:solidFill>
                              <a:srgbClr val="1f4d78"/>
                            </a:solidFill>
                            <a:round/>
                          </a:ln>
                        </wps:spPr>
                        <wps:bodyPr/>
                      </wps:wsp>
                      <wps:wsp>
                        <wps:cNvSpPr/>
                        <wps:spPr>
                          <a:xfrm>
                            <a:off x="1330920" y="800280"/>
                            <a:ext cx="59508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jc w:val="center"/>
                                <w:rPr/>
                              </w:pPr>
                              <w:r>
                                <w:rPr/>
                                <w:t>“a”: 3</w:t>
                              </w:r>
                            </w:p>
                          </w:txbxContent>
                        </wps:txbx>
                        <wps:bodyPr>
                          <a:spAutoFit/>
                        </wps:bodyPr>
                      </wps:wsp>
                      <wps:wsp>
                        <wps:cNvSpPr/>
                        <wps:spPr>
                          <a:xfrm flipV="1">
                            <a:off x="1709280" y="533520"/>
                            <a:ext cx="603360" cy="26028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txBox="1"/>
                        <wps:spPr>
                          <a:xfrm>
                            <a:off x="1398240" y="1390680"/>
                            <a:ext cx="317520" cy="254160"/>
                          </a:xfrm>
                          <a:prstGeom prst="rect">
                            <a:avLst/>
                          </a:prstGeom>
                          <a:solidFill>
                            <a:srgbClr val="ffffff"/>
                          </a:solidFill>
                          <a:ln w="12600">
                            <a:solidFill>
                              <a:srgbClr val="1f4d78"/>
                            </a:solidFill>
                            <a:round/>
                          </a:ln>
                        </wps:spPr>
                        <wps:txbx>
                          <w:txbxContent>
                            <w:p>
                              <w:pPr>
                                <w:overflowPunct w:val="false"/>
                                <w:spacing w:before="0" w:after="0" w:lineRule="auto" w:line="240"/>
                                <w:jc w:val="center"/>
                                <w:rPr/>
                              </w:pPr>
                              <w:r>
                                <w:rPr>
                                  <w:color w:val="000000"/>
                                </w:rPr>
                                <w:t>0</w:t>
                              </w:r>
                            </w:p>
                          </w:txbxContent>
                        </wps:txbx>
                        <wps:bodyPr wrap="square" lIns="0" rIns="0" tIns="0" bIns="0" anchor="ctr">
                          <a:spAutoFit/>
                        </wps:bodyPr>
                      </wps:wsp>
                      <wps:wsp>
                        <wps:cNvSpPr txBox="1"/>
                        <wps:spPr>
                          <a:xfrm>
                            <a:off x="1709280" y="1390680"/>
                            <a:ext cx="304920" cy="260280"/>
                          </a:xfrm>
                          <a:prstGeom prst="rect">
                            <a:avLst/>
                          </a:prstGeom>
                          <a:solidFill>
                            <a:srgbClr val="ffffff"/>
                          </a:solidFill>
                          <a:ln w="12600">
                            <a:solidFill>
                              <a:srgbClr val="1f4d78"/>
                            </a:solidFill>
                            <a:round/>
                          </a:ln>
                        </wps:spPr>
                        <wps:txbx>
                          <w:txbxContent>
                            <w:p>
                              <w:pPr>
                                <w:overflowPunct w:val="false"/>
                                <w:spacing w:before="0" w:after="0" w:lineRule="auto" w:line="240"/>
                                <w:jc w:val="center"/>
                                <w:rPr/>
                              </w:pPr>
                              <w:r>
                                <w:rPr>
                                  <w:color w:val="000000"/>
                                </w:rPr>
                                <w:t>1</w:t>
                              </w:r>
                            </w:p>
                          </w:txbxContent>
                        </wps:txbx>
                        <wps:bodyPr wrap="square" lIns="0" rIns="0" tIns="0" bIns="0" anchor="ctr">
                          <a:spAutoFit/>
                        </wps:bodyPr>
                      </wps:wsp>
                      <wps:wsp>
                        <wps:cNvSpPr txBox="1"/>
                        <wps:spPr>
                          <a:xfrm>
                            <a:off x="2014200" y="1390680"/>
                            <a:ext cx="304920" cy="260280"/>
                          </a:xfrm>
                          <a:prstGeom prst="rect">
                            <a:avLst/>
                          </a:prstGeom>
                          <a:solidFill>
                            <a:srgbClr val="ffffff"/>
                          </a:solidFill>
                          <a:ln w="12600">
                            <a:solidFill>
                              <a:srgbClr val="1f4d78"/>
                            </a:solidFill>
                            <a:round/>
                          </a:ln>
                        </wps:spPr>
                        <wps:txbx>
                          <w:txbxContent>
                            <w:p>
                              <w:pPr>
                                <w:overflowPunct w:val="false"/>
                                <w:spacing w:before="0" w:after="0" w:lineRule="auto" w:line="240"/>
                                <w:jc w:val="center"/>
                                <w:rPr/>
                              </w:pPr>
                              <w:r>
                                <w:rPr>
                                  <w:color w:val="000000"/>
                                </w:rPr>
                                <w:t>2</w:t>
                              </w:r>
                            </w:p>
                          </w:txbxContent>
                        </wps:txbx>
                        <wps:bodyPr wrap="square" lIns="0" rIns="0" tIns="0" bIns="0" anchor="ctr">
                          <a:spAutoFit/>
                        </wps:bodyPr>
                      </wps:wsp>
                      <wps:wsp>
                        <wps:cNvSpPr txBox="1"/>
                        <wps:spPr>
                          <a:xfrm>
                            <a:off x="2325240" y="1390680"/>
                            <a:ext cx="304920" cy="260280"/>
                          </a:xfrm>
                          <a:prstGeom prst="rect">
                            <a:avLst/>
                          </a:prstGeom>
                          <a:solidFill>
                            <a:srgbClr val="d8d8d8"/>
                          </a:solidFill>
                          <a:ln w="12600">
                            <a:solidFill>
                              <a:srgbClr val="1f4d78"/>
                            </a:solidFill>
                            <a:round/>
                          </a:ln>
                        </wps:spPr>
                        <wps:txbx>
                          <w:txbxContent>
                            <w:p>
                              <w:pPr>
                                <w:overflowPunct w:val="false"/>
                                <w:spacing w:before="0" w:after="0" w:lineRule="auto" w:line="240"/>
                                <w:jc w:val="center"/>
                                <w:rPr/>
                              </w:pPr>
                              <w:r>
                                <w:rPr>
                                  <w:color w:val="000000"/>
                                </w:rPr>
                                <w:t>3</w:t>
                              </w:r>
                            </w:p>
                          </w:txbxContent>
                        </wps:txbx>
                        <wps:bodyPr wrap="square" lIns="0" rIns="0" tIns="0" bIns="0" anchor="ctr">
                          <a:spAutoFit/>
                        </wps:bodyPr>
                      </wps:wsp>
                      <wps:wsp>
                        <wps:cNvSpPr txBox="1"/>
                        <wps:spPr>
                          <a:xfrm>
                            <a:off x="2623680" y="1390680"/>
                            <a:ext cx="304920" cy="260280"/>
                          </a:xfrm>
                          <a:prstGeom prst="rect">
                            <a:avLst/>
                          </a:prstGeom>
                          <a:solidFill>
                            <a:srgbClr val="d8d8d8"/>
                          </a:solidFill>
                          <a:ln w="12600">
                            <a:solidFill>
                              <a:srgbClr val="1f4d78"/>
                            </a:solidFill>
                            <a:round/>
                          </a:ln>
                        </wps:spPr>
                        <wps:txbx>
                          <w:txbxContent>
                            <w:p>
                              <w:pPr>
                                <w:overflowPunct w:val="false"/>
                                <w:spacing w:before="0" w:after="0" w:lineRule="auto" w:line="240"/>
                                <w:jc w:val="center"/>
                                <w:rPr/>
                              </w:pPr>
                              <w:r>
                                <w:rPr>
                                  <w:color w:val="000000"/>
                                </w:rPr>
                                <w:t>4</w:t>
                              </w:r>
                            </w:p>
                          </w:txbxContent>
                        </wps:txbx>
                        <wps:bodyPr wrap="square" lIns="0" rIns="0" tIns="0" bIns="0" anchor="ctr">
                          <a:spAutoFit/>
                        </wps:bodyPr>
                      </wps:wsp>
                      <wps:wsp>
                        <wps:cNvSpPr txBox="1"/>
                        <wps:spPr>
                          <a:xfrm>
                            <a:off x="2935080" y="1390680"/>
                            <a:ext cx="304920" cy="260280"/>
                          </a:xfrm>
                          <a:prstGeom prst="rect">
                            <a:avLst/>
                          </a:prstGeom>
                          <a:solidFill>
                            <a:srgbClr val="ffffff"/>
                          </a:solidFill>
                          <a:ln w="12600">
                            <a:solidFill>
                              <a:srgbClr val="1f4d78"/>
                            </a:solidFill>
                            <a:round/>
                          </a:ln>
                        </wps:spPr>
                        <wps:txbx>
                          <w:txbxContent>
                            <w:p>
                              <w:pPr>
                                <w:overflowPunct w:val="false"/>
                                <w:spacing w:before="0" w:after="0" w:lineRule="auto" w:line="240"/>
                                <w:jc w:val="center"/>
                                <w:rPr/>
                              </w:pPr>
                              <w:r>
                                <w:rPr>
                                  <w:color w:val="000000"/>
                                </w:rPr>
                                <w:t>5</w:t>
                              </w:r>
                            </w:p>
                          </w:txbxContent>
                        </wps:txbx>
                        <wps:bodyPr wrap="square" lIns="0" rIns="0" tIns="0" bIns="0" anchor="ctr">
                          <a:spAutoFit/>
                        </wps:bodyPr>
                      </wps:wsp>
                      <wps:wsp>
                        <wps:cNvSpPr txBox="1"/>
                        <wps:spPr>
                          <a:xfrm>
                            <a:off x="3239640" y="1390680"/>
                            <a:ext cx="304920" cy="247680"/>
                          </a:xfrm>
                          <a:prstGeom prst="rect">
                            <a:avLst/>
                          </a:prstGeom>
                          <a:solidFill>
                            <a:srgbClr val="ffffff"/>
                          </a:solidFill>
                          <a:ln w="12600">
                            <a:solidFill>
                              <a:srgbClr val="1f4d78"/>
                            </a:solidFill>
                            <a:round/>
                          </a:ln>
                        </wps:spPr>
                        <wps:bodyPr/>
                      </wps:wsp>
                      <wps:wsp>
                        <wps:cNvSpPr txBox="1"/>
                        <wps:spPr>
                          <a:xfrm>
                            <a:off x="3551040" y="1390680"/>
                            <a:ext cx="304920" cy="247680"/>
                          </a:xfrm>
                          <a:prstGeom prst="rect">
                            <a:avLst/>
                          </a:prstGeom>
                          <a:solidFill>
                            <a:srgbClr val="ffffff"/>
                          </a:solidFill>
                          <a:ln w="12600">
                            <a:solidFill>
                              <a:srgbClr val="1f4d78"/>
                            </a:solidFill>
                            <a:round/>
                          </a:ln>
                        </wps:spPr>
                        <wps:bodyPr/>
                      </wps:wsp>
                      <wps:wsp>
                        <wps:cNvSpPr/>
                        <wps:spPr>
                          <a:xfrm>
                            <a:off x="0" y="2009880"/>
                            <a:ext cx="3984120" cy="41724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jc w:val="center"/>
                                <w:rPr/>
                              </w:pPr>
                              <w:r>
                                <w:rPr/>
                                <w:t>“reg”: {“a”: 3, “rn”: 2},</w:t>
                              </w:r>
                            </w:p>
                            <w:p>
                              <w:pPr>
                                <w:overflowPunct w:val="false"/>
                                <w:spacing w:before="0" w:after="0" w:lineRule="auto" w:line="240"/>
                                <w:jc w:val="center"/>
                                <w:rPr/>
                              </w:pPr>
                              <w:r>
                                <w:rPr/>
                                <w:t>表示整个资源对应起始地址为3并且数目为2的的寄存器区域</w:t>
                              </w:r>
                            </w:p>
                          </w:txbxContent>
                        </wps:txbx>
                        <wps:bodyPr>
                          <a:spAutoFit/>
                        </wps:bodyPr>
                      </wps:wsp>
                      <wps:wsp>
                        <wps:cNvSpPr/>
                        <wps:spPr>
                          <a:xfrm flipV="1">
                            <a:off x="2078280" y="1663560"/>
                            <a:ext cx="235080" cy="42552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1990080" y="2095560"/>
                            <a:ext cx="506664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w="6480">
                            <a:solidFill>
                              <a:srgbClr val="000000"/>
                            </a:solidFill>
                            <a:miter/>
                          </a:ln>
                        </wps:spPr>
                        <wps:style>
                          <a:lnRef idx="0"/>
                          <a:fillRef idx="0"/>
                          <a:effectRef idx="0"/>
                          <a:fontRef idx="minor"/>
                        </wps:style>
                        <wps:txbx>
                          <w:txbxContent>
                            <w:p>
                              <w:pPr>
                                <w:overflowPunct w:val="false"/>
                                <w:spacing w:before="0" w:after="0" w:lineRule="auto" w:line="240"/>
                                <w:jc w:val="center"/>
                                <w:rPr/>
                              </w:pPr>
                              <w:r>
                                <w:rPr/>
                                <w:t>“o”: 1 (表示在reg块中的位置，这里实际的物理寄存器地址为reg.a + o = 4</w:t>
                              </w:r>
                            </w:p>
                          </w:txbxContent>
                        </wps:txbx>
                        <wps:bodyPr>
                          <a:spAutoFit/>
                        </wps:bodyPr>
                      </wps:wsp>
                      <wps:wsp>
                        <wps:cNvSpPr/>
                        <wps:spPr>
                          <a:xfrm>
                            <a:off x="2662560" y="1670040"/>
                            <a:ext cx="1111320" cy="41904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wps:wsp>
                        <wps:cNvSpPr/>
                        <wps:spPr>
                          <a:xfrm>
                            <a:off x="2871360" y="733320"/>
                            <a:ext cx="2712600" cy="2545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t>表示该属性对应到地址为3的物理寄存器</w:t>
                              </w:r>
                            </w:p>
                          </w:txbxContent>
                        </wps:txbx>
                        <wps:bodyPr>
                          <a:spAutoFit/>
                        </wps:bodyPr>
                      </wps:wsp>
                    </wpg:wgp>
                  </a:graphicData>
                </a:graphic>
              </wp:inline>
            </w:drawing>
          </mc:Choice>
          <mc:Fallback>
            <w:pict>
              <v:group id="shape_0" alt="Canvas 3" editas="canvas" style="margin-left:0pt;margin-top:0pt;width:555.65pt;height:228pt" coordorigin="0,0" coordsize="11113,4560">
                <v:rect id="shape_0" stroked="f" style="position:absolute;left:1142;top:0;width:8639;height:4559">
                  <w10:wrap type="none"/>
                  <v:fill o:detectmouseclick="t" on="false"/>
                  <v:stroke color="#3465a4" joinstyle="round" endcap="flat"/>
                </v:rect>
                <v:shapetype id="shapetype_202" coordsize="21600,21600" o:spt="202" path="m,l,21600l21600,21600l21600,xe">
                  <v:stroke joinstyle="miter"/>
                  <v:path gradientshapeok="t" o:connecttype="rect"/>
                </v:shapetype>
                <v:shape id="shape_0" ID="Rectangle 19" fillcolor="white" stroked="t" style="position:absolute;left:2202;top:410;width:499;height:399" type="shapetype_202">
                  <v:textbox>
                    <w:txbxContent>
                      <w:p>
                        <w:pPr>
                          <w:overflowPunct w:val="false"/>
                          <w:spacing w:before="0" w:after="0" w:lineRule="auto" w:line="240"/>
                          <w:jc w:val="center"/>
                          <w:rPr/>
                        </w:pPr>
                        <w:r>
                          <w:rPr>
                            <w:color w:val="000000"/>
                          </w:rPr>
                          <w:t>0</w:t>
                        </w:r>
                      </w:p>
                    </w:txbxContent>
                  </v:textbox>
                  <w10:wrap type="square"/>
                  <v:fill o:detectmouseclick="t" type="solid" color2="black"/>
                  <v:stroke color="#1f4d78" weight="12600" joinstyle="round" endcap="flat"/>
                </v:shape>
                <v:shape id="shape_0" ID="Rectangle 20" fillcolor="white" stroked="t" style="position:absolute;left:2692;top:410;width:479;height:409" type="shapetype_202">
                  <v:textbox>
                    <w:txbxContent>
                      <w:p>
                        <w:pPr>
                          <w:overflowPunct w:val="false"/>
                          <w:spacing w:before="0" w:after="0" w:lineRule="auto" w:line="240"/>
                          <w:jc w:val="center"/>
                          <w:rPr/>
                        </w:pPr>
                        <w:r>
                          <w:rPr>
                            <w:color w:val="000000"/>
                          </w:rPr>
                          <w:t>1</w:t>
                        </w:r>
                      </w:p>
                    </w:txbxContent>
                  </v:textbox>
                  <w10:wrap type="square"/>
                  <v:fill o:detectmouseclick="t" type="solid" color2="black"/>
                  <v:stroke color="#1f4d78" weight="12600" joinstyle="round" endcap="flat"/>
                </v:shape>
                <v:shape id="shape_0" ID="Rectangle 21" fillcolor="white" stroked="t" style="position:absolute;left:3172;top:410;width:479;height:409" type="shapetype_202">
                  <v:textbox>
                    <w:txbxContent>
                      <w:p>
                        <w:pPr>
                          <w:overflowPunct w:val="false"/>
                          <w:spacing w:before="0" w:after="0" w:lineRule="auto" w:line="240"/>
                          <w:jc w:val="center"/>
                          <w:rPr/>
                        </w:pPr>
                        <w:r>
                          <w:rPr>
                            <w:color w:val="000000"/>
                          </w:rPr>
                          <w:t>2</w:t>
                        </w:r>
                      </w:p>
                    </w:txbxContent>
                  </v:textbox>
                  <w10:wrap type="square"/>
                  <v:fill o:detectmouseclick="t" type="solid" color2="black"/>
                  <v:stroke color="#1f4d78" weight="12600" joinstyle="round" endcap="flat"/>
                </v:shape>
                <v:shape id="shape_0" ID="Rectangle 22" fillcolor="white" stroked="t" style="position:absolute;left:3662;top:410;width:479;height:409" type="shapetype_202">
                  <v:textbox>
                    <w:txbxContent>
                      <w:p>
                        <w:pPr>
                          <w:overflowPunct w:val="false"/>
                          <w:spacing w:before="0" w:after="0" w:lineRule="auto" w:line="240"/>
                          <w:jc w:val="center"/>
                          <w:rPr/>
                        </w:pPr>
                        <w:r>
                          <w:rPr>
                            <w:color w:val="000000"/>
                          </w:rPr>
                          <w:t>3</w:t>
                        </w:r>
                      </w:p>
                    </w:txbxContent>
                  </v:textbox>
                  <w10:wrap type="square"/>
                  <v:fill o:detectmouseclick="t" type="solid" color2="black"/>
                  <v:stroke color="#1f4d78" weight="12600" joinstyle="round" endcap="flat"/>
                </v:shape>
                <v:shape id="shape_0" ID="Rectangle 23" fillcolor="white" stroked="t" style="position:absolute;left:4132;top:410;width:479;height:409" type="shapetype_202">
                  <v:textbox>
                    <w:txbxContent>
                      <w:p>
                        <w:pPr>
                          <w:overflowPunct w:val="false"/>
                          <w:spacing w:before="0" w:after="0" w:lineRule="auto" w:line="240"/>
                          <w:jc w:val="center"/>
                          <w:rPr/>
                        </w:pPr>
                        <w:r>
                          <w:rPr>
                            <w:color w:val="000000"/>
                          </w:rPr>
                          <w:t>4</w:t>
                        </w:r>
                      </w:p>
                    </w:txbxContent>
                  </v:textbox>
                  <w10:wrap type="square"/>
                  <v:fill o:detectmouseclick="t" type="solid" color2="black"/>
                  <v:stroke color="#1f4d78" weight="12600" joinstyle="round" endcap="flat"/>
                </v:shape>
                <v:shape id="shape_0" ID="Rectangle 24" fillcolor="white" stroked="t" style="position:absolute;left:4622;top:410;width:479;height:409" type="shapetype_202">
                  <v:textbox>
                    <w:txbxContent>
                      <w:p>
                        <w:pPr>
                          <w:overflowPunct w:val="false"/>
                          <w:spacing w:before="0" w:after="0" w:lineRule="auto" w:line="240"/>
                          <w:jc w:val="center"/>
                          <w:rPr/>
                        </w:pPr>
                        <w:r>
                          <w:rPr>
                            <w:color w:val="000000"/>
                          </w:rPr>
                          <w:t>5</w:t>
                        </w:r>
                      </w:p>
                    </w:txbxContent>
                  </v:textbox>
                  <w10:wrap type="square"/>
                  <v:fill o:detectmouseclick="t" type="solid" color2="black"/>
                  <v:stroke color="#1f4d78" weight="12600" joinstyle="round" endcap="flat"/>
                </v:shape>
                <v:shape id="shape_0" ID="Rectangle 25" fillcolor="white" stroked="t" style="position:absolute;left:5102;top:410;width:479;height:389" type="shapetype_202">
                  <w10:wrap type="none"/>
                  <v:fill o:detectmouseclick="t" type="solid" color2="black"/>
                  <v:stroke color="#1f4d78" weight="12600" joinstyle="round" endcap="flat"/>
                </v:shape>
                <v:shape id="shape_0" ID="Rectangle 26" fillcolor="white" stroked="t" style="position:absolute;left:5592;top:410;width:479;height:389" type="shapetype_202">
                  <w10:wrap type="none"/>
                  <v:fill o:detectmouseclick="t" type="solid" color2="black"/>
                  <v:stroke color="#1f4d78" weight="12600" joinstyle="round" endcap="flat"/>
                </v:shape>
                <v:shape id="shape_0" ID="Text Box 27" fillcolor="white" stroked="t" style="position:absolute;left:2096;top:1260;width:936;height:400" type="shapetype_202">
                  <v:textbox>
                    <w:txbxContent>
                      <w:p>
                        <w:pPr>
                          <w:overflowPunct w:val="false"/>
                          <w:spacing w:before="0" w:after="0" w:lineRule="auto" w:line="240"/>
                          <w:jc w:val="center"/>
                          <w:rPr/>
                        </w:pPr>
                        <w:r>
                          <w:rPr/>
                          <w:t>“a”: 3</w:t>
                        </w:r>
                      </w:p>
                    </w:txbxContent>
                  </v:textbox>
                  <w10:wrap type="none"/>
                  <v:fill o:detectmouseclick="t" type="solid" color2="black"/>
                  <v:stroke color="black" weight="6480" joinstyle="miter" endcap="flat"/>
                </v:shape>
                <v:shapetype id="shapetype_32" coordsize="21600,21600" o:spt="32" path="m,l21600,21600nfe">
                  <v:stroke joinstyle="miter"/>
                  <v:path gradientshapeok="t" o:connecttype="rect" textboxrect="0,0,21600,21600"/>
                </v:shapetype>
                <v:shape id="shape_0" ID="Straight Arrow Connector 28" stroked="t" style="position:absolute;left:2692;top:840;width:949;height:409;flip:y" type="shapetype_32">
                  <w10:wrap type="none"/>
                  <v:fill o:detectmouseclick="t" on="false"/>
                  <v:stroke color="#5b9bd5" weight="6480" endarrow="block" endarrowwidth="medium" endarrowlength="medium" joinstyle="miter" endcap="flat"/>
                </v:shape>
                <v:shape id="shape_0" ID="Rectangle 29" fillcolor="white" stroked="t" style="position:absolute;left:2202;top:2190;width:499;height:399" type="shapetype_202">
                  <v:textbox>
                    <w:txbxContent>
                      <w:p>
                        <w:pPr>
                          <w:overflowPunct w:val="false"/>
                          <w:spacing w:before="0" w:after="0" w:lineRule="auto" w:line="240"/>
                          <w:jc w:val="center"/>
                          <w:rPr/>
                        </w:pPr>
                        <w:r>
                          <w:rPr>
                            <w:color w:val="000000"/>
                          </w:rPr>
                          <w:t>0</w:t>
                        </w:r>
                      </w:p>
                    </w:txbxContent>
                  </v:textbox>
                  <w10:wrap type="square"/>
                  <v:fill o:detectmouseclick="t" type="solid" color2="black"/>
                  <v:stroke color="#1f4d78" weight="12600" joinstyle="round" endcap="flat"/>
                </v:shape>
                <v:shape id="shape_0" ID="Rectangle 30" fillcolor="white" stroked="t" style="position:absolute;left:2692;top:2190;width:479;height:409" type="shapetype_202">
                  <v:textbox>
                    <w:txbxContent>
                      <w:p>
                        <w:pPr>
                          <w:overflowPunct w:val="false"/>
                          <w:spacing w:before="0" w:after="0" w:lineRule="auto" w:line="240"/>
                          <w:jc w:val="center"/>
                          <w:rPr/>
                        </w:pPr>
                        <w:r>
                          <w:rPr>
                            <w:color w:val="000000"/>
                          </w:rPr>
                          <w:t>1</w:t>
                        </w:r>
                      </w:p>
                    </w:txbxContent>
                  </v:textbox>
                  <w10:wrap type="square"/>
                  <v:fill o:detectmouseclick="t" type="solid" color2="black"/>
                  <v:stroke color="#1f4d78" weight="12600" joinstyle="round" endcap="flat"/>
                </v:shape>
                <v:shape id="shape_0" ID="Rectangle 31" fillcolor="white" stroked="t" style="position:absolute;left:3172;top:2190;width:479;height:409" type="shapetype_202">
                  <v:textbox>
                    <w:txbxContent>
                      <w:p>
                        <w:pPr>
                          <w:overflowPunct w:val="false"/>
                          <w:spacing w:before="0" w:after="0" w:lineRule="auto" w:line="240"/>
                          <w:jc w:val="center"/>
                          <w:rPr/>
                        </w:pPr>
                        <w:r>
                          <w:rPr>
                            <w:color w:val="000000"/>
                          </w:rPr>
                          <w:t>2</w:t>
                        </w:r>
                      </w:p>
                    </w:txbxContent>
                  </v:textbox>
                  <w10:wrap type="square"/>
                  <v:fill o:detectmouseclick="t" type="solid" color2="black"/>
                  <v:stroke color="#1f4d78" weight="12600" joinstyle="round" endcap="flat"/>
                </v:shape>
                <v:shape id="shape_0" ID="Rectangle 32" fillcolor="#d8d8d8" stroked="t" style="position:absolute;left:3662;top:2190;width:479;height:409" type="shapetype_202">
                  <v:textbox>
                    <w:txbxContent>
                      <w:p>
                        <w:pPr>
                          <w:overflowPunct w:val="false"/>
                          <w:spacing w:before="0" w:after="0" w:lineRule="auto" w:line="240"/>
                          <w:jc w:val="center"/>
                          <w:rPr/>
                        </w:pPr>
                        <w:r>
                          <w:rPr>
                            <w:color w:val="000000"/>
                          </w:rPr>
                          <w:t>3</w:t>
                        </w:r>
                      </w:p>
                    </w:txbxContent>
                  </v:textbox>
                  <w10:wrap type="square"/>
                  <v:fill o:detectmouseclick="t" type="solid" color2="#272727"/>
                  <v:stroke color="#1f4d78" weight="12600" joinstyle="round" endcap="flat"/>
                </v:shape>
                <v:shape id="shape_0" ID="Rectangle 33" fillcolor="#d8d8d8" stroked="t" style="position:absolute;left:4132;top:2190;width:479;height:409" type="shapetype_202">
                  <v:textbox>
                    <w:txbxContent>
                      <w:p>
                        <w:pPr>
                          <w:overflowPunct w:val="false"/>
                          <w:spacing w:before="0" w:after="0" w:lineRule="auto" w:line="240"/>
                          <w:jc w:val="center"/>
                          <w:rPr/>
                        </w:pPr>
                        <w:r>
                          <w:rPr>
                            <w:color w:val="000000"/>
                          </w:rPr>
                          <w:t>4</w:t>
                        </w:r>
                      </w:p>
                    </w:txbxContent>
                  </v:textbox>
                  <w10:wrap type="square"/>
                  <v:fill o:detectmouseclick="t" type="solid" color2="#272727"/>
                  <v:stroke color="#1f4d78" weight="12600" joinstyle="round" endcap="flat"/>
                </v:shape>
                <v:shape id="shape_0" ID="Rectangle 34" fillcolor="white" stroked="t" style="position:absolute;left:4622;top:2190;width:479;height:409" type="shapetype_202">
                  <v:textbox>
                    <w:txbxContent>
                      <w:p>
                        <w:pPr>
                          <w:overflowPunct w:val="false"/>
                          <w:spacing w:before="0" w:after="0" w:lineRule="auto" w:line="240"/>
                          <w:jc w:val="center"/>
                          <w:rPr/>
                        </w:pPr>
                        <w:r>
                          <w:rPr>
                            <w:color w:val="000000"/>
                          </w:rPr>
                          <w:t>5</w:t>
                        </w:r>
                      </w:p>
                    </w:txbxContent>
                  </v:textbox>
                  <w10:wrap type="square"/>
                  <v:fill o:detectmouseclick="t" type="solid" color2="black"/>
                  <v:stroke color="#1f4d78" weight="12600" joinstyle="round" endcap="flat"/>
                </v:shape>
                <v:shape id="shape_0" ID="Rectangle 35" fillcolor="white" stroked="t" style="position:absolute;left:5102;top:2190;width:479;height:389" type="shapetype_202">
                  <w10:wrap type="none"/>
                  <v:fill o:detectmouseclick="t" type="solid" color2="black"/>
                  <v:stroke color="#1f4d78" weight="12600" joinstyle="round" endcap="flat"/>
                </v:shape>
                <v:shape id="shape_0" ID="Rectangle 36" fillcolor="white" stroked="t" style="position:absolute;left:5592;top:2190;width:479;height:389" type="shapetype_202">
                  <w10:wrap type="none"/>
                  <v:fill o:detectmouseclick="t" type="solid" color2="black"/>
                  <v:stroke color="#1f4d78" weight="12600" joinstyle="round" endcap="flat"/>
                </v:shape>
                <v:shape id="shape_0" ID="Text Box 37" fillcolor="white" stroked="t" style="position:absolute;left:0;top:3165;width:6273;height:656" type="shapetype_202">
                  <v:textbox>
                    <w:txbxContent>
                      <w:p>
                        <w:pPr>
                          <w:overflowPunct w:val="false"/>
                          <w:spacing w:before="0" w:after="0" w:lineRule="auto" w:line="240"/>
                          <w:jc w:val="center"/>
                          <w:rPr/>
                        </w:pPr>
                        <w:r>
                          <w:rPr/>
                          <w:t>“reg”: {“a”: 3, “rn”: 2},</w:t>
                        </w:r>
                      </w:p>
                      <w:p>
                        <w:pPr>
                          <w:overflowPunct w:val="false"/>
                          <w:spacing w:before="0" w:after="0" w:lineRule="auto" w:line="240"/>
                          <w:jc w:val="center"/>
                          <w:rPr/>
                        </w:pPr>
                        <w:r>
                          <w:rPr/>
                          <w:t>表示整个资源对应起始地址为3并且数目为2的的寄存器区域</w:t>
                        </w:r>
                      </w:p>
                    </w:txbxContent>
                  </v:textbox>
                  <w10:wrap type="none"/>
                  <v:fill o:detectmouseclick="t" type="solid" color2="black"/>
                  <v:stroke color="black" weight="6480" joinstyle="miter" endcap="flat"/>
                </v:shape>
                <v:shape id="shape_0" ID="Straight Arrow Connector 38" stroked="t" style="position:absolute;left:3273;top:2620;width:369;height:669;flip:y" type="shapetype_32">
                  <w10:wrap type="none"/>
                  <v:fill o:detectmouseclick="t" on="false"/>
                  <v:stroke color="#5b9bd5" weight="6480" endarrow="block" endarrowwidth="medium" endarrowlength="medium" joinstyle="miter" endcap="flat"/>
                </v:shape>
                <v:shape id="shape_0" ID="Text Box 39" fillcolor="white" stroked="t" style="position:absolute;left:3134;top:3300;width:7978;height:400" type="shapetype_202">
                  <v:textbox>
                    <w:txbxContent>
                      <w:p>
                        <w:pPr>
                          <w:overflowPunct w:val="false"/>
                          <w:spacing w:before="0" w:after="0" w:lineRule="auto" w:line="240"/>
                          <w:jc w:val="center"/>
                          <w:rPr/>
                        </w:pPr>
                        <w:r>
                          <w:rPr/>
                          <w:t>“o”: 1 (表示在reg块中的位置，这里实际的物理寄存器地址为reg.a + o = 4</w:t>
                        </w:r>
                      </w:p>
                    </w:txbxContent>
                  </v:textbox>
                  <w10:wrap type="none"/>
                  <v:fill o:detectmouseclick="t" type="solid" color2="black"/>
                  <v:stroke color="black" weight="6480" joinstyle="miter" endcap="flat"/>
                </v:shape>
                <v:shape id="shape_0" ID="Straight Arrow Connector 40" stroked="t" style="position:absolute;left:4193;top:2630;width:1749;height:659" type="shapetype_32">
                  <w10:wrap type="none"/>
                  <v:fill o:detectmouseclick="t" on="false"/>
                  <v:stroke color="#5b9bd5" weight="6480" endarrow="block" endarrowwidth="medium" endarrowlength="medium" joinstyle="miter" endcap="flat"/>
                </v:shape>
                <v:shape id="shape_0" ID="Text Box 41" fillcolor="white" stroked="f" style="position:absolute;left:4522;top:1155;width:4271;height:400" type="shapetype_202">
                  <v:textbox>
                    <w:txbxContent>
                      <w:p>
                        <w:pPr>
                          <w:overflowPunct w:val="false"/>
                          <w:spacing w:before="0" w:after="0" w:lineRule="auto" w:line="240"/>
                          <w:jc w:val="center"/>
                          <w:rPr/>
                        </w:pPr>
                        <w:r>
                          <w:rPr/>
                          <w:t>表示该属性对应到地址为3的物理寄存器</w:t>
                        </w:r>
                      </w:p>
                    </w:txbxContent>
                  </v:textbox>
                  <w10:wrap type="none"/>
                  <v:fill o:detectmouseclick="t" type="solid" color2="black"/>
                  <v:stroke color="#3465a4" joinstyle="round" endcap="flat"/>
                </v:shape>
              </v:group>
            </w:pict>
          </mc:Fallback>
        </mc:AlternateContent>
      </w:r>
    </w:p>
    <w:p>
      <w:pPr>
        <w:pStyle w:val="Normal"/>
        <w:tabs>
          <w:tab w:val="left" w:pos="3020" w:leader="none"/>
        </w:tabs>
        <w:rPr/>
      </w:pPr>
      <w:r>
        <w:rPr/>
        <w:t>对于每一个属性定义只能选择以下其中一种方式。</w:t>
      </w:r>
    </w:p>
    <w:p>
      <w:pPr>
        <w:pStyle w:val="Normal"/>
        <w:tabs>
          <w:tab w:val="left" w:pos="3020" w:leader="none"/>
        </w:tabs>
        <w:rPr/>
      </w:pPr>
      <w:r>
        <w:rPr/>
      </w:r>
    </w:p>
    <w:p>
      <w:pPr>
        <w:pStyle w:val="Normal"/>
        <w:tabs>
          <w:tab w:val="left" w:pos="3020" w:leader="none"/>
        </w:tabs>
        <w:rPr/>
      </w:pPr>
      <w:r>
        <w:rPr/>
      </w:r>
    </w:p>
    <w:p>
      <w:pPr>
        <w:pStyle w:val="Normal"/>
        <w:tabs>
          <w:tab w:val="left" w:pos="3020" w:leader="none"/>
        </w:tabs>
        <w:rPr/>
      </w:pPr>
      <w:r>
        <w:rPr/>
        <w:t>下面为</w:t>
      </w:r>
      <w:r>
        <w:rPr/>
        <w:t>modbus_meta.cfg</w:t>
      </w:r>
      <w:r>
        <w:rPr/>
        <w:t>的格式定义：</w:t>
      </w:r>
    </w:p>
    <w:tbl>
      <w:tblPr>
        <w:tblStyle w:val="TableGrid"/>
        <w:tblW w:w="8630" w:type="dxa"/>
        <w:jc w:val="left"/>
        <w:tblInd w:w="0" w:type="dxa"/>
        <w:tblCellMar>
          <w:top w:w="0" w:type="dxa"/>
          <w:left w:w="108" w:type="dxa"/>
          <w:bottom w:w="0" w:type="dxa"/>
          <w:right w:w="108" w:type="dxa"/>
        </w:tblCellMar>
        <w:tblLook w:val="04a0" w:noVBand="1" w:noHBand="0" w:firstRow="1" w:lastRow="0" w:firstColumn="1" w:lastColumn="0"/>
      </w:tblPr>
      <w:tblGrid>
        <w:gridCol w:w="3396"/>
        <w:gridCol w:w="5233"/>
      </w:tblGrid>
      <w:tr>
        <w:trPr/>
        <w:tc>
          <w:tcPr>
            <w:tcW w:w="3396" w:type="dxa"/>
            <w:tcBorders/>
            <w:shd w:fill="auto" w:val="clear"/>
            <w:tcMar>
              <w:left w:w="108" w:type="dxa"/>
            </w:tcMar>
          </w:tcPr>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 xml:space="preserve">"v"  : 1,           </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"dt" : " control.T.yitai.yt-485 ",</w:t>
            </w:r>
          </w:p>
          <w:p>
            <w:pPr>
              <w:pStyle w:val="Normal"/>
              <w:spacing w:lineRule="auto" w:line="240" w:before="0" w:after="0"/>
              <w:ind w:firstLine="216"/>
              <w:rPr/>
            </w:pPr>
            <w:r>
              <w:rPr>
                <w:rFonts w:cs="Microsoft New Tai Lue" w:ascii="Microsoft New Tai Lue" w:hAnsi="Microsoft New Tai Lue"/>
                <w:sz w:val="20"/>
                <w:szCs w:val="20"/>
              </w:rPr>
              <w:t>"ds" "</w:t>
            </w:r>
            <w:r>
              <w:rPr>
                <w:rFonts w:cs="Microsoft New Tai Lue" w:ascii="Microsoft New Tai Lue" w:hAnsi="Microsoft New Tai Lue"/>
                <w:sz w:val="20"/>
                <w:szCs w:val="20"/>
              </w:rPr>
              <w:t>This is a description</w:t>
            </w:r>
            <w:r>
              <w:rPr>
                <w:rFonts w:cs="Microsoft New Tai Lue" w:ascii="Microsoft New Tai Lue" w:hAnsi="Microsoft New Tai Lue"/>
                <w:sz w:val="20"/>
                <w:szCs w:val="20"/>
              </w:rPr>
              <w:t>",</w:t>
            </w:r>
          </w:p>
          <w:p>
            <w:pPr>
              <w:pStyle w:val="Normal"/>
              <w:spacing w:lineRule="auto" w:line="240" w:before="0" w:after="0"/>
              <w:ind w:firstLine="216"/>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 xml:space="preserve">"ping" :            </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 xml:space="preserve">"f": 4,         </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 xml:space="preserve">"r": 1,          </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 xml:space="preserve">"i":  30  </w:t>
            </w:r>
          </w:p>
          <w:p>
            <w:pPr>
              <w:pStyle w:val="Normal"/>
              <w:spacing w:lineRule="auto" w:line="240" w:before="0" w:after="0"/>
              <w:ind w:firstLine="216"/>
              <w:rPr>
                <w:rFonts w:ascii="Microsoft New Tai Lue" w:hAnsi="Microsoft New Tai Lue" w:cs="Microsoft New Tai Lue"/>
                <w:sz w:val="20"/>
                <w:szCs w:val="20"/>
              </w:rPr>
            </w:pPr>
            <w:r>
              <w:rPr>
                <w:rFonts w:cs="Microsoft New Tai Lue" w:ascii="Microsoft New Tai Lue" w:hAnsi="Microsoft New Tai Lue"/>
                <w:sz w:val="20"/>
                <w:szCs w:val="20"/>
              </w:rPr>
              <w:t>},</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"links": [</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"h":"/t",</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"rt":[</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"oic.r.temperature"</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 xml:space="preserve">"reg":              </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 xml:space="preserve">"fc": [4,6],     </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 xml:space="preserve">"a": 1,        </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 xml:space="preserve">"rn": 1,        </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 xml:space="preserve">"instances": 10,  </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"p":[</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"n":"temperature",</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"fc":[</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3</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"rn":1,</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"multiplier":0.1,</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"a":4097</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"h":"/on-off",</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"rt":[</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"modbus.yitai.yt485"</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"p":[</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"n":"current",</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"vt":"f",</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"fc":[</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3</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"rn":2,</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"o": 4,</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"c": "abcd"</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r>
              <w:rPr>
                <w:rFonts w:cs="Microsoft New Tai Lue" w:ascii="Microsoft New Tai Lue" w:hAnsi="Microsoft New Tai Lue"/>
                <w:sz w:val="20"/>
                <w:szCs w:val="20"/>
              </w:rPr>
              <w:t>]</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tc>
        <w:tc>
          <w:tcPr>
            <w:tcW w:w="5233" w:type="dxa"/>
            <w:tcBorders/>
            <w:shd w:fill="auto" w:val="clear"/>
            <w:tcMar>
              <w:left w:w="108" w:type="dxa"/>
            </w:tcMar>
          </w:tcPr>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w:t>
            </w:r>
            <w:r>
              <w:rPr>
                <w:rFonts w:cs="Microsoft New Tai Lue" w:ascii="Microsoft New Tai Lue" w:hAnsi="Microsoft New Tai Lue"/>
                <w:b/>
                <w:sz w:val="20"/>
                <w:szCs w:val="20"/>
              </w:rPr>
              <w:t>v</w:t>
            </w:r>
            <w:r>
              <w:rPr>
                <w:rFonts w:cs="Microsoft New Tai Lue" w:ascii="Microsoft New Tai Lue" w:hAnsi="Microsoft New Tai Lue"/>
                <w:sz w:val="20"/>
                <w:szCs w:val="20"/>
              </w:rPr>
              <w:t>”: format version</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w:t>
            </w:r>
            <w:r>
              <w:rPr>
                <w:rFonts w:cs="Microsoft New Tai Lue" w:ascii="Microsoft New Tai Lue" w:hAnsi="Microsoft New Tai Lue"/>
                <w:b/>
                <w:sz w:val="20"/>
                <w:szCs w:val="20"/>
              </w:rPr>
              <w:t>dt</w:t>
            </w:r>
            <w:r>
              <w:rPr>
                <w:rFonts w:cs="Microsoft New Tai Lue" w:ascii="Microsoft New Tai Lue" w:hAnsi="Microsoft New Tai Lue"/>
                <w:sz w:val="20"/>
                <w:szCs w:val="20"/>
              </w:rPr>
              <w:t xml:space="preserve">”: </w:t>
            </w:r>
            <w:r>
              <w:rPr>
                <w:rFonts w:ascii="Microsoft New Tai Lue" w:hAnsi="Microsoft New Tai Lue" w:cs="Microsoft New Tai Lue"/>
                <w:sz w:val="20"/>
                <w:szCs w:val="20"/>
              </w:rPr>
              <w:t>此</w:t>
            </w:r>
            <w:r>
              <w:rPr>
                <w:rFonts w:cs="Microsoft New Tai Lue" w:ascii="Microsoft New Tai Lue" w:hAnsi="Microsoft New Tai Lue"/>
                <w:sz w:val="20"/>
                <w:szCs w:val="20"/>
              </w:rPr>
              <w:t>MODBUS</w:t>
            </w:r>
            <w:r>
              <w:rPr>
                <w:rFonts w:ascii="Microsoft New Tai Lue" w:hAnsi="Microsoft New Tai Lue" w:cs="Microsoft New Tai Lue"/>
                <w:sz w:val="20"/>
                <w:szCs w:val="20"/>
              </w:rPr>
              <w:t>设备类型名称</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 xml:space="preserve"> </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w:t>
            </w:r>
            <w:r>
              <w:rPr>
                <w:rFonts w:cs="Microsoft New Tai Lue" w:ascii="Microsoft New Tai Lue" w:hAnsi="Microsoft New Tai Lue"/>
                <w:b/>
                <w:sz w:val="20"/>
                <w:szCs w:val="20"/>
              </w:rPr>
              <w:t>ping</w:t>
            </w:r>
            <w:r>
              <w:rPr>
                <w:rFonts w:cs="Microsoft New Tai Lue" w:ascii="Microsoft New Tai Lue" w:hAnsi="Microsoft New Tai Lue"/>
                <w:sz w:val="20"/>
                <w:szCs w:val="20"/>
              </w:rPr>
              <w:t>”</w:t>
            </w:r>
            <w:r>
              <w:rPr>
                <w:rFonts w:ascii="Microsoft New Tai Lue" w:hAnsi="Microsoft New Tai Lue" w:cs="Microsoft New Tai Lue"/>
                <w:sz w:val="20"/>
                <w:szCs w:val="20"/>
              </w:rPr>
              <w:t>字段可选。用于检测设备是否在线的寄存器配置，“</w:t>
            </w:r>
            <w:r>
              <w:rPr>
                <w:rFonts w:cs="Microsoft New Tai Lue" w:ascii="Microsoft New Tai Lue" w:hAnsi="Microsoft New Tai Lue"/>
                <w:sz w:val="20"/>
                <w:szCs w:val="20"/>
              </w:rPr>
              <w:t>f”</w:t>
            </w:r>
            <w:r>
              <w:rPr>
                <w:rFonts w:ascii="Microsoft New Tai Lue" w:hAnsi="Microsoft New Tai Lue" w:cs="Microsoft New Tai Lue"/>
                <w:sz w:val="20"/>
                <w:szCs w:val="20"/>
              </w:rPr>
              <w:t>是功能码，“</w:t>
            </w:r>
            <w:r>
              <w:rPr>
                <w:rFonts w:cs="Microsoft New Tai Lue" w:ascii="Microsoft New Tai Lue" w:hAnsi="Microsoft New Tai Lue"/>
                <w:sz w:val="20"/>
                <w:szCs w:val="20"/>
              </w:rPr>
              <w:t>r”</w:t>
            </w:r>
            <w:r>
              <w:rPr>
                <w:rFonts w:ascii="Microsoft New Tai Lue" w:hAnsi="Microsoft New Tai Lue" w:cs="Microsoft New Tai Lue"/>
                <w:sz w:val="20"/>
                <w:szCs w:val="20"/>
              </w:rPr>
              <w:t>是</w:t>
            </w:r>
            <w:r>
              <w:rPr>
                <w:rFonts w:cs="Microsoft New Tai Lue" w:ascii="Microsoft New Tai Lue" w:hAnsi="Microsoft New Tai Lue"/>
                <w:sz w:val="20"/>
                <w:szCs w:val="20"/>
              </w:rPr>
              <w:t>MODBUS</w:t>
            </w:r>
            <w:r>
              <w:rPr>
                <w:rFonts w:ascii="Microsoft New Tai Lue" w:hAnsi="Microsoft New Tai Lue" w:cs="Microsoft New Tai Lue"/>
                <w:sz w:val="20"/>
                <w:szCs w:val="20"/>
              </w:rPr>
              <w:t>寄存器地址，“</w:t>
            </w:r>
            <w:r>
              <w:rPr>
                <w:rFonts w:cs="Microsoft New Tai Lue" w:ascii="Microsoft New Tai Lue" w:hAnsi="Microsoft New Tai Lue"/>
                <w:sz w:val="20"/>
                <w:szCs w:val="20"/>
              </w:rPr>
              <w:t>i”</w:t>
            </w:r>
            <w:r>
              <w:rPr>
                <w:rFonts w:ascii="Microsoft New Tai Lue" w:hAnsi="Microsoft New Tai Lue" w:cs="Microsoft New Tai Lue"/>
                <w:sz w:val="20"/>
                <w:szCs w:val="20"/>
              </w:rPr>
              <w:t>是的时间间隔（秒）。如果</w:t>
            </w:r>
            <w:r>
              <w:rPr>
                <w:rFonts w:cs="Microsoft New Tai Lue" w:ascii="Microsoft New Tai Lue" w:hAnsi="Microsoft New Tai Lue"/>
                <w:sz w:val="20"/>
                <w:szCs w:val="20"/>
              </w:rPr>
              <w:t>ping</w:t>
            </w:r>
            <w:r>
              <w:rPr>
                <w:rFonts w:ascii="Microsoft New Tai Lue" w:hAnsi="Microsoft New Tai Lue" w:cs="Microsoft New Tai Lue"/>
                <w:sz w:val="20"/>
                <w:szCs w:val="20"/>
              </w:rPr>
              <w:t>字段不存在，设备永远处于在线状态</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w:t>
            </w:r>
            <w:r>
              <w:rPr>
                <w:rFonts w:cs="Microsoft New Tai Lue" w:ascii="Microsoft New Tai Lue" w:hAnsi="Microsoft New Tai Lue"/>
                <w:b/>
                <w:sz w:val="20"/>
                <w:szCs w:val="20"/>
              </w:rPr>
              <w:t>h</w:t>
            </w:r>
            <w:r>
              <w:rPr>
                <w:rFonts w:cs="Microsoft New Tai Lue" w:ascii="Microsoft New Tai Lue" w:hAnsi="Microsoft New Tai Lue"/>
                <w:sz w:val="20"/>
                <w:szCs w:val="20"/>
              </w:rPr>
              <w:t>”</w:t>
            </w:r>
            <w:r>
              <w:rPr>
                <w:rFonts w:ascii="Microsoft New Tai Lue" w:hAnsi="Microsoft New Tai Lue" w:cs="Microsoft New Tai Lue"/>
                <w:sz w:val="20"/>
                <w:szCs w:val="20"/>
              </w:rPr>
              <w:t>为资源的</w:t>
            </w:r>
            <w:r>
              <w:rPr>
                <w:rFonts w:cs="Microsoft New Tai Lue" w:ascii="Microsoft New Tai Lue" w:hAnsi="Microsoft New Tai Lue"/>
                <w:sz w:val="20"/>
                <w:szCs w:val="20"/>
              </w:rPr>
              <w:t xml:space="preserve">URI. </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w:t>
            </w:r>
            <w:r>
              <w:rPr>
                <w:rFonts w:cs="Microsoft New Tai Lue" w:ascii="Microsoft New Tai Lue" w:hAnsi="Microsoft New Tai Lue"/>
                <w:b/>
                <w:sz w:val="20"/>
                <w:szCs w:val="20"/>
              </w:rPr>
              <w:t>rt</w:t>
            </w:r>
            <w:r>
              <w:rPr>
                <w:rFonts w:cs="Microsoft New Tai Lue" w:ascii="Microsoft New Tai Lue" w:hAnsi="Microsoft New Tai Lue"/>
                <w:sz w:val="20"/>
                <w:szCs w:val="20"/>
              </w:rPr>
              <w:t>”</w:t>
            </w:r>
            <w:r>
              <w:rPr>
                <w:rFonts w:ascii="Microsoft New Tai Lue" w:hAnsi="Microsoft New Tai Lue" w:cs="Microsoft New Tai Lue"/>
                <w:sz w:val="20"/>
                <w:szCs w:val="20"/>
              </w:rPr>
              <w:t>为资源的类型名称。如果不是以“</w:t>
            </w:r>
            <w:r>
              <w:rPr>
                <w:rFonts w:cs="Microsoft New Tai Lue" w:ascii="Microsoft New Tai Lue" w:hAnsi="Microsoft New Tai Lue"/>
                <w:sz w:val="20"/>
                <w:szCs w:val="20"/>
              </w:rPr>
              <w:t>modbus.”</w:t>
            </w:r>
            <w:r>
              <w:rPr>
                <w:rFonts w:ascii="Microsoft New Tai Lue" w:hAnsi="Microsoft New Tai Lue" w:cs="Microsoft New Tai Lue"/>
                <w:sz w:val="20"/>
                <w:szCs w:val="20"/>
              </w:rPr>
              <w:t>开头，系统中必须已经创建该</w:t>
            </w:r>
            <w:r>
              <w:rPr>
                <w:rFonts w:cs="Microsoft New Tai Lue" w:ascii="Microsoft New Tai Lue" w:hAnsi="Microsoft New Tai Lue"/>
                <w:sz w:val="20"/>
                <w:szCs w:val="20"/>
              </w:rPr>
              <w:t>rt</w:t>
            </w:r>
            <w:r>
              <w:rPr>
                <w:rFonts w:ascii="Microsoft New Tai Lue" w:hAnsi="Microsoft New Tai Lue" w:cs="Microsoft New Tai Lue"/>
                <w:sz w:val="20"/>
                <w:szCs w:val="20"/>
              </w:rPr>
              <w:t>的类型定义。</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pPr>
            <w:r>
              <w:rPr>
                <w:rFonts w:cs="Microsoft New Tai Lue" w:ascii="Microsoft New Tai Lue" w:hAnsi="Microsoft New Tai Lue"/>
                <w:sz w:val="20"/>
                <w:szCs w:val="20"/>
              </w:rPr>
              <w:t>“</w:t>
            </w:r>
            <w:r>
              <w:rPr>
                <w:rFonts w:cs="Microsoft New Tai Lue" w:ascii="Microsoft New Tai Lue" w:hAnsi="Microsoft New Tai Lue"/>
                <w:b/>
                <w:sz w:val="20"/>
                <w:szCs w:val="20"/>
              </w:rPr>
              <w:t>reg</w:t>
            </w:r>
            <w:r>
              <w:rPr>
                <w:rFonts w:cs="Microsoft New Tai Lue" w:ascii="Microsoft New Tai Lue" w:hAnsi="Microsoft New Tai Lue"/>
                <w:sz w:val="20"/>
                <w:szCs w:val="20"/>
              </w:rPr>
              <w:t>”</w:t>
            </w:r>
            <w:r>
              <w:rPr>
                <w:rFonts w:ascii="Microsoft New Tai Lue" w:hAnsi="Microsoft New Tai Lue" w:cs="Microsoft New Tai Lue"/>
                <w:sz w:val="20"/>
                <w:szCs w:val="20"/>
              </w:rPr>
              <w:t>字段可选。表示整个资源可以通过一次性读取一整块寄存器来得到所有属性的数值。缺省方法是逐个属性读取寄存器。</w:t>
            </w:r>
            <w:r>
              <w:rPr>
                <w:rFonts w:cs="Microsoft New Tai Lue" w:ascii="Microsoft New Tai Lue" w:hAnsi="Microsoft New Tai Lue"/>
                <w:sz w:val="20"/>
                <w:szCs w:val="20"/>
              </w:rPr>
              <w:t xml:space="preserve">fc: </w:t>
            </w:r>
            <w:r>
              <w:rPr>
                <w:rFonts w:ascii="Microsoft New Tai Lue" w:hAnsi="Microsoft New Tai Lue" w:cs="Microsoft New Tai Lue"/>
                <w:sz w:val="20"/>
                <w:szCs w:val="20"/>
              </w:rPr>
              <w:t>支持的功能码，</w:t>
            </w:r>
            <w:r>
              <w:rPr>
                <w:rFonts w:cs="Microsoft New Tai Lue" w:ascii="Microsoft New Tai Lue" w:hAnsi="Microsoft New Tai Lue"/>
                <w:sz w:val="20"/>
                <w:szCs w:val="20"/>
              </w:rPr>
              <w:t xml:space="preserve">a: </w:t>
            </w:r>
            <w:r>
              <w:rPr>
                <w:rFonts w:ascii="Microsoft New Tai Lue" w:hAnsi="Microsoft New Tai Lue" w:cs="Microsoft New Tai Lue"/>
                <w:sz w:val="20"/>
                <w:szCs w:val="20"/>
              </w:rPr>
              <w:t>起始寄存器地址，</w:t>
            </w:r>
            <w:r>
              <w:rPr>
                <w:rFonts w:cs="Microsoft New Tai Lue" w:ascii="Microsoft New Tai Lue" w:hAnsi="Microsoft New Tai Lue"/>
                <w:sz w:val="20"/>
                <w:szCs w:val="20"/>
              </w:rPr>
              <w:t xml:space="preserve">rn: </w:t>
            </w:r>
            <w:r>
              <w:rPr>
                <w:rFonts w:ascii="Microsoft New Tai Lue" w:hAnsi="Microsoft New Tai Lue" w:cs="Microsoft New Tai Lue"/>
                <w:sz w:val="20"/>
                <w:szCs w:val="20"/>
              </w:rPr>
              <w:t>寄存器个数。</w:t>
            </w:r>
            <w:r>
              <w:rPr>
                <w:rFonts w:ascii="Microsoft New Tai Lue" w:hAnsi="Microsoft New Tai Lue" w:cs="Microsoft New Tai Lue"/>
                <w:b/>
                <w:bCs/>
                <w:sz w:val="20"/>
                <w:szCs w:val="20"/>
              </w:rPr>
              <w:t>注意：当</w:t>
            </w:r>
            <w:r>
              <w:rPr>
                <w:rFonts w:ascii="Microsoft New Tai Lue" w:hAnsi="Microsoft New Tai Lue" w:cs="Microsoft New Tai Lue"/>
                <w:sz w:val="20"/>
                <w:szCs w:val="20"/>
              </w:rPr>
              <w:t xml:space="preserve"> </w:t>
            </w:r>
            <w:r>
              <w:rPr>
                <w:rFonts w:cs="Microsoft New Tai Lue" w:ascii="Microsoft New Tai Lue" w:hAnsi="Microsoft New Tai Lue"/>
                <w:b/>
                <w:sz w:val="20"/>
                <w:szCs w:val="20"/>
              </w:rPr>
              <w:t>instances</w:t>
            </w:r>
            <w:r>
              <w:rPr>
                <w:rFonts w:ascii="Microsoft New Tai Lue" w:hAnsi="Microsoft New Tai Lue" w:cs="Microsoft New Tai Lue"/>
                <w:b/>
                <w:sz w:val="20"/>
                <w:szCs w:val="20"/>
              </w:rPr>
              <w:t>字段指示有多个资源实例时，这里</w:t>
            </w:r>
            <w:r>
              <w:rPr>
                <w:rFonts w:cs="Microsoft New Tai Lue" w:ascii="Microsoft New Tai Lue" w:hAnsi="Microsoft New Tai Lue"/>
                <w:b/>
                <w:sz w:val="20"/>
                <w:szCs w:val="20"/>
              </w:rPr>
              <w:t>a</w:t>
            </w:r>
            <w:r>
              <w:rPr>
                <w:rFonts w:ascii="Microsoft New Tai Lue" w:hAnsi="Microsoft New Tai Lue" w:cs="Microsoft New Tai Lue"/>
                <w:b/>
                <w:sz w:val="20"/>
                <w:szCs w:val="20"/>
              </w:rPr>
              <w:t>是第一个实例的起始地址，而</w:t>
            </w:r>
            <w:r>
              <w:rPr>
                <w:rFonts w:cs="Microsoft New Tai Lue" w:ascii="Microsoft New Tai Lue" w:hAnsi="Microsoft New Tai Lue"/>
                <w:b/>
                <w:sz w:val="20"/>
                <w:szCs w:val="20"/>
              </w:rPr>
              <w:t>rn</w:t>
            </w:r>
            <w:r>
              <w:rPr>
                <w:rFonts w:ascii="Microsoft New Tai Lue" w:hAnsi="Microsoft New Tai Lue" w:cs="Microsoft New Tai Lue"/>
                <w:b/>
                <w:sz w:val="20"/>
                <w:szCs w:val="20"/>
              </w:rPr>
              <w:t>表示单个资源实例占用的总寄存器个数（非所有实例总和）</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pPr>
            <w:r>
              <w:rPr>
                <w:rFonts w:cs="Microsoft New Tai Lue" w:ascii="Microsoft New Tai Lue" w:hAnsi="Microsoft New Tai Lue"/>
                <w:sz w:val="20"/>
                <w:szCs w:val="20"/>
              </w:rPr>
              <w:t>“</w:t>
            </w:r>
            <w:bookmarkStart w:id="0" w:name="__DdeLink__410_615252002"/>
            <w:r>
              <w:rPr>
                <w:rFonts w:cs="Microsoft New Tai Lue" w:ascii="Microsoft New Tai Lue" w:hAnsi="Microsoft New Tai Lue"/>
                <w:b/>
                <w:sz w:val="20"/>
                <w:szCs w:val="20"/>
              </w:rPr>
              <w:t>instances</w:t>
            </w:r>
            <w:bookmarkEnd w:id="0"/>
            <w:r>
              <w:rPr>
                <w:rFonts w:cs="Microsoft New Tai Lue" w:ascii="Microsoft New Tai Lue" w:hAnsi="Microsoft New Tai Lue"/>
                <w:sz w:val="20"/>
                <w:szCs w:val="20"/>
              </w:rPr>
              <w:t>”</w:t>
            </w:r>
            <w:r>
              <w:rPr>
                <w:rFonts w:ascii="Microsoft New Tai Lue" w:hAnsi="Microsoft New Tai Lue" w:cs="Microsoft New Tai Lue"/>
                <w:sz w:val="20"/>
                <w:szCs w:val="20"/>
              </w:rPr>
              <w:t>字段可不填，表示该类型资源的总个数，字段不存在表示</w:t>
            </w:r>
            <w:r>
              <w:rPr>
                <w:rFonts w:cs="Microsoft New Tai Lue" w:ascii="Microsoft New Tai Lue" w:hAnsi="Microsoft New Tai Lue"/>
                <w:sz w:val="20"/>
                <w:szCs w:val="20"/>
              </w:rPr>
              <w:t>1</w:t>
            </w:r>
            <w:r>
              <w:rPr>
                <w:rFonts w:ascii="Microsoft New Tai Lue" w:hAnsi="Microsoft New Tai Lue" w:cs="Microsoft New Tai Lue"/>
                <w:sz w:val="20"/>
                <w:szCs w:val="20"/>
              </w:rPr>
              <w:t>个。此字段要求上面的”</w:t>
            </w:r>
            <w:r>
              <w:rPr>
                <w:rFonts w:cs="Microsoft New Tai Lue" w:ascii="Microsoft New Tai Lue" w:hAnsi="Microsoft New Tai Lue"/>
                <w:sz w:val="20"/>
                <w:szCs w:val="20"/>
              </w:rPr>
              <w:t>reg”</w:t>
            </w:r>
            <w:r>
              <w:rPr>
                <w:rFonts w:ascii="Microsoft New Tai Lue" w:hAnsi="Microsoft New Tai Lue" w:cs="Microsoft New Tai Lue"/>
                <w:sz w:val="20"/>
                <w:szCs w:val="20"/>
              </w:rPr>
              <w:t>字段同时存在，</w:t>
            </w:r>
            <w:r>
              <w:rPr>
                <w:rFonts w:ascii="Microsoft New Tai Lue" w:hAnsi="Microsoft New Tai Lue" w:cs="Microsoft New Tai Lue"/>
                <w:sz w:val="20"/>
                <w:szCs w:val="20"/>
              </w:rPr>
              <w:t>其中</w:t>
            </w:r>
            <w:r>
              <w:rPr>
                <w:rFonts w:ascii="Microsoft New Tai Lue" w:hAnsi="Microsoft New Tai Lue" w:cs="Microsoft New Tai Lue"/>
                <w:sz w:val="20"/>
                <w:szCs w:val="20"/>
              </w:rPr>
              <w:t>“</w:t>
            </w:r>
            <w:r>
              <w:rPr>
                <w:rFonts w:cs="Microsoft New Tai Lue" w:ascii="Microsoft New Tai Lue" w:hAnsi="Microsoft New Tai Lue"/>
                <w:sz w:val="20"/>
                <w:szCs w:val="20"/>
              </w:rPr>
              <w:t>reg”</w:t>
            </w:r>
            <w:r>
              <w:rPr>
                <w:rFonts w:ascii="Microsoft New Tai Lue" w:hAnsi="Microsoft New Tai Lue" w:cs="Microsoft New Tai Lue"/>
                <w:sz w:val="20"/>
                <w:szCs w:val="20"/>
              </w:rPr>
              <w:t>的”</w:t>
            </w:r>
            <w:r>
              <w:rPr>
                <w:rFonts w:cs="Microsoft New Tai Lue" w:ascii="Microsoft New Tai Lue" w:hAnsi="Microsoft New Tai Lue"/>
                <w:sz w:val="20"/>
                <w:szCs w:val="20"/>
              </w:rPr>
              <w:t>a”</w:t>
            </w:r>
            <w:r>
              <w:rPr>
                <w:rFonts w:ascii="Microsoft New Tai Lue" w:hAnsi="Microsoft New Tai Lue" w:cs="Microsoft New Tai Lue"/>
                <w:sz w:val="20"/>
                <w:szCs w:val="20"/>
              </w:rPr>
              <w:t>表示</w:t>
            </w:r>
            <w:r>
              <w:rPr>
                <w:rFonts w:cs="Microsoft New Tai Lue" w:ascii="Microsoft New Tai Lue" w:hAnsi="Microsoft New Tai Lue"/>
                <w:sz w:val="20"/>
                <w:szCs w:val="20"/>
              </w:rPr>
              <w:t>instance 0</w:t>
            </w:r>
            <w:r>
              <w:rPr>
                <w:rFonts w:ascii="Microsoft New Tai Lue" w:hAnsi="Microsoft New Tai Lue" w:cs="Microsoft New Tai Lue"/>
                <w:sz w:val="20"/>
                <w:szCs w:val="20"/>
              </w:rPr>
              <w:t>的寄存器地址，”</w:t>
            </w:r>
            <w:r>
              <w:rPr>
                <w:rFonts w:cs="Microsoft New Tai Lue" w:ascii="Microsoft New Tai Lue" w:hAnsi="Microsoft New Tai Lue"/>
                <w:sz w:val="20"/>
                <w:szCs w:val="20"/>
              </w:rPr>
              <w:t>rn”</w:t>
            </w:r>
            <w:r>
              <w:rPr>
                <w:rFonts w:ascii="Microsoft New Tai Lue" w:hAnsi="Microsoft New Tai Lue" w:cs="Microsoft New Tai Lue"/>
                <w:sz w:val="20"/>
                <w:szCs w:val="20"/>
              </w:rPr>
              <w:t>表示每个</w:t>
            </w:r>
            <w:r>
              <w:rPr>
                <w:rFonts w:cs="Microsoft New Tai Lue" w:ascii="Microsoft New Tai Lue" w:hAnsi="Microsoft New Tai Lue"/>
                <w:sz w:val="20"/>
                <w:szCs w:val="20"/>
              </w:rPr>
              <w:t>instance</w:t>
            </w:r>
            <w:r>
              <w:rPr>
                <w:rFonts w:ascii="Microsoft New Tai Lue" w:hAnsi="Microsoft New Tai Lue" w:cs="Microsoft New Tai Lue"/>
                <w:sz w:val="20"/>
                <w:szCs w:val="20"/>
              </w:rPr>
              <w:t>的寄存器个数。</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w:t>
            </w:r>
            <w:r>
              <w:rPr>
                <w:rFonts w:cs="Microsoft New Tai Lue" w:ascii="Microsoft New Tai Lue" w:hAnsi="Microsoft New Tai Lue"/>
                <w:b/>
                <w:sz w:val="20"/>
                <w:szCs w:val="20"/>
              </w:rPr>
              <w:t>p</w:t>
            </w:r>
            <w:r>
              <w:rPr>
                <w:rFonts w:cs="Microsoft New Tai Lue" w:ascii="Microsoft New Tai Lue" w:hAnsi="Microsoft New Tai Lue"/>
                <w:sz w:val="20"/>
                <w:szCs w:val="20"/>
              </w:rPr>
              <w:t>”</w:t>
            </w:r>
            <w:r>
              <w:rPr>
                <w:rFonts w:ascii="Microsoft New Tai Lue" w:hAnsi="Microsoft New Tai Lue" w:cs="Microsoft New Tai Lue"/>
                <w:sz w:val="20"/>
                <w:szCs w:val="20"/>
              </w:rPr>
              <w:t>字段描述该资源下所有的属性（数据点）</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w:t>
            </w:r>
            <w:r>
              <w:rPr>
                <w:rFonts w:cs="Microsoft New Tai Lue" w:ascii="Microsoft New Tai Lue" w:hAnsi="Microsoft New Tai Lue"/>
                <w:b/>
                <w:sz w:val="20"/>
                <w:szCs w:val="20"/>
              </w:rPr>
              <w:t>n</w:t>
            </w:r>
            <w:r>
              <w:rPr>
                <w:rFonts w:cs="Microsoft New Tai Lue" w:ascii="Microsoft New Tai Lue" w:hAnsi="Microsoft New Tai Lue"/>
                <w:sz w:val="20"/>
                <w:szCs w:val="20"/>
              </w:rPr>
              <w:t xml:space="preserve">”: </w:t>
            </w:r>
            <w:r>
              <w:rPr>
                <w:rFonts w:ascii="Microsoft New Tai Lue" w:hAnsi="Microsoft New Tai Lue" w:cs="Microsoft New Tai Lue"/>
                <w:sz w:val="20"/>
                <w:szCs w:val="20"/>
              </w:rPr>
              <w:t>属性名称。</w:t>
            </w:r>
            <w:r>
              <w:rPr>
                <w:rFonts w:ascii="Microsoft New Tai Lue" w:hAnsi="Microsoft New Tai Lue" w:cs="Microsoft New Tai Lue"/>
                <w:b/>
                <w:sz w:val="20"/>
                <w:szCs w:val="20"/>
                <w:u w:val="single"/>
              </w:rPr>
              <w:t>注意：“</w:t>
            </w:r>
            <w:r>
              <w:rPr>
                <w:rFonts w:cs="Microsoft New Tai Lue" w:ascii="Microsoft New Tai Lue" w:hAnsi="Microsoft New Tai Lue"/>
                <w:b/>
                <w:sz w:val="20"/>
                <w:szCs w:val="20"/>
                <w:u w:val="single"/>
              </w:rPr>
              <w:t>n”</w:t>
            </w:r>
            <w:r>
              <w:rPr>
                <w:rFonts w:ascii="Microsoft New Tai Lue" w:hAnsi="Microsoft New Tai Lue" w:cs="Microsoft New Tai Lue"/>
                <w:b/>
                <w:sz w:val="20"/>
                <w:szCs w:val="20"/>
                <w:u w:val="single"/>
              </w:rPr>
              <w:t>的值不能随便自定义，必须是所在资源类型中（左边例子中则为</w:t>
            </w:r>
            <w:r>
              <w:rPr>
                <w:rFonts w:cs="Microsoft New Tai Lue" w:ascii="Microsoft New Tai Lue" w:hAnsi="Microsoft New Tai Lue"/>
                <w:b/>
                <w:sz w:val="20"/>
                <w:szCs w:val="20"/>
                <w:u w:val="single"/>
              </w:rPr>
              <w:t>oic.r.temperature</w:t>
            </w:r>
            <w:r>
              <w:rPr>
                <w:rFonts w:ascii="Microsoft New Tai Lue" w:hAnsi="Microsoft New Tai Lue" w:cs="Microsoft New Tai Lue"/>
                <w:b/>
                <w:sz w:val="20"/>
                <w:szCs w:val="20"/>
                <w:u w:val="single"/>
              </w:rPr>
              <w:t>）已经定义好的属性名称</w:t>
            </w:r>
            <w:r>
              <w:rPr>
                <w:rFonts w:ascii="Microsoft New Tai Lue" w:hAnsi="Microsoft New Tai Lue" w:cs="Microsoft New Tai Lue"/>
                <w:sz w:val="20"/>
                <w:szCs w:val="20"/>
              </w:rPr>
              <w:t>。细节可参考后面说明。</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w:t>
            </w:r>
            <w:r>
              <w:rPr>
                <w:rFonts w:cs="Microsoft New Tai Lue" w:ascii="Microsoft New Tai Lue" w:hAnsi="Microsoft New Tai Lue"/>
                <w:b/>
                <w:sz w:val="20"/>
                <w:szCs w:val="20"/>
              </w:rPr>
              <w:t>fc</w:t>
            </w:r>
            <w:r>
              <w:rPr>
                <w:rFonts w:cs="Microsoft New Tai Lue" w:ascii="Microsoft New Tai Lue" w:hAnsi="Microsoft New Tai Lue"/>
                <w:sz w:val="20"/>
                <w:szCs w:val="20"/>
              </w:rPr>
              <w:t xml:space="preserve">": </w:t>
            </w:r>
            <w:r>
              <w:rPr>
                <w:rFonts w:ascii="Microsoft New Tai Lue" w:hAnsi="Microsoft New Tai Lue" w:cs="Microsoft New Tai Lue"/>
                <w:sz w:val="20"/>
                <w:szCs w:val="20"/>
              </w:rPr>
              <w:t>支持的功能码</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w:t>
            </w:r>
            <w:r>
              <w:rPr>
                <w:rFonts w:cs="Microsoft New Tai Lue" w:ascii="Microsoft New Tai Lue" w:hAnsi="Microsoft New Tai Lue"/>
                <w:b/>
                <w:sz w:val="20"/>
                <w:szCs w:val="20"/>
              </w:rPr>
              <w:t>rn</w:t>
            </w:r>
            <w:r>
              <w:rPr>
                <w:rFonts w:cs="Microsoft New Tai Lue" w:ascii="Microsoft New Tai Lue" w:hAnsi="Microsoft New Tai Lue"/>
                <w:sz w:val="20"/>
                <w:szCs w:val="20"/>
              </w:rPr>
              <w:t xml:space="preserve">": </w:t>
            </w:r>
            <w:r>
              <w:rPr>
                <w:rFonts w:ascii="Microsoft New Tai Lue" w:hAnsi="Microsoft New Tai Lue" w:cs="Microsoft New Tai Lue"/>
                <w:sz w:val="20"/>
                <w:szCs w:val="20"/>
              </w:rPr>
              <w:t>该属性使用的寄存器个数</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w:t>
            </w:r>
            <w:r>
              <w:rPr>
                <w:rFonts w:cs="Microsoft New Tai Lue" w:ascii="Microsoft New Tai Lue" w:hAnsi="Microsoft New Tai Lue"/>
                <w:b/>
                <w:sz w:val="20"/>
                <w:szCs w:val="20"/>
              </w:rPr>
              <w:t>multiplier</w:t>
            </w:r>
            <w:r>
              <w:rPr>
                <w:rFonts w:cs="Microsoft New Tai Lue" w:ascii="Microsoft New Tai Lue" w:hAnsi="Microsoft New Tai Lue"/>
                <w:sz w:val="20"/>
                <w:szCs w:val="20"/>
              </w:rPr>
              <w:t xml:space="preserve">": </w:t>
            </w:r>
            <w:r>
              <w:rPr>
                <w:rFonts w:ascii="Microsoft New Tai Lue" w:hAnsi="Microsoft New Tai Lue" w:cs="Microsoft New Tai Lue"/>
                <w:sz w:val="20"/>
                <w:szCs w:val="20"/>
              </w:rPr>
              <w:t>数值倍数</w:t>
            </w:r>
            <w:r>
              <w:rPr>
                <w:rFonts w:cs="Microsoft New Tai Lue" w:ascii="Microsoft New Tai Lue" w:hAnsi="Microsoft New Tai Lue"/>
                <w:sz w:val="20"/>
                <w:szCs w:val="20"/>
              </w:rPr>
              <w:t xml:space="preserve">, </w:t>
            </w:r>
            <w:r>
              <w:rPr>
                <w:rFonts w:ascii="Microsoft New Tai Lue" w:hAnsi="Microsoft New Tai Lue" w:cs="Microsoft New Tai Lue"/>
                <w:sz w:val="20"/>
                <w:szCs w:val="20"/>
              </w:rPr>
              <w:t>可选项</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w:t>
            </w:r>
            <w:r>
              <w:rPr>
                <w:rFonts w:cs="Microsoft New Tai Lue" w:ascii="Microsoft New Tai Lue" w:hAnsi="Microsoft New Tai Lue"/>
                <w:b/>
                <w:sz w:val="20"/>
                <w:szCs w:val="20"/>
              </w:rPr>
              <w:t>a</w:t>
            </w:r>
            <w:r>
              <w:rPr>
                <w:rFonts w:cs="Microsoft New Tai Lue" w:ascii="Microsoft New Tai Lue" w:hAnsi="Microsoft New Tai Lue"/>
                <w:sz w:val="20"/>
                <w:szCs w:val="20"/>
              </w:rPr>
              <w:t xml:space="preserve">": </w:t>
            </w:r>
            <w:r>
              <w:rPr>
                <w:rFonts w:ascii="Microsoft New Tai Lue" w:hAnsi="Microsoft New Tai Lue" w:cs="Microsoft New Tai Lue"/>
                <w:sz w:val="20"/>
                <w:szCs w:val="20"/>
              </w:rPr>
              <w:t>寄存器地址</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rFonts w:ascii="Microsoft New Tai Lue" w:hAnsi="Microsoft New Tai Lue" w:cs="Microsoft New Tai Lue"/>
                <w:sz w:val="20"/>
                <w:szCs w:val="20"/>
              </w:rPr>
            </w:pPr>
            <w:r>
              <w:rPr>
                <w:rFonts w:ascii="Microsoft New Tai Lue" w:hAnsi="Microsoft New Tai Lue" w:cs="Microsoft New Tai Lue"/>
                <w:sz w:val="20"/>
                <w:szCs w:val="20"/>
              </w:rPr>
              <w:t>说明：这里另外一个资源</w:t>
            </w:r>
            <w:r>
              <w:rPr>
                <w:rFonts w:cs="Microsoft New Tai Lue" w:ascii="Microsoft New Tai Lue" w:hAnsi="Microsoft New Tai Lue"/>
                <w:sz w:val="20"/>
                <w:szCs w:val="20"/>
              </w:rPr>
              <w:t>"current"</w:t>
            </w:r>
            <w:r>
              <w:rPr>
                <w:rFonts w:ascii="Microsoft New Tai Lue" w:hAnsi="Microsoft New Tai Lue" w:cs="Microsoft New Tai Lue"/>
                <w:sz w:val="20"/>
                <w:szCs w:val="20"/>
              </w:rPr>
              <w:t>描述从整个寄存器块中定义属性的寄存器地址的方法</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w:t>
            </w:r>
            <w:r>
              <w:rPr>
                <w:rFonts w:cs="Microsoft New Tai Lue" w:ascii="Microsoft New Tai Lue" w:hAnsi="Microsoft New Tai Lue"/>
                <w:b/>
                <w:sz w:val="20"/>
                <w:szCs w:val="20"/>
              </w:rPr>
              <w:t>o</w:t>
            </w:r>
            <w:r>
              <w:rPr>
                <w:rFonts w:cs="Microsoft New Tai Lue" w:ascii="Microsoft New Tai Lue" w:hAnsi="Microsoft New Tai Lue"/>
                <w:sz w:val="20"/>
                <w:szCs w:val="20"/>
              </w:rPr>
              <w:t xml:space="preserve">”: </w:t>
            </w:r>
            <w:r>
              <w:rPr>
                <w:rFonts w:ascii="Microsoft New Tai Lue" w:hAnsi="Microsoft New Tai Lue" w:cs="Microsoft New Tai Lue"/>
                <w:sz w:val="20"/>
                <w:szCs w:val="20"/>
              </w:rPr>
              <w:t>该属性的寄存器在资源的整个寄存器块</w:t>
            </w:r>
            <w:r>
              <w:rPr>
                <w:rFonts w:cs="Microsoft New Tai Lue" w:ascii="Microsoft New Tai Lue" w:hAnsi="Microsoft New Tai Lue"/>
                <w:sz w:val="20"/>
                <w:szCs w:val="20"/>
              </w:rPr>
              <w:t>(reg)</w:t>
            </w:r>
            <w:r>
              <w:rPr>
                <w:rFonts w:ascii="Microsoft New Tai Lue" w:hAnsi="Microsoft New Tai Lue" w:cs="Microsoft New Tai Lue"/>
                <w:sz w:val="20"/>
                <w:szCs w:val="20"/>
              </w:rPr>
              <w:t>中的偏移量，有些设备只支持读整块寄存器，则只能使用此模式。“</w:t>
            </w:r>
            <w:r>
              <w:rPr>
                <w:rFonts w:cs="Microsoft New Tai Lue" w:ascii="Microsoft New Tai Lue" w:hAnsi="Microsoft New Tai Lue"/>
                <w:sz w:val="20"/>
                <w:szCs w:val="20"/>
              </w:rPr>
              <w:t>o”</w:t>
            </w:r>
            <w:r>
              <w:rPr>
                <w:rFonts w:ascii="Microsoft New Tai Lue" w:hAnsi="Microsoft New Tai Lue" w:cs="Microsoft New Tai Lue"/>
                <w:sz w:val="20"/>
                <w:szCs w:val="20"/>
              </w:rPr>
              <w:t>和”</w:t>
            </w:r>
            <w:r>
              <w:rPr>
                <w:rFonts w:cs="Microsoft New Tai Lue" w:ascii="Microsoft New Tai Lue" w:hAnsi="Microsoft New Tai Lue"/>
                <w:sz w:val="20"/>
                <w:szCs w:val="20"/>
              </w:rPr>
              <w:t>a”</w:t>
            </w:r>
            <w:r>
              <w:rPr>
                <w:rFonts w:ascii="Microsoft New Tai Lue" w:hAnsi="Microsoft New Tai Lue" w:cs="Microsoft New Tai Lue"/>
                <w:sz w:val="20"/>
                <w:szCs w:val="20"/>
              </w:rPr>
              <w:t>字段互斥，不能同时在一个属性中出现。</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w:t>
            </w:r>
            <w:r>
              <w:rPr>
                <w:rFonts w:cs="Microsoft New Tai Lue" w:ascii="Microsoft New Tai Lue" w:hAnsi="Microsoft New Tai Lue"/>
                <w:b/>
                <w:sz w:val="20"/>
                <w:szCs w:val="20"/>
              </w:rPr>
              <w:t>c</w:t>
            </w:r>
            <w:r>
              <w:rPr>
                <w:rFonts w:cs="Microsoft New Tai Lue" w:ascii="Microsoft New Tai Lue" w:hAnsi="Microsoft New Tai Lue"/>
                <w:sz w:val="20"/>
                <w:szCs w:val="20"/>
              </w:rPr>
              <w:t>"</w:t>
            </w:r>
            <w:r>
              <w:rPr>
                <w:rFonts w:ascii="Microsoft New Tai Lue" w:hAnsi="Microsoft New Tai Lue" w:cs="Microsoft New Tai Lue"/>
                <w:sz w:val="20"/>
                <w:szCs w:val="20"/>
              </w:rPr>
              <w:t>：浮点编码。当存在时，</w:t>
            </w:r>
            <w:r>
              <w:rPr>
                <w:rFonts w:cs="Microsoft New Tai Lue" w:ascii="Microsoft New Tai Lue" w:hAnsi="Microsoft New Tai Lue"/>
                <w:sz w:val="20"/>
                <w:szCs w:val="20"/>
              </w:rPr>
              <w:t>vt</w:t>
            </w:r>
            <w:r>
              <w:rPr>
                <w:rFonts w:ascii="Microsoft New Tai Lue" w:hAnsi="Microsoft New Tai Lue" w:cs="Microsoft New Tai Lue"/>
                <w:sz w:val="20"/>
                <w:szCs w:val="20"/>
              </w:rPr>
              <w:t>字段总是被解释成浮点类型。可选内容为：”</w:t>
            </w:r>
            <w:r>
              <w:rPr>
                <w:rFonts w:cs="Microsoft New Tai Lue" w:ascii="Microsoft New Tai Lue" w:hAnsi="Microsoft New Tai Lue"/>
                <w:sz w:val="20"/>
                <w:szCs w:val="20"/>
              </w:rPr>
              <w:t>abcd” | “dcba” | “badc” | “cdab”</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t>"</w:t>
            </w:r>
            <w:r>
              <w:rPr>
                <w:rFonts w:cs="Microsoft New Tai Lue" w:ascii="Microsoft New Tai Lue" w:hAnsi="Microsoft New Tai Lue"/>
                <w:b/>
                <w:sz w:val="20"/>
                <w:szCs w:val="20"/>
              </w:rPr>
              <w:t>vt</w:t>
            </w:r>
            <w:r>
              <w:rPr>
                <w:rFonts w:cs="Microsoft New Tai Lue" w:ascii="Microsoft New Tai Lue" w:hAnsi="Microsoft New Tai Lue"/>
                <w:sz w:val="20"/>
                <w:szCs w:val="20"/>
              </w:rPr>
              <w:t xml:space="preserve">": </w:t>
            </w:r>
            <w:r>
              <w:rPr>
                <w:rFonts w:ascii="Microsoft New Tai Lue" w:hAnsi="Microsoft New Tai Lue" w:cs="Microsoft New Tai Lue"/>
                <w:sz w:val="20"/>
                <w:szCs w:val="20"/>
              </w:rPr>
              <w:t>属性数值类型</w:t>
            </w:r>
            <w:r>
              <w:rPr>
                <w:rFonts w:cs="Microsoft New Tai Lue" w:ascii="Microsoft New Tai Lue" w:hAnsi="Microsoft New Tai Lue"/>
                <w:sz w:val="20"/>
                <w:szCs w:val="20"/>
              </w:rPr>
              <w:t xml:space="preserve">. </w:t>
            </w:r>
            <w:r>
              <w:rPr>
                <w:rFonts w:ascii="Microsoft New Tai Lue" w:hAnsi="Microsoft New Tai Lue" w:cs="Microsoft New Tai Lue"/>
                <w:sz w:val="20"/>
                <w:szCs w:val="20"/>
              </w:rPr>
              <w:t>其中</w:t>
            </w:r>
            <w:r>
              <w:rPr>
                <w:rFonts w:cs="Microsoft New Tai Lue" w:ascii="Microsoft New Tai Lue" w:hAnsi="Microsoft New Tai Lue"/>
                <w:sz w:val="20"/>
                <w:szCs w:val="20"/>
              </w:rPr>
              <w:t xml:space="preserve">i: </w:t>
            </w:r>
            <w:r>
              <w:rPr>
                <w:rFonts w:ascii="Microsoft New Tai Lue" w:hAnsi="Microsoft New Tai Lue" w:cs="Microsoft New Tai Lue"/>
                <w:sz w:val="20"/>
                <w:szCs w:val="20"/>
              </w:rPr>
              <w:t xml:space="preserve">整数， </w:t>
            </w:r>
            <w:r>
              <w:rPr>
                <w:rFonts w:cs="Microsoft New Tai Lue" w:ascii="Microsoft New Tai Lue" w:hAnsi="Microsoft New Tai Lue"/>
                <w:sz w:val="20"/>
                <w:szCs w:val="20"/>
              </w:rPr>
              <w:t xml:space="preserve">f: </w:t>
            </w:r>
            <w:r>
              <w:rPr>
                <w:rFonts w:ascii="Microsoft New Tai Lue" w:hAnsi="Microsoft New Tai Lue" w:cs="Microsoft New Tai Lue"/>
                <w:sz w:val="20"/>
                <w:szCs w:val="20"/>
              </w:rPr>
              <w:t>浮点，自动使用</w:t>
            </w:r>
            <w:r>
              <w:rPr>
                <w:rFonts w:cs="Microsoft New Tai Lue" w:ascii="Microsoft New Tai Lue" w:hAnsi="Microsoft New Tai Lue"/>
                <w:sz w:val="20"/>
                <w:szCs w:val="20"/>
              </w:rPr>
              <w:t>2</w:t>
            </w:r>
            <w:r>
              <w:rPr>
                <w:rFonts w:ascii="Microsoft New Tai Lue" w:hAnsi="Microsoft New Tai Lue" w:cs="Microsoft New Tai Lue"/>
                <w:sz w:val="20"/>
                <w:szCs w:val="20"/>
              </w:rPr>
              <w:t>个寄存器</w:t>
            </w:r>
            <w:r>
              <w:rPr>
                <w:rFonts w:cs="Microsoft New Tai Lue" w:ascii="Microsoft New Tai Lue" w:hAnsi="Microsoft New Tai Lue"/>
                <w:sz w:val="20"/>
                <w:szCs w:val="20"/>
              </w:rPr>
              <w:t>.  b</w:t>
            </w:r>
            <w:r>
              <w:rPr>
                <w:rFonts w:ascii="Microsoft New Tai Lue" w:hAnsi="Microsoft New Tai Lue" w:cs="Microsoft New Tai Lue"/>
                <w:sz w:val="20"/>
                <w:szCs w:val="20"/>
              </w:rPr>
              <w:t>：布尔类型，</w:t>
            </w:r>
            <w:r>
              <w:rPr>
                <w:rFonts w:cs="Microsoft New Tai Lue" w:ascii="Microsoft New Tai Lue" w:hAnsi="Microsoft New Tai Lue"/>
                <w:sz w:val="20"/>
                <w:szCs w:val="20"/>
              </w:rPr>
              <w:t xml:space="preserve">s: </w:t>
            </w:r>
            <w:r>
              <w:rPr>
                <w:rFonts w:ascii="Microsoft New Tai Lue" w:hAnsi="Microsoft New Tai Lue" w:cs="Microsoft New Tai Lue"/>
                <w:sz w:val="20"/>
                <w:szCs w:val="20"/>
              </w:rPr>
              <w:t>字符串。当</w:t>
            </w:r>
            <w:r>
              <w:rPr>
                <w:rFonts w:cs="Microsoft New Tai Lue" w:ascii="Microsoft New Tai Lue" w:hAnsi="Microsoft New Tai Lue"/>
                <w:sz w:val="20"/>
                <w:szCs w:val="20"/>
              </w:rPr>
              <w:t>rt</w:t>
            </w:r>
            <w:r>
              <w:rPr>
                <w:rFonts w:ascii="Microsoft New Tai Lue" w:hAnsi="Microsoft New Tai Lue" w:cs="Microsoft New Tai Lue"/>
                <w:sz w:val="20"/>
                <w:szCs w:val="20"/>
              </w:rPr>
              <w:t>类型以”</w:t>
            </w:r>
            <w:r>
              <w:rPr>
                <w:rFonts w:cs="Microsoft New Tai Lue" w:ascii="Microsoft New Tai Lue" w:hAnsi="Microsoft New Tai Lue"/>
                <w:sz w:val="20"/>
                <w:szCs w:val="20"/>
              </w:rPr>
              <w:t>modbus.”</w:t>
            </w:r>
            <w:r>
              <w:rPr>
                <w:rFonts w:ascii="Microsoft New Tai Lue" w:hAnsi="Microsoft New Tai Lue" w:cs="Microsoft New Tai Lue"/>
                <w:sz w:val="20"/>
                <w:szCs w:val="20"/>
              </w:rPr>
              <w:t>开头时必须提供，云端在自动生成对应的</w:t>
            </w:r>
            <w:r>
              <w:rPr>
                <w:rFonts w:cs="Microsoft New Tai Lue" w:ascii="Microsoft New Tai Lue" w:hAnsi="Microsoft New Tai Lue"/>
                <w:sz w:val="20"/>
                <w:szCs w:val="20"/>
              </w:rPr>
              <w:t>RT</w:t>
            </w:r>
            <w:r>
              <w:rPr>
                <w:rFonts w:ascii="Microsoft New Tai Lue" w:hAnsi="Microsoft New Tai Lue" w:cs="Microsoft New Tai Lue"/>
                <w:sz w:val="20"/>
                <w:szCs w:val="20"/>
              </w:rPr>
              <w:t>时需要此字段确定属性数据类型。其他情况下可不提供。</w:t>
            </w:r>
          </w:p>
          <w:p>
            <w:pPr>
              <w:pStyle w:val="Normal"/>
              <w:spacing w:lineRule="auto" w:line="240" w:before="0" w:after="0"/>
              <w:rPr>
                <w:rFonts w:ascii="Microsoft New Tai Lue" w:hAnsi="Microsoft New Tai Lue" w:cs="Microsoft New Tai Lue"/>
                <w:sz w:val="20"/>
                <w:szCs w:val="20"/>
              </w:rPr>
            </w:pPr>
            <w:r>
              <w:rPr>
                <w:rFonts w:cs="Microsoft New Tai Lue" w:ascii="Microsoft New Tai Lue" w:hAnsi="Microsoft New Tai Lue"/>
                <w:sz w:val="20"/>
                <w:szCs w:val="20"/>
              </w:rPr>
            </w:r>
          </w:p>
        </w:tc>
      </w:tr>
    </w:tbl>
    <w:p>
      <w:pPr>
        <w:pStyle w:val="Normal"/>
        <w:spacing w:before="0" w:after="0"/>
        <w:rPr/>
      </w:pPr>
      <w:r>
        <w:rPr/>
      </w:r>
    </w:p>
    <w:p>
      <w:pPr>
        <w:pStyle w:val="Normal"/>
        <w:spacing w:before="0" w:after="0"/>
        <w:rPr/>
      </w:pPr>
      <w:r>
        <w:rPr/>
      </w:r>
    </w:p>
    <w:p>
      <w:pPr>
        <w:pStyle w:val="Normal"/>
        <w:spacing w:before="0" w:after="0"/>
        <w:rPr>
          <w:b/>
          <w:b/>
        </w:rPr>
      </w:pPr>
      <w:r>
        <w:rPr>
          <w:b/>
        </w:rPr>
        <w:t>说明：</w:t>
      </w:r>
    </w:p>
    <w:p>
      <w:pPr>
        <w:pStyle w:val="Normal"/>
        <w:spacing w:before="0" w:after="0"/>
        <w:rPr/>
      </w:pPr>
      <w:r>
        <w:rPr>
          <w:b/>
        </w:rPr>
        <w:t>寄存器个数限制</w:t>
      </w:r>
      <w:r>
        <w:rPr/>
        <w:t>：</w:t>
      </w:r>
    </w:p>
    <w:p>
      <w:pPr>
        <w:pStyle w:val="ListParagraph"/>
        <w:numPr>
          <w:ilvl w:val="0"/>
          <w:numId w:val="3"/>
        </w:numPr>
        <w:spacing w:before="0" w:after="0"/>
        <w:rPr/>
      </w:pPr>
      <w:r>
        <w:rPr/>
        <w:t>对于</w:t>
      </w:r>
      <w:r>
        <w:rPr/>
        <w:t>coil</w:t>
      </w:r>
      <w:r>
        <w:rPr/>
        <w:t>类型功能码</w:t>
      </w:r>
      <w:r>
        <w:rPr/>
        <w:t>(1, 5)</w:t>
      </w:r>
      <w:r>
        <w:rPr/>
        <w:t>，每个属性寄存器个数是</w:t>
      </w:r>
      <w:r>
        <w:rPr/>
        <w:t>1</w:t>
      </w:r>
      <w:r>
        <w:rPr/>
        <w:t>。</w:t>
      </w:r>
    </w:p>
    <w:p>
      <w:pPr>
        <w:pStyle w:val="ListParagraph"/>
        <w:numPr>
          <w:ilvl w:val="0"/>
          <w:numId w:val="3"/>
        </w:numPr>
        <w:spacing w:before="0" w:after="0"/>
        <w:rPr/>
      </w:pPr>
      <w:r>
        <w:rPr/>
        <w:t>对于</w:t>
      </w:r>
      <w:r>
        <w:rPr/>
        <w:t>register</w:t>
      </w:r>
      <w:r>
        <w:rPr/>
        <w:t>类型功能码</w:t>
      </w:r>
      <w:r>
        <w:rPr/>
        <w:t>(3, 6, 4, 7)</w:t>
      </w:r>
      <w:r>
        <w:rPr/>
        <w:t>，如果定义了浮点数值类型</w:t>
      </w:r>
      <w:r>
        <w:rPr/>
        <w:t>(vt=”f”)</w:t>
      </w:r>
      <w:r>
        <w:rPr/>
        <w:t>，寄存器个数必须为</w:t>
      </w:r>
      <w:r>
        <w:rPr/>
        <w:t>2</w:t>
      </w:r>
      <w:r>
        <w:rPr/>
        <w:t>。其他情况下，可以是</w:t>
      </w:r>
      <w:r>
        <w:rPr/>
        <w:t>1</w:t>
      </w:r>
      <w:r>
        <w:rPr/>
        <w:t>个或者</w:t>
      </w:r>
      <w:r>
        <w:rPr/>
        <w:t>2</w:t>
      </w:r>
      <w:r>
        <w:rPr/>
        <w:t>个寄存器。</w:t>
      </w:r>
    </w:p>
    <w:p>
      <w:pPr>
        <w:pStyle w:val="Normal"/>
        <w:spacing w:before="0" w:after="0"/>
        <w:rPr/>
      </w:pPr>
      <w:r>
        <w:rPr>
          <w:b/>
        </w:rPr>
        <w:t>名称以“</w:t>
      </w:r>
      <w:r>
        <w:rPr>
          <w:b/>
        </w:rPr>
        <w:t>modbus.”</w:t>
      </w:r>
      <w:r>
        <w:rPr>
          <w:b/>
        </w:rPr>
        <w:t>开头的资源类型的特殊功能</w:t>
      </w:r>
      <w:r>
        <w:rPr/>
        <w:t>：</w:t>
      </w:r>
    </w:p>
    <w:p>
      <w:pPr>
        <w:pStyle w:val="Normal"/>
        <w:spacing w:before="0" w:after="0"/>
        <w:rPr/>
      </w:pPr>
      <w:r>
        <w:rPr/>
        <w:t>MODBUS META</w:t>
      </w:r>
      <w:r>
        <w:rPr/>
        <w:t>文件中如果一个资源的类型名称以”</w:t>
      </w:r>
      <w:r>
        <w:rPr/>
        <w:t>Modbus.”</w:t>
      </w:r>
      <w:r>
        <w:rPr/>
        <w:t>开头，第二个小节应该使用设备制造商的公司名称</w:t>
      </w:r>
      <w:r>
        <w:rPr/>
        <w:t>(</w:t>
      </w:r>
      <w:r>
        <w:rPr/>
        <w:t>全名如</w:t>
      </w:r>
      <w:r>
        <w:rPr/>
        <w:t>modbus.intel.humidity.H1001)</w:t>
      </w:r>
      <w:r>
        <w:rPr/>
        <w:t>。对于这种命名的资源类型，不需要在系统中预先存在对应资源类型的定义。当调用</w:t>
      </w:r>
      <w:r>
        <w:rPr/>
        <w:t>API</w:t>
      </w:r>
      <w:r>
        <w:rPr/>
        <w:t>上传</w:t>
      </w:r>
      <w:r>
        <w:rPr/>
        <w:t>modbus</w:t>
      </w:r>
      <w:r>
        <w:rPr/>
        <w:t>的</w:t>
      </w:r>
      <w:r>
        <w:rPr/>
        <w:t>META</w:t>
      </w:r>
      <w:r>
        <w:rPr/>
        <w:t>文件时，云端将自动直接从</w:t>
      </w:r>
      <w:r>
        <w:rPr/>
        <w:t>meta</w:t>
      </w:r>
      <w:r>
        <w:rPr/>
        <w:t>中提炼和生产对应的资源类型</w:t>
      </w:r>
      <w:r>
        <w:rPr/>
        <w:t>(rt)</w:t>
      </w:r>
      <w:r>
        <w:rPr/>
        <w:t>定义文件。</w:t>
      </w:r>
    </w:p>
    <w:p>
      <w:pPr>
        <w:pStyle w:val="Normal"/>
        <w:rPr/>
      </w:pPr>
      <w:r>
        <w:rPr/>
      </w:r>
    </w:p>
    <w:p>
      <w:pPr>
        <w:pStyle w:val="Normal"/>
        <w:rPr/>
      </w:pPr>
      <w:r>
        <w:rPr/>
      </w:r>
    </w:p>
    <w:p>
      <w:pPr>
        <w:pStyle w:val="Normal"/>
        <w:rPr/>
      </w:pPr>
      <w:r>
        <w:rPr/>
        <w:t>几个需要注意的地方：</w:t>
      </w:r>
    </w:p>
    <w:p>
      <w:pPr>
        <w:pStyle w:val="ListParagraph"/>
        <w:numPr>
          <w:ilvl w:val="0"/>
          <w:numId w:val="4"/>
        </w:numPr>
        <w:rPr/>
      </w:pPr>
      <w:r>
        <w:rPr/>
        <w:t>rt</w:t>
      </w:r>
      <w:r>
        <w:rPr/>
        <w:t>字段（</w:t>
      </w:r>
      <w:r>
        <w:rPr/>
        <w:t>RESOURCE TYPE</w:t>
      </w:r>
      <w:r>
        <w:rPr/>
        <w:t>）的选取尽量从</w:t>
      </w:r>
      <w:r>
        <w:rPr/>
        <w:t>OCF</w:t>
      </w:r>
      <w:r>
        <w:rPr/>
        <w:t xml:space="preserve">规范中选用合适的类型，如果实在找不到合适的类型后，才考虑使用自定义的类型。类型的名称请遵守规范： </w:t>
      </w:r>
      <w:r>
        <w:rPr/>
        <w:t>{</w:t>
      </w:r>
      <w:r>
        <w:rPr/>
        <w:t>组织或公司名称</w:t>
      </w:r>
      <w:r>
        <w:rPr/>
        <w:t>}.{</w:t>
      </w:r>
      <w:r>
        <w:rPr/>
        <w:t>资源类型名称</w:t>
      </w:r>
      <w:r>
        <w:rPr/>
        <w:t>}</w:t>
      </w:r>
    </w:p>
    <w:p>
      <w:pPr>
        <w:pStyle w:val="ListParagraph"/>
        <w:numPr>
          <w:ilvl w:val="0"/>
          <w:numId w:val="4"/>
        </w:numPr>
        <w:rPr/>
      </w:pPr>
      <w:r>
        <w:rPr/>
        <w:t>dt</w:t>
      </w:r>
      <w:r>
        <w:rPr/>
        <w:t>字段的命名请遵守规范：</w:t>
      </w:r>
    </w:p>
    <w:p>
      <w:pPr>
        <w:pStyle w:val="ListParagraph"/>
        <w:rPr/>
      </w:pPr>
      <w:r>
        <w:rPr/>
        <w:t>{sensor|control|switch}.{A-T-H-CO2}.{</w:t>
      </w:r>
      <w:r>
        <w:rPr/>
        <w:t>厂商</w:t>
      </w:r>
      <w:r>
        <w:rPr/>
        <w:t>}.{</w:t>
      </w:r>
      <w:r>
        <w:rPr/>
        <w:t>设备型号</w:t>
      </w:r>
      <w:r>
        <w:rPr/>
        <w:t>}</w:t>
      </w:r>
    </w:p>
    <w:p>
      <w:pPr>
        <w:pStyle w:val="ListParagraph"/>
        <w:rPr/>
      </w:pPr>
      <w:r>
        <w:rPr/>
        <w:t>第二段中</w:t>
      </w:r>
    </w:p>
    <w:p>
      <w:pPr>
        <w:pStyle w:val="ListParagraph"/>
        <w:rPr/>
      </w:pPr>
      <w:r>
        <w:rPr/>
        <w:t xml:space="preserve">T: </w:t>
      </w:r>
      <w:r>
        <w:rPr/>
        <w:t>温度</w:t>
      </w:r>
      <w:r>
        <w:rPr/>
        <w:t xml:space="preserve">, </w:t>
      </w:r>
    </w:p>
    <w:p>
      <w:pPr>
        <w:pStyle w:val="ListParagraph"/>
        <w:rPr/>
      </w:pPr>
      <w:r>
        <w:rPr/>
        <w:t>H:</w:t>
      </w:r>
      <w:r>
        <w:rPr/>
        <w:t xml:space="preserve">湿度， </w:t>
      </w:r>
    </w:p>
    <w:p>
      <w:pPr>
        <w:pStyle w:val="ListParagraph"/>
        <w:rPr/>
      </w:pPr>
      <w:r>
        <w:rPr/>
        <w:t>A</w:t>
      </w:r>
      <w:r>
        <w:rPr/>
        <w:t>：电流，</w:t>
      </w:r>
    </w:p>
    <w:p>
      <w:pPr>
        <w:pStyle w:val="ListParagraph"/>
        <w:rPr/>
      </w:pPr>
      <w:r>
        <w:rPr/>
        <w:t>CO2:</w:t>
      </w:r>
      <w:r>
        <w:rPr/>
        <w:t>二氧化碳</w:t>
      </w:r>
      <w:r>
        <w:rPr/>
        <w:t xml:space="preserve">, </w:t>
      </w:r>
    </w:p>
    <w:p>
      <w:pPr>
        <w:pStyle w:val="ListParagraph"/>
        <w:rPr/>
      </w:pPr>
      <w:r>
        <w:rPr/>
        <w:t xml:space="preserve">EP: </w:t>
      </w:r>
      <w:r>
        <w:rPr/>
        <w:t>电力传感器</w:t>
      </w:r>
    </w:p>
    <w:p>
      <w:pPr>
        <w:pStyle w:val="ListParagraph"/>
        <w:rPr/>
      </w:pPr>
      <w:r>
        <w:rPr/>
      </w:r>
    </w:p>
    <w:p>
      <w:pPr>
        <w:pStyle w:val="ListParagraph"/>
        <w:rPr/>
      </w:pPr>
      <w:r>
        <w:rPr/>
        <w:t>如果其他传感类型</w:t>
      </w:r>
      <w:r>
        <w:rPr/>
        <w:t>,</w:t>
      </w:r>
      <w:r>
        <w:rPr/>
        <w:t>使用相同的方式定义缩写表示</w:t>
      </w:r>
      <w:r>
        <w:rPr/>
        <w:t>.</w:t>
      </w:r>
    </w:p>
    <w:p>
      <w:pPr>
        <w:pStyle w:val="ListParagraph"/>
        <w:rPr/>
      </w:pPr>
      <w:r>
        <w:rPr/>
        <w:t>如果设备具有多种传感器能力，使用“</w:t>
      </w:r>
      <w:r>
        <w:rPr/>
        <w:t>-”</w:t>
      </w:r>
      <w:r>
        <w:rPr/>
        <w:t>来组合缩写</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egoe UI Light">
    <w:charset w:val="01"/>
    <w:family w:val="roman"/>
    <w:pitch w:val="variable"/>
  </w:font>
  <w:font w:name="Microsoft New Tai Lu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sz w:val="22"/>
      <w:szCs w:val="22"/>
      <w:lang w:val="en-US" w:eastAsia="zh-CN" w:bidi="ar-SA"/>
    </w:rPr>
  </w:style>
  <w:style w:type="paragraph" w:styleId="Heading1">
    <w:name w:val="Heading 1"/>
    <w:basedOn w:val="Normal"/>
    <w:next w:val="Normal"/>
    <w:link w:val="Heading1Char"/>
    <w:uiPriority w:val="9"/>
    <w:qFormat/>
    <w:rsid w:val="004b195a"/>
    <w:pPr>
      <w:keepNext/>
      <w:keepLines/>
      <w:numPr>
        <w:ilvl w:val="0"/>
        <w:numId w:val="1"/>
      </w:numPr>
      <w:spacing w:lineRule="auto" w:line="360" w:before="240" w:after="0"/>
      <w:outlineLvl w:val="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b195a"/>
    <w:pPr>
      <w:keepNext/>
      <w:keepLines/>
      <w:numPr>
        <w:ilvl w:val="1"/>
        <w:numId w:val="1"/>
      </w:numPr>
      <w:spacing w:lineRule="auto" w:line="360" w:before="40" w:after="0"/>
      <w:outlineLvl w:val="1"/>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4b195a"/>
    <w:pPr>
      <w:keepNext/>
      <w:keepLines/>
      <w:numPr>
        <w:ilvl w:val="2"/>
        <w:numId w:val="1"/>
      </w:numPr>
      <w:spacing w:lineRule="auto" w:line="360" w:before="40" w:after="0"/>
      <w:outlineLvl w:val="2"/>
      <w:outlineLvl w:val="2"/>
    </w:pPr>
    <w:rPr>
      <w:rFonts w:ascii="Calibri Light" w:hAnsi="Calibri Light" w:eastAsia="宋体"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semiHidden/>
    <w:unhideWhenUsed/>
    <w:qFormat/>
    <w:rsid w:val="004b195a"/>
    <w:pPr>
      <w:keepNext/>
      <w:keepLines/>
      <w:numPr>
        <w:ilvl w:val="3"/>
        <w:numId w:val="1"/>
      </w:numPr>
      <w:spacing w:lineRule="auto" w:line="360" w:before="40" w:after="0"/>
      <w:outlineLvl w:val="3"/>
      <w:outlineLvl w:val="3"/>
    </w:pPr>
    <w:rPr>
      <w:rFonts w:ascii="Calibri Light" w:hAnsi="Calibri Light" w:eastAsia="宋体"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4b195a"/>
    <w:pPr>
      <w:keepNext/>
      <w:keepLines/>
      <w:numPr>
        <w:ilvl w:val="4"/>
        <w:numId w:val="1"/>
      </w:numPr>
      <w:spacing w:lineRule="auto" w:line="360" w:before="40" w:after="0"/>
      <w:outlineLvl w:val="4"/>
      <w:outlineLvl w:val="4"/>
    </w:pPr>
    <w:rPr>
      <w:rFonts w:ascii="Calibri Light" w:hAnsi="Calibri Light" w:eastAsia="宋体"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4b195a"/>
    <w:pPr>
      <w:keepNext/>
      <w:keepLines/>
      <w:numPr>
        <w:ilvl w:val="5"/>
        <w:numId w:val="1"/>
      </w:numPr>
      <w:spacing w:lineRule="auto" w:line="360" w:before="40" w:after="0"/>
      <w:outlineLvl w:val="5"/>
      <w:outlineLvl w:val="5"/>
    </w:pPr>
    <w:rPr>
      <w:rFonts w:ascii="Calibri Light" w:hAnsi="Calibri Light" w:eastAsia="宋体"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4b195a"/>
    <w:pPr>
      <w:keepNext/>
      <w:keepLines/>
      <w:numPr>
        <w:ilvl w:val="6"/>
        <w:numId w:val="1"/>
      </w:numPr>
      <w:spacing w:lineRule="auto" w:line="360" w:before="40" w:after="0"/>
      <w:outlineLvl w:val="6"/>
      <w:outlineLvl w:val="6"/>
    </w:pPr>
    <w:rPr>
      <w:rFonts w:ascii="Calibri Light" w:hAnsi="Calibri Light" w:eastAsia="宋体"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4b195a"/>
    <w:pPr>
      <w:keepNext/>
      <w:keepLines/>
      <w:numPr>
        <w:ilvl w:val="7"/>
        <w:numId w:val="1"/>
      </w:numPr>
      <w:spacing w:lineRule="auto" w:line="360" w:before="40" w:after="0"/>
      <w:outlineLvl w:val="7"/>
      <w:outlineLvl w:val="7"/>
    </w:pPr>
    <w:rPr>
      <w:rFonts w:ascii="Calibri Light" w:hAnsi="Calibri Light" w:eastAsia="宋体"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4b195a"/>
    <w:pPr>
      <w:keepNext/>
      <w:keepLines/>
      <w:numPr>
        <w:ilvl w:val="8"/>
        <w:numId w:val="1"/>
      </w:numPr>
      <w:spacing w:lineRule="auto" w:line="360" w:before="40" w:after="0"/>
      <w:outlineLvl w:val="8"/>
      <w:outlineLvl w:val="8"/>
    </w:pPr>
    <w:rPr>
      <w:rFonts w:ascii="Calibri Light" w:hAnsi="Calibri Light" w:eastAsia="宋体"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195a"/>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4b195a"/>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4b195a"/>
    <w:rPr>
      <w:rFonts w:ascii="Calibri Light" w:hAnsi="Calibri Light" w:eastAsia="宋体"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semiHidden/>
    <w:qFormat/>
    <w:rsid w:val="004b195a"/>
    <w:rPr>
      <w:rFonts w:ascii="Calibri Light" w:hAnsi="Calibri Light" w:eastAsia="宋体" w:cs=""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semiHidden/>
    <w:qFormat/>
    <w:rsid w:val="004b195a"/>
    <w:rPr>
      <w:rFonts w:ascii="Calibri Light" w:hAnsi="Calibri Light" w:eastAsia="宋体" w:cs=""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semiHidden/>
    <w:qFormat/>
    <w:rsid w:val="004b195a"/>
    <w:rPr>
      <w:rFonts w:ascii="Calibri Light" w:hAnsi="Calibri Light" w:eastAsia="宋体" w:cs=""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semiHidden/>
    <w:qFormat/>
    <w:rsid w:val="004b195a"/>
    <w:rPr>
      <w:rFonts w:ascii="Calibri Light" w:hAnsi="Calibri Light" w:eastAsia="宋体"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semiHidden/>
    <w:qFormat/>
    <w:rsid w:val="004b195a"/>
    <w:rPr>
      <w:rFonts w:ascii="Calibri Light" w:hAnsi="Calibri Light" w:eastAsia="宋体"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4b195a"/>
    <w:rPr>
      <w:rFonts w:ascii="Calibri Light" w:hAnsi="Calibri Light" w:eastAsia="宋体" w:cs="" w:asciiTheme="majorHAnsi" w:cstheme="majorBidi" w:eastAsiaTheme="majorEastAsia" w:hAnsiTheme="majorHAnsi"/>
      <w:i/>
      <w:iCs/>
      <w:color w:val="272727" w:themeColor="text1" w:themeTint="d8"/>
      <w:sz w:val="21"/>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b195a"/>
    <w:pPr>
      <w:spacing w:lineRule="auto" w:line="360" w:before="0" w:after="160"/>
      <w:ind w:left="720" w:hanging="0"/>
      <w:contextualSpacing/>
    </w:pPr>
    <w:rPr>
      <w:rFonts w:ascii="Segoe UI Light" w:hAnsi="Segoe UI Light" w:eastAsia="DengXian Ligh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b195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LibreOffice/5.1.6.2$Linux_X86_64 LibreOffice_project/10m0$Build-2</Application>
  <Pages>3</Pages>
  <Words>1336</Words>
  <Characters>2055</Characters>
  <CharactersWithSpaces>2873</CharactersWithSpaces>
  <Paragraphs>98</Paragraphs>
  <Company>Intel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2019-07-05T13:15:00Z</dcterms:created>
  <dc:creator>Wang, Xin</dc:creator>
  <dc:description/>
  <cp:keywords>CTPClassification=CTP_NT</cp:keywords>
  <dc:language>en-US</dc:language>
  <cp:lastModifiedBy/>
  <dcterms:modified xsi:type="dcterms:W3CDTF">2019-09-23T10:23:58Z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TPClassification">
    <vt:lpwstr>CTP_NT</vt:lpwstr>
  </property>
  <property fmtid="{D5CDD505-2E9C-101B-9397-08002B2CF9AE}" pid="4" name="CTP_BU">
    <vt:lpwstr>NA</vt:lpwstr>
  </property>
  <property fmtid="{D5CDD505-2E9C-101B-9397-08002B2CF9AE}" pid="5" name="CTP_IDSID">
    <vt:lpwstr>NA</vt:lpwstr>
  </property>
  <property fmtid="{D5CDD505-2E9C-101B-9397-08002B2CF9AE}" pid="6" name="CTP_TimeStamp">
    <vt:lpwstr>2019-07-05 13:38:37Z</vt:lpwstr>
  </property>
  <property fmtid="{D5CDD505-2E9C-101B-9397-08002B2CF9AE}" pid="7" name="CTP_WWID">
    <vt:lpwstr>NA</vt:lpwstr>
  </property>
  <property fmtid="{D5CDD505-2E9C-101B-9397-08002B2CF9AE}" pid="8" name="Company">
    <vt:lpwstr>Intel Corporation</vt:lpwstr>
  </property>
  <property fmtid="{D5CDD505-2E9C-101B-9397-08002B2CF9AE}" pid="9" name="DocSecurity">
    <vt:i4>0</vt:i4>
  </property>
  <property fmtid="{D5CDD505-2E9C-101B-9397-08002B2CF9AE}" pid="10" name="HyperlinksChanged">
    <vt:bool>0</vt:bool>
  </property>
  <property fmtid="{D5CDD505-2E9C-101B-9397-08002B2CF9AE}" pid="11" name="LinksUpToDate">
    <vt:bool>0</vt:bool>
  </property>
  <property fmtid="{D5CDD505-2E9C-101B-9397-08002B2CF9AE}" pid="12" name="ScaleCrop">
    <vt:bool>0</vt:bool>
  </property>
  <property fmtid="{D5CDD505-2E9C-101B-9397-08002B2CF9AE}" pid="13" name="ShareDoc">
    <vt:bool>0</vt:bool>
  </property>
  <property fmtid="{D5CDD505-2E9C-101B-9397-08002B2CF9AE}" pid="14" name="TitusGUID">
    <vt:lpwstr>660eb675-281a-4023-97fa-1023a1b4aa72</vt:lpwstr>
  </property>
</Properties>
</file>