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rPr>
          <w:rFonts w:hint="eastAsia"/>
        </w:rPr>
      </w:pPr>
      <w:r>
        <w:t>启动优化</w:t>
      </w:r>
      <w:bookmarkStart w:id="0" w:name="_GoBack"/>
      <w:bookmarkEnd w:id="0"/>
    </w:p>
    <w:p w:rsidR="00EB25DD" w:rsidRPr="00FA29B6" w:rsidRDefault="00EB25DD" w:rsidP="00FA29B6">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sectPr w:rsidR="00EB25DD" w:rsidRPr="00FA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F38" w:rsidRDefault="00356F38" w:rsidP="00F77E33">
      <w:r>
        <w:separator/>
      </w:r>
    </w:p>
  </w:endnote>
  <w:endnote w:type="continuationSeparator" w:id="0">
    <w:p w:rsidR="00356F38" w:rsidRDefault="00356F38"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F38" w:rsidRDefault="00356F38" w:rsidP="00F77E33">
      <w:r>
        <w:separator/>
      </w:r>
    </w:p>
  </w:footnote>
  <w:footnote w:type="continuationSeparator" w:id="0">
    <w:p w:rsidR="00356F38" w:rsidRDefault="00356F38"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56F38"/>
    <w:rsid w:val="003A311D"/>
    <w:rsid w:val="0041786A"/>
    <w:rsid w:val="005A4F4D"/>
    <w:rsid w:val="005E16BE"/>
    <w:rsid w:val="005F1216"/>
    <w:rsid w:val="00647BA8"/>
    <w:rsid w:val="00672A3D"/>
    <w:rsid w:val="00693363"/>
    <w:rsid w:val="006F3264"/>
    <w:rsid w:val="007109FF"/>
    <w:rsid w:val="00710A25"/>
    <w:rsid w:val="00752F65"/>
    <w:rsid w:val="0081631E"/>
    <w:rsid w:val="00864086"/>
    <w:rsid w:val="00904FDB"/>
    <w:rsid w:val="009166EF"/>
    <w:rsid w:val="009F1853"/>
    <w:rsid w:val="00A3120F"/>
    <w:rsid w:val="00A4166C"/>
    <w:rsid w:val="00A570ED"/>
    <w:rsid w:val="00A86C54"/>
    <w:rsid w:val="00AF1D62"/>
    <w:rsid w:val="00B248D2"/>
    <w:rsid w:val="00B83FA5"/>
    <w:rsid w:val="00C849F6"/>
    <w:rsid w:val="00CA07ED"/>
    <w:rsid w:val="00CB6DF9"/>
    <w:rsid w:val="00CF2AD6"/>
    <w:rsid w:val="00CF2DDB"/>
    <w:rsid w:val="00D62D0B"/>
    <w:rsid w:val="00D63DAD"/>
    <w:rsid w:val="00DD3E08"/>
    <w:rsid w:val="00E21A75"/>
    <w:rsid w:val="00EB25DD"/>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7884</TotalTime>
  <Pages>30</Pages>
  <Words>2799</Words>
  <Characters>15957</Characters>
  <Application>Microsoft Office Word</Application>
  <DocSecurity>0</DocSecurity>
  <Lines>132</Lines>
  <Paragraphs>37</Paragraphs>
  <ScaleCrop>false</ScaleCrop>
  <Company>jietong</Company>
  <LinksUpToDate>false</LinksUpToDate>
  <CharactersWithSpaces>18719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28</cp:revision>
  <dcterms:created xsi:type="dcterms:W3CDTF">2020-09-27T07:22:00Z</dcterms:created>
  <dcterms:modified xsi:type="dcterms:W3CDTF">2021-05-11T03:08:00Z</dcterms:modified>
</cp:coreProperties>
</file>