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61A8C" w14:textId="7E69B8AE" w:rsidR="0098708F" w:rsidRPr="0098708F" w:rsidRDefault="0098708F" w:rsidP="0098708F">
      <w:pPr>
        <w:pStyle w:val="NormalWeb"/>
        <w:shd w:val="clear" w:color="auto" w:fill="FFFFFF"/>
        <w:rPr>
          <w:rFonts w:ascii="Calibri" w:hAnsi="Calibri" w:cs="Calibri"/>
          <w:b/>
          <w:bCs/>
        </w:rPr>
      </w:pPr>
      <w:r w:rsidRPr="0098708F">
        <w:rPr>
          <w:rFonts w:ascii="Calibri" w:hAnsi="Calibri" w:cs="Calibri"/>
          <w:b/>
          <w:bCs/>
        </w:rPr>
        <w:t xml:space="preserve">Topic 1 - </w:t>
      </w:r>
      <w:r w:rsidRPr="0098708F">
        <w:rPr>
          <w:rFonts w:ascii="Calibri" w:hAnsi="Calibri" w:cs="Calibri"/>
          <w:b/>
          <w:bCs/>
        </w:rPr>
        <w:t xml:space="preserve">Accountability and Responsibility </w:t>
      </w:r>
    </w:p>
    <w:p w14:paraId="04C56845" w14:textId="77777777" w:rsidR="0098708F" w:rsidRPr="0098708F" w:rsidRDefault="0098708F" w:rsidP="0098708F">
      <w:pPr>
        <w:rPr>
          <w:rFonts w:ascii="Calibri" w:hAnsi="Calibri" w:cs="Calibri"/>
        </w:rPr>
      </w:pPr>
    </w:p>
    <w:p w14:paraId="73B1856E" w14:textId="77777777" w:rsidR="0098708F" w:rsidRPr="0098708F" w:rsidRDefault="0098708F" w:rsidP="0098708F">
      <w:pPr>
        <w:rPr>
          <w:rFonts w:ascii="Calibri" w:hAnsi="Calibri" w:cs="Calibri"/>
        </w:rPr>
      </w:pPr>
      <w:r w:rsidRPr="0098708F">
        <w:rPr>
          <w:rFonts w:ascii="Calibri" w:hAnsi="Calibri" w:cs="Calibri"/>
        </w:rPr>
        <w:t>As artificial intelligence (AI) permeates every facet of our lives, transforming industries and shaping our future, it is crucial to examine the complex web of responsibilities surrounding its development and deployment. While the rapid advancement of AI has unlocked unprecedented opportunities for innovation and progress, it has also given rise to pressing ethical, legal, and societal challenges. Amidst this rapidly evolving landscape, the question of accountability and responsibility takes center stage. Who bears the burden of ensuring that AI is developed and used ethically, safely, and for the benefit of humanity? This essay argues that navigating the labyrinth of AI governance requires a multi-stakeholder approach, with a particular emphasis on the critical roles played by governments, developers, and corporations. Only through a concerted effort, weaving together the diverse threads of responsibility, can we hope to create an AI ecosystem that promotes innovation, protects fundamental rights, and upholds the greater good.</w:t>
      </w:r>
    </w:p>
    <w:p w14:paraId="7C58CFEF" w14:textId="77777777" w:rsidR="0098708F" w:rsidRPr="0098708F" w:rsidRDefault="0098708F" w:rsidP="0098708F">
      <w:pPr>
        <w:rPr>
          <w:rFonts w:ascii="Calibri" w:hAnsi="Calibri" w:cs="Calibri"/>
        </w:rPr>
      </w:pPr>
    </w:p>
    <w:p w14:paraId="762DF124" w14:textId="77777777" w:rsidR="0098708F" w:rsidRPr="0098708F" w:rsidRDefault="0098708F" w:rsidP="0098708F">
      <w:pPr>
        <w:rPr>
          <w:rFonts w:ascii="Calibri" w:hAnsi="Calibri" w:cs="Calibri"/>
        </w:rPr>
      </w:pPr>
      <w:r w:rsidRPr="0098708F">
        <w:rPr>
          <w:rFonts w:ascii="Calibri" w:hAnsi="Calibri" w:cs="Calibri"/>
        </w:rPr>
        <w:t>The Bedrock of AI Governance: The Pivotal Role of Governments</w:t>
      </w:r>
    </w:p>
    <w:p w14:paraId="5B88F2E1" w14:textId="77777777" w:rsidR="0098708F" w:rsidRPr="0098708F" w:rsidRDefault="0098708F" w:rsidP="0098708F">
      <w:pPr>
        <w:rPr>
          <w:rFonts w:ascii="Calibri" w:hAnsi="Calibri" w:cs="Calibri"/>
        </w:rPr>
      </w:pPr>
      <w:r w:rsidRPr="0098708F">
        <w:rPr>
          <w:rFonts w:ascii="Calibri" w:hAnsi="Calibri" w:cs="Calibri"/>
        </w:rPr>
        <w:t>Governments, at all levels, serve as the bedrock of AI governance, holding a significant responsibility in shaping the regulatory landscape. As AI technologies continue to evolve at a breakneck pace, governments must step up to the challenge of enacting legislation and regulations that address the unique risks and challenges posed by AI. The European Union's General Data Protection Regulation (GDPR) serves as a prime example of the growing recognition of the need for robust legal frameworks that balance innovation with the protection of individual rights (Cath et al., 2018). However, the task of striking the right balance is a delicate one, requiring careful consideration and ongoing adaptation as the technology progresses.</w:t>
      </w:r>
    </w:p>
    <w:p w14:paraId="2FDA84DF" w14:textId="77777777" w:rsidR="0098708F" w:rsidRPr="0098708F" w:rsidRDefault="0098708F" w:rsidP="0098708F">
      <w:pPr>
        <w:rPr>
          <w:rFonts w:ascii="Calibri" w:hAnsi="Calibri" w:cs="Calibri"/>
        </w:rPr>
      </w:pPr>
    </w:p>
    <w:p w14:paraId="6D281E66" w14:textId="77777777" w:rsidR="0098708F" w:rsidRPr="0098708F" w:rsidRDefault="0098708F" w:rsidP="0098708F">
      <w:pPr>
        <w:rPr>
          <w:rFonts w:ascii="Calibri" w:hAnsi="Calibri" w:cs="Calibri"/>
        </w:rPr>
      </w:pPr>
      <w:r w:rsidRPr="0098708F">
        <w:rPr>
          <w:rFonts w:ascii="Calibri" w:hAnsi="Calibri" w:cs="Calibri"/>
        </w:rPr>
        <w:t>Beyond the realm of regulation, governments have a vital role to play in actively promoting the ethical development of AI. By funding research in critical areas such as AI safety and explainability, establishing clear ethical guidelines, and fostering collaboration between diverse stakeholders, governments can help steer the trajectory of AI towards a more responsible and accountable future. Initiatives like the Global Partnership on AI (GPAI) exemplify this proactive approach, bringing together experts from across the globe to develop best practices for responsible AI development (OECD, 2020).</w:t>
      </w:r>
    </w:p>
    <w:p w14:paraId="37232285" w14:textId="77777777" w:rsidR="0098708F" w:rsidRPr="0098708F" w:rsidRDefault="0098708F" w:rsidP="0098708F">
      <w:pPr>
        <w:rPr>
          <w:rFonts w:ascii="Calibri" w:hAnsi="Calibri" w:cs="Calibri"/>
        </w:rPr>
      </w:pPr>
    </w:p>
    <w:p w14:paraId="59F01EB5" w14:textId="77777777" w:rsidR="0098708F" w:rsidRPr="0098708F" w:rsidRDefault="0098708F" w:rsidP="0098708F">
      <w:pPr>
        <w:rPr>
          <w:rFonts w:ascii="Calibri" w:hAnsi="Calibri" w:cs="Calibri"/>
        </w:rPr>
      </w:pPr>
      <w:r w:rsidRPr="0098708F">
        <w:rPr>
          <w:rFonts w:ascii="Calibri" w:hAnsi="Calibri" w:cs="Calibri"/>
        </w:rPr>
        <w:t>Moreover, governments bear the responsibility of building public trust and understanding in AI. This can be achieved through comprehensive public education campaigns, initiatives to promote digital literacy, and the facilitation of open dialogue on AI ethics and governance. Programs like "Elements of AI" (Wirtz et al., 2019) serve as a model for empowering citizens to critically engage with this transformative technology. However, ensuring equitable access to AI literacy and engagement opportunities remains a challenge that governments must actively address.</w:t>
      </w:r>
    </w:p>
    <w:p w14:paraId="6BD6F026" w14:textId="77777777" w:rsidR="0098708F" w:rsidRPr="0098708F" w:rsidRDefault="0098708F" w:rsidP="0098708F">
      <w:pPr>
        <w:rPr>
          <w:rFonts w:ascii="Calibri" w:hAnsi="Calibri" w:cs="Calibri"/>
        </w:rPr>
      </w:pPr>
    </w:p>
    <w:p w14:paraId="2FC7DF50" w14:textId="77777777" w:rsidR="0098708F" w:rsidRPr="0098708F" w:rsidRDefault="0098708F" w:rsidP="0098708F">
      <w:pPr>
        <w:rPr>
          <w:rFonts w:ascii="Calibri" w:hAnsi="Calibri" w:cs="Calibri"/>
        </w:rPr>
      </w:pPr>
      <w:r w:rsidRPr="0098708F">
        <w:rPr>
          <w:rFonts w:ascii="Calibri" w:hAnsi="Calibri" w:cs="Calibri"/>
        </w:rPr>
        <w:t xml:space="preserve">As AI continues to reshape the workforce, governments must also grapple with the complex socio-economic implications of automation. Investing in reskilling and upskilling initiatives, as well as exploring innovative solutions such as universal basic income (Khurana, 2019), will </w:t>
      </w:r>
      <w:r w:rsidRPr="0098708F">
        <w:rPr>
          <w:rFonts w:ascii="Calibri" w:hAnsi="Calibri" w:cs="Calibri"/>
        </w:rPr>
        <w:lastRenderedPageBreak/>
        <w:t>be crucial in ensuring a just transition for workers and mitigating the potential disruptive effects of AI on employment.</w:t>
      </w:r>
    </w:p>
    <w:p w14:paraId="21CEBD22" w14:textId="77777777" w:rsidR="0098708F" w:rsidRPr="0098708F" w:rsidRDefault="0098708F" w:rsidP="0098708F">
      <w:pPr>
        <w:rPr>
          <w:rFonts w:ascii="Calibri" w:hAnsi="Calibri" w:cs="Calibri"/>
        </w:rPr>
      </w:pPr>
    </w:p>
    <w:p w14:paraId="133A7641" w14:textId="77777777" w:rsidR="0098708F" w:rsidRPr="0098708F" w:rsidRDefault="0098708F" w:rsidP="0098708F">
      <w:pPr>
        <w:rPr>
          <w:rFonts w:ascii="Calibri" w:hAnsi="Calibri" w:cs="Calibri"/>
        </w:rPr>
      </w:pPr>
      <w:r w:rsidRPr="0098708F">
        <w:rPr>
          <w:rFonts w:ascii="Calibri" w:hAnsi="Calibri" w:cs="Calibri"/>
        </w:rPr>
        <w:t>The Architects of AI: Developers and the Ethical Imperative</w:t>
      </w:r>
    </w:p>
    <w:p w14:paraId="44D7583B" w14:textId="77777777" w:rsidR="0098708F" w:rsidRPr="0098708F" w:rsidRDefault="0098708F" w:rsidP="0098708F">
      <w:pPr>
        <w:rPr>
          <w:rFonts w:ascii="Calibri" w:hAnsi="Calibri" w:cs="Calibri"/>
        </w:rPr>
      </w:pPr>
      <w:r w:rsidRPr="0098708F">
        <w:rPr>
          <w:rFonts w:ascii="Calibri" w:hAnsi="Calibri" w:cs="Calibri"/>
        </w:rPr>
        <w:t>While governments lay the foundation for AI governance, the ethical development and deployment of AI ultimately rests on the shoulders of its architects: the developers and corporations creating these intelligent systems. As the ones shaping the very fabric of AI, developers hold immense power and responsibility. Embedding ethical considerations into the design process from the outset is not merely an option, but an imperative. This involves anticipating and mitigating potential biases, risks, and societal impacts, as well as ensuring transparency and explainability in AI decision-making (Calo, 2015).</w:t>
      </w:r>
    </w:p>
    <w:p w14:paraId="1460A741" w14:textId="77777777" w:rsidR="0098708F" w:rsidRPr="0098708F" w:rsidRDefault="0098708F" w:rsidP="0098708F">
      <w:pPr>
        <w:rPr>
          <w:rFonts w:ascii="Calibri" w:hAnsi="Calibri" w:cs="Calibri"/>
        </w:rPr>
      </w:pPr>
    </w:p>
    <w:p w14:paraId="5AFD1798" w14:textId="77777777" w:rsidR="0098708F" w:rsidRPr="0098708F" w:rsidRDefault="0098708F" w:rsidP="0098708F">
      <w:pPr>
        <w:rPr>
          <w:rFonts w:ascii="Calibri" w:hAnsi="Calibri" w:cs="Calibri"/>
        </w:rPr>
      </w:pPr>
      <w:r w:rsidRPr="0098708F">
        <w:rPr>
          <w:rFonts w:ascii="Calibri" w:hAnsi="Calibri" w:cs="Calibri"/>
        </w:rPr>
        <w:t>Tools like AI Fairness 360 (Angwin et al., 2016) offer practical solutions for addressing bias in datasets and algorithms, but their effectiveness is contingent upon the commitment and priorities of developers and their organizations. Prioritizing transparency and investing in Explainable AI (XAI) techniques is equally crucial, enabling users to understand the rationale behind AI-driven outcomes and fostering trust in these systems.</w:t>
      </w:r>
    </w:p>
    <w:p w14:paraId="3A7EF7CA" w14:textId="77777777" w:rsidR="0098708F" w:rsidRPr="0098708F" w:rsidRDefault="0098708F" w:rsidP="0098708F">
      <w:pPr>
        <w:rPr>
          <w:rFonts w:ascii="Calibri" w:hAnsi="Calibri" w:cs="Calibri"/>
        </w:rPr>
      </w:pPr>
    </w:p>
    <w:p w14:paraId="33F4C47E" w14:textId="77777777" w:rsidR="0098708F" w:rsidRPr="0098708F" w:rsidRDefault="0098708F" w:rsidP="0098708F">
      <w:pPr>
        <w:rPr>
          <w:rFonts w:ascii="Calibri" w:hAnsi="Calibri" w:cs="Calibri"/>
        </w:rPr>
      </w:pPr>
      <w:r w:rsidRPr="0098708F">
        <w:rPr>
          <w:rFonts w:ascii="Calibri" w:hAnsi="Calibri" w:cs="Calibri"/>
        </w:rPr>
        <w:t>Furthermore, developers must place the utmost importance on ensuring the safety and security of AI systems. The tragic case of the Uber self-driving car fatality (Cath et al., 2018) serves as a stark reminder of the need for rigorous testing, continuous oversight, and the implementation of robust safeguards, particularly in high-stakes domains.</w:t>
      </w:r>
    </w:p>
    <w:p w14:paraId="5022F3E2" w14:textId="77777777" w:rsidR="0098708F" w:rsidRPr="0098708F" w:rsidRDefault="0098708F" w:rsidP="0098708F">
      <w:pPr>
        <w:rPr>
          <w:rFonts w:ascii="Calibri" w:hAnsi="Calibri" w:cs="Calibri"/>
        </w:rPr>
      </w:pPr>
    </w:p>
    <w:p w14:paraId="67F30455" w14:textId="77777777" w:rsidR="0098708F" w:rsidRPr="0098708F" w:rsidRDefault="0098708F" w:rsidP="0098708F">
      <w:pPr>
        <w:rPr>
          <w:rFonts w:ascii="Calibri" w:hAnsi="Calibri" w:cs="Calibri"/>
        </w:rPr>
      </w:pPr>
      <w:r w:rsidRPr="0098708F">
        <w:rPr>
          <w:rFonts w:ascii="Calibri" w:hAnsi="Calibri" w:cs="Calibri"/>
        </w:rPr>
        <w:t>Corporate Responsibility and Algorithmic Accountability</w:t>
      </w:r>
    </w:p>
    <w:p w14:paraId="70FA2BE9" w14:textId="77777777" w:rsidR="0098708F" w:rsidRPr="0098708F" w:rsidRDefault="0098708F" w:rsidP="0098708F">
      <w:pPr>
        <w:rPr>
          <w:rFonts w:ascii="Calibri" w:hAnsi="Calibri" w:cs="Calibri"/>
        </w:rPr>
      </w:pPr>
      <w:r w:rsidRPr="0098708F">
        <w:rPr>
          <w:rFonts w:ascii="Calibri" w:hAnsi="Calibri" w:cs="Calibri"/>
        </w:rPr>
        <w:t>Corporations deploying AI systems have a profound responsibility to go beyond mere compliance with regulations and embrace a proactive stance on algorithmic accountability. The establishment of AI ethics boards, the conduct of thorough impact assessments, and the regular auditing of algorithms for bias and unintended consequences are all essential components of responsible AI deployment (Jobin et al., 2019).</w:t>
      </w:r>
    </w:p>
    <w:p w14:paraId="48736D39" w14:textId="77777777" w:rsidR="0098708F" w:rsidRPr="0098708F" w:rsidRDefault="0098708F" w:rsidP="0098708F">
      <w:pPr>
        <w:rPr>
          <w:rFonts w:ascii="Calibri" w:hAnsi="Calibri" w:cs="Calibri"/>
        </w:rPr>
      </w:pPr>
    </w:p>
    <w:p w14:paraId="0F320CFC" w14:textId="77777777" w:rsidR="0098708F" w:rsidRPr="0098708F" w:rsidRDefault="0098708F" w:rsidP="0098708F">
      <w:pPr>
        <w:rPr>
          <w:rFonts w:ascii="Calibri" w:hAnsi="Calibri" w:cs="Calibri"/>
        </w:rPr>
      </w:pPr>
      <w:r w:rsidRPr="0098708F">
        <w:rPr>
          <w:rFonts w:ascii="Calibri" w:hAnsi="Calibri" w:cs="Calibri"/>
        </w:rPr>
        <w:t>The case of the COMPAS recidivism risk-assessment tool, which was found to exhibit racial biases (Angwin et al., 2016), underscores the critical importance of such measures. However, relying solely on internal ethics boards and self-regulation may not be sufficient to hold corporations fully accountable (Mittelstadt, 2019). The development of external oversight mechanisms and the strengthening of enforcement capabilities will be necessary to ensure that corporate AI practices align with societal values and the public interest.</w:t>
      </w:r>
    </w:p>
    <w:p w14:paraId="0E28DAE5" w14:textId="77777777" w:rsidR="0098708F" w:rsidRPr="0098708F" w:rsidRDefault="0098708F" w:rsidP="0098708F">
      <w:pPr>
        <w:rPr>
          <w:rFonts w:ascii="Calibri" w:hAnsi="Calibri" w:cs="Calibri"/>
        </w:rPr>
      </w:pPr>
    </w:p>
    <w:p w14:paraId="50623146" w14:textId="77777777" w:rsidR="0098708F" w:rsidRPr="0098708F" w:rsidRDefault="0098708F" w:rsidP="0098708F">
      <w:pPr>
        <w:rPr>
          <w:rFonts w:ascii="Calibri" w:hAnsi="Calibri" w:cs="Calibri"/>
        </w:rPr>
      </w:pPr>
      <w:r w:rsidRPr="0098708F">
        <w:rPr>
          <w:rFonts w:ascii="Calibri" w:hAnsi="Calibri" w:cs="Calibri"/>
        </w:rPr>
        <w:t>Transparency and user empowerment must also be at the forefront of corporate AI deployment. Providing clear information about how AI systems are used, what data is collected, and how it influences decisions is essential for fostering trust and enabling individuals to make informed choices about their engagement with these technologies. Moreover, offering accessible mechanisms for recourse and redress in cases of harm or unfair treatment is a fundamental aspect of responsible AI governance (IEEE, 2019).</w:t>
      </w:r>
    </w:p>
    <w:p w14:paraId="6209191A" w14:textId="77777777" w:rsidR="0098708F" w:rsidRPr="0098708F" w:rsidRDefault="0098708F" w:rsidP="0098708F">
      <w:pPr>
        <w:rPr>
          <w:rFonts w:ascii="Calibri" w:hAnsi="Calibri" w:cs="Calibri"/>
        </w:rPr>
      </w:pPr>
    </w:p>
    <w:p w14:paraId="1214F003" w14:textId="77777777" w:rsidR="0098708F" w:rsidRPr="0098708F" w:rsidRDefault="0098708F" w:rsidP="0098708F">
      <w:pPr>
        <w:rPr>
          <w:rFonts w:ascii="Calibri" w:hAnsi="Calibri" w:cs="Calibri"/>
        </w:rPr>
      </w:pPr>
      <w:r w:rsidRPr="0098708F">
        <w:rPr>
          <w:rFonts w:ascii="Calibri" w:hAnsi="Calibri" w:cs="Calibri"/>
        </w:rPr>
        <w:t>The Threads of Collaboration: Multi-Stakeholder Initiatives and Governance</w:t>
      </w:r>
    </w:p>
    <w:p w14:paraId="48485657" w14:textId="77777777" w:rsidR="0098708F" w:rsidRPr="0098708F" w:rsidRDefault="0098708F" w:rsidP="0098708F">
      <w:pPr>
        <w:rPr>
          <w:rFonts w:ascii="Calibri" w:hAnsi="Calibri" w:cs="Calibri"/>
        </w:rPr>
      </w:pPr>
      <w:r w:rsidRPr="0098708F">
        <w:rPr>
          <w:rFonts w:ascii="Calibri" w:hAnsi="Calibri" w:cs="Calibri"/>
        </w:rPr>
        <w:t xml:space="preserve">Navigating the complex challenges posed by AI requires the weaving together of diverse threads of expertise and perspective. Multi-stakeholder initiatives and collaborative </w:t>
      </w:r>
      <w:r w:rsidRPr="0098708F">
        <w:rPr>
          <w:rFonts w:ascii="Calibri" w:hAnsi="Calibri" w:cs="Calibri"/>
        </w:rPr>
        <w:lastRenderedPageBreak/>
        <w:t>governance structures offer a promising avenue for bringing together governments, industry leaders, academics, civil society organizations, and the public to engage in constructive dialogue, build consensus, and develop shared solutions (Cath et al., 2018).</w:t>
      </w:r>
    </w:p>
    <w:p w14:paraId="1A252ABD" w14:textId="77777777" w:rsidR="0098708F" w:rsidRPr="0098708F" w:rsidRDefault="0098708F" w:rsidP="0098708F">
      <w:pPr>
        <w:rPr>
          <w:rFonts w:ascii="Calibri" w:hAnsi="Calibri" w:cs="Calibri"/>
        </w:rPr>
      </w:pPr>
    </w:p>
    <w:p w14:paraId="1EE5540D" w14:textId="77777777" w:rsidR="0098708F" w:rsidRPr="0098708F" w:rsidRDefault="0098708F" w:rsidP="0098708F">
      <w:pPr>
        <w:rPr>
          <w:rFonts w:ascii="Calibri" w:hAnsi="Calibri" w:cs="Calibri"/>
        </w:rPr>
      </w:pPr>
      <w:r w:rsidRPr="0098708F">
        <w:rPr>
          <w:rFonts w:ascii="Calibri" w:hAnsi="Calibri" w:cs="Calibri"/>
        </w:rPr>
        <w:t>The Partnership on AI and the Global Partnership on AI (GPAI) exemplify this collaborative approach, providing platforms for diverse stakeholders to come together and address the ethical, social, and legal implications of AI. These initiatives play a vital role in fostering cross-sectoral cooperation, sharing best practices, and developing guidelines and standards for responsible AI development and deployment.</w:t>
      </w:r>
    </w:p>
    <w:p w14:paraId="5ED643D3" w14:textId="77777777" w:rsidR="0098708F" w:rsidRPr="0098708F" w:rsidRDefault="0098708F" w:rsidP="0098708F">
      <w:pPr>
        <w:rPr>
          <w:rFonts w:ascii="Calibri" w:hAnsi="Calibri" w:cs="Calibri"/>
        </w:rPr>
      </w:pPr>
    </w:p>
    <w:p w14:paraId="5CF4CBF8" w14:textId="77777777" w:rsidR="0098708F" w:rsidRPr="0098708F" w:rsidRDefault="0098708F" w:rsidP="0098708F">
      <w:pPr>
        <w:rPr>
          <w:rFonts w:ascii="Calibri" w:hAnsi="Calibri" w:cs="Calibri"/>
        </w:rPr>
      </w:pPr>
      <w:r w:rsidRPr="0098708F">
        <w:rPr>
          <w:rFonts w:ascii="Calibri" w:hAnsi="Calibri" w:cs="Calibri"/>
        </w:rPr>
        <w:t>The establishment of independent oversight bodies, such as national AI ethics commissions or international regulatory bodies, is another critical component of effective AI governance. These entities would be tasked with monitoring AI development and deployment, investigating potential harms, and enforcing ethical guidelines and regulations (Floridi et al., 2018). However, the design and implementation of such oversight mechanisms must be carefully considered to ensure their legitimacy, accountability, and effectiveness.</w:t>
      </w:r>
    </w:p>
    <w:p w14:paraId="3641CC86" w14:textId="77777777" w:rsidR="0098708F" w:rsidRPr="0098708F" w:rsidRDefault="0098708F" w:rsidP="0098708F">
      <w:pPr>
        <w:rPr>
          <w:rFonts w:ascii="Calibri" w:hAnsi="Calibri" w:cs="Calibri"/>
        </w:rPr>
      </w:pPr>
    </w:p>
    <w:p w14:paraId="3AE6FF88" w14:textId="77777777" w:rsidR="0098708F" w:rsidRPr="0098708F" w:rsidRDefault="0098708F" w:rsidP="0098708F">
      <w:pPr>
        <w:rPr>
          <w:rFonts w:ascii="Calibri" w:hAnsi="Calibri" w:cs="Calibri"/>
        </w:rPr>
      </w:pPr>
      <w:r w:rsidRPr="0098708F">
        <w:rPr>
          <w:rFonts w:ascii="Calibri" w:hAnsi="Calibri" w:cs="Calibri"/>
        </w:rPr>
        <w:t>The path towards responsible AI is a complex and evolving one, requiring the collective efforts of governments, developers, corporations, and society as a whole. By recognizing the shared responsibilities and working together towards a common goal, we can strive to create an AI ecosystem that promotes innovation, protects fundamental rights, and upholds the greater good.</w:t>
      </w:r>
    </w:p>
    <w:p w14:paraId="4AE5DC39" w14:textId="77777777" w:rsidR="0098708F" w:rsidRPr="0098708F" w:rsidRDefault="0098708F" w:rsidP="0098708F">
      <w:pPr>
        <w:rPr>
          <w:rFonts w:ascii="Calibri" w:hAnsi="Calibri" w:cs="Calibri"/>
        </w:rPr>
      </w:pPr>
    </w:p>
    <w:p w14:paraId="6F3E4C0C" w14:textId="77777777" w:rsidR="0098708F" w:rsidRPr="0098708F" w:rsidRDefault="0098708F" w:rsidP="0098708F">
      <w:pPr>
        <w:rPr>
          <w:rFonts w:ascii="Calibri" w:hAnsi="Calibri" w:cs="Calibri"/>
        </w:rPr>
      </w:pPr>
      <w:r w:rsidRPr="0098708F">
        <w:rPr>
          <w:rFonts w:ascii="Calibri" w:hAnsi="Calibri" w:cs="Calibri"/>
        </w:rPr>
        <w:t>Governments must provide the regulatory bedrock and actively promote ethical AI development, while developers and corporations bear the responsibility of embedding ethical principles into the design and deployment of AI systems. Collaborative governance structures and multi-stakeholder initiatives offer a promising avenue for bringing together diverse perspectives and developing shared solutions.</w:t>
      </w:r>
    </w:p>
    <w:p w14:paraId="43F8644A" w14:textId="77777777" w:rsidR="0098708F" w:rsidRPr="0098708F" w:rsidRDefault="0098708F" w:rsidP="0098708F">
      <w:pPr>
        <w:rPr>
          <w:rFonts w:ascii="Calibri" w:hAnsi="Calibri" w:cs="Calibri"/>
        </w:rPr>
      </w:pPr>
    </w:p>
    <w:p w14:paraId="2B2C555C" w14:textId="77777777" w:rsidR="0098708F" w:rsidRPr="0098708F" w:rsidRDefault="0098708F" w:rsidP="0098708F">
      <w:pPr>
        <w:rPr>
          <w:rFonts w:ascii="Calibri" w:hAnsi="Calibri" w:cs="Calibri"/>
        </w:rPr>
      </w:pPr>
      <w:r w:rsidRPr="0098708F">
        <w:rPr>
          <w:rFonts w:ascii="Calibri" w:hAnsi="Calibri" w:cs="Calibri"/>
        </w:rPr>
        <w:t>As we stand at the precipice of an AI-driven future, it is imperative that we choose wisely and work towards a vision of AI that empowers humanity and creates a more just and equitable world for all. The tapestry of responsibility is one that we must weave together, with each stakeholder playing a vital role in shaping the fabric of our shared future.</w:t>
      </w:r>
    </w:p>
    <w:p w14:paraId="5ED3622B" w14:textId="77777777" w:rsidR="0098708F" w:rsidRPr="0098708F" w:rsidRDefault="0098708F" w:rsidP="0098708F">
      <w:pPr>
        <w:rPr>
          <w:rFonts w:ascii="Calibri" w:hAnsi="Calibri" w:cs="Calibri"/>
        </w:rPr>
      </w:pPr>
    </w:p>
    <w:p w14:paraId="6E69EADA" w14:textId="77777777" w:rsidR="0098708F" w:rsidRPr="0098708F" w:rsidRDefault="0098708F" w:rsidP="0098708F">
      <w:pPr>
        <w:rPr>
          <w:rFonts w:ascii="Calibri" w:hAnsi="Calibri" w:cs="Calibri"/>
        </w:rPr>
      </w:pPr>
      <w:r w:rsidRPr="0098708F">
        <w:rPr>
          <w:rFonts w:ascii="Calibri" w:hAnsi="Calibri" w:cs="Calibri"/>
        </w:rPr>
        <w:t>References:</w:t>
      </w:r>
    </w:p>
    <w:p w14:paraId="7063A83A" w14:textId="77777777" w:rsidR="0098708F" w:rsidRPr="0098708F" w:rsidRDefault="0098708F" w:rsidP="0098708F">
      <w:pPr>
        <w:rPr>
          <w:rFonts w:ascii="Calibri" w:hAnsi="Calibri" w:cs="Calibri"/>
        </w:rPr>
      </w:pPr>
      <w:r w:rsidRPr="0098708F">
        <w:rPr>
          <w:rFonts w:ascii="Calibri" w:hAnsi="Calibri" w:cs="Calibri"/>
        </w:rPr>
        <w:t>Angwin, J., Larson, J., Mattu, S., &amp; Kirchner, L. (2016). Machine bias. ProPublica.</w:t>
      </w:r>
    </w:p>
    <w:p w14:paraId="3A399CA7" w14:textId="77777777" w:rsidR="0098708F" w:rsidRPr="0098708F" w:rsidRDefault="0098708F" w:rsidP="0098708F">
      <w:pPr>
        <w:rPr>
          <w:rFonts w:ascii="Calibri" w:hAnsi="Calibri" w:cs="Calibri"/>
        </w:rPr>
      </w:pPr>
    </w:p>
    <w:p w14:paraId="4F3B7594" w14:textId="77777777" w:rsidR="0098708F" w:rsidRPr="0098708F" w:rsidRDefault="0098708F" w:rsidP="0098708F">
      <w:pPr>
        <w:rPr>
          <w:rFonts w:ascii="Calibri" w:hAnsi="Calibri" w:cs="Calibri"/>
        </w:rPr>
      </w:pPr>
      <w:r w:rsidRPr="0098708F">
        <w:rPr>
          <w:rFonts w:ascii="Calibri" w:hAnsi="Calibri" w:cs="Calibri"/>
        </w:rPr>
        <w:t>Calo, R. (2015). Robotics and the lessons of cyberlaw. California Law Review, 103(3), 513-563.</w:t>
      </w:r>
    </w:p>
    <w:p w14:paraId="371A9079" w14:textId="77777777" w:rsidR="0098708F" w:rsidRPr="0098708F" w:rsidRDefault="0098708F" w:rsidP="0098708F">
      <w:pPr>
        <w:rPr>
          <w:rFonts w:ascii="Calibri" w:hAnsi="Calibri" w:cs="Calibri"/>
        </w:rPr>
      </w:pPr>
    </w:p>
    <w:p w14:paraId="11254668" w14:textId="77777777" w:rsidR="0098708F" w:rsidRPr="0098708F" w:rsidRDefault="0098708F" w:rsidP="0098708F">
      <w:pPr>
        <w:rPr>
          <w:rFonts w:ascii="Calibri" w:hAnsi="Calibri" w:cs="Calibri"/>
        </w:rPr>
      </w:pPr>
      <w:r w:rsidRPr="0098708F">
        <w:rPr>
          <w:rFonts w:ascii="Calibri" w:hAnsi="Calibri" w:cs="Calibri"/>
        </w:rPr>
        <w:t>Cath, C., Wachter, S., Mittelstadt, B., Taddeo, M., &amp; Floridi, L. (2018). Artificial intelligence and the 'good society': The US, EU, and UK approach. Science and Engineering Ethics, 24(2), 505-528.</w:t>
      </w:r>
    </w:p>
    <w:p w14:paraId="5E0AAC17" w14:textId="77777777" w:rsidR="0098708F" w:rsidRPr="0098708F" w:rsidRDefault="0098708F" w:rsidP="0098708F">
      <w:pPr>
        <w:rPr>
          <w:rFonts w:ascii="Calibri" w:hAnsi="Calibri" w:cs="Calibri"/>
        </w:rPr>
      </w:pPr>
    </w:p>
    <w:p w14:paraId="5A78E3EB" w14:textId="77777777" w:rsidR="0098708F" w:rsidRPr="0098708F" w:rsidRDefault="0098708F" w:rsidP="0098708F">
      <w:pPr>
        <w:rPr>
          <w:rFonts w:ascii="Calibri" w:hAnsi="Calibri" w:cs="Calibri"/>
        </w:rPr>
      </w:pPr>
      <w:r w:rsidRPr="0098708F">
        <w:rPr>
          <w:rFonts w:ascii="Calibri" w:hAnsi="Calibri" w:cs="Calibri"/>
        </w:rPr>
        <w:t>Floridi, L., Cowls, J., Beltrametti, M., Chatila, R., Chazerand, P., Dignum, V., ... &amp; Vayena, E. (2018). AI4People—An ethical framework for a good AI society: Opportunities, risks, principles, and recommendations. Minds and Machines, 28(4), 689-707.</w:t>
      </w:r>
    </w:p>
    <w:p w14:paraId="6ACC87FC" w14:textId="77777777" w:rsidR="0098708F" w:rsidRPr="0098708F" w:rsidRDefault="0098708F" w:rsidP="0098708F">
      <w:pPr>
        <w:rPr>
          <w:rFonts w:ascii="Calibri" w:hAnsi="Calibri" w:cs="Calibri"/>
        </w:rPr>
      </w:pPr>
    </w:p>
    <w:p w14:paraId="4389B1AD" w14:textId="77777777" w:rsidR="0098708F" w:rsidRPr="0098708F" w:rsidRDefault="0098708F" w:rsidP="0098708F">
      <w:pPr>
        <w:rPr>
          <w:rFonts w:ascii="Calibri" w:hAnsi="Calibri" w:cs="Calibri"/>
        </w:rPr>
      </w:pPr>
      <w:r w:rsidRPr="0098708F">
        <w:rPr>
          <w:rFonts w:ascii="Calibri" w:hAnsi="Calibri" w:cs="Calibri"/>
        </w:rPr>
        <w:t>IEEE. (2019). Ethically aligned design: A vision for prioritizing human well-being with autonomous and intelligent systems.</w:t>
      </w:r>
    </w:p>
    <w:p w14:paraId="14721FAE" w14:textId="77777777" w:rsidR="0098708F" w:rsidRPr="0098708F" w:rsidRDefault="0098708F" w:rsidP="0098708F">
      <w:pPr>
        <w:rPr>
          <w:rFonts w:ascii="Calibri" w:hAnsi="Calibri" w:cs="Calibri"/>
        </w:rPr>
      </w:pPr>
    </w:p>
    <w:p w14:paraId="793603EA" w14:textId="77777777" w:rsidR="0098708F" w:rsidRPr="0098708F" w:rsidRDefault="0098708F" w:rsidP="0098708F">
      <w:pPr>
        <w:rPr>
          <w:rFonts w:ascii="Calibri" w:hAnsi="Calibri" w:cs="Calibri"/>
        </w:rPr>
      </w:pPr>
      <w:r w:rsidRPr="0098708F">
        <w:rPr>
          <w:rFonts w:ascii="Calibri" w:hAnsi="Calibri" w:cs="Calibri"/>
        </w:rPr>
        <w:t>Jobin, A., Ienca, M., &amp; Vayena, E. (2019). The global landscape of AI ethics guidelines. Nature Machine Intelligence, 1(9), 389-399.</w:t>
      </w:r>
    </w:p>
    <w:p w14:paraId="28412092" w14:textId="77777777" w:rsidR="0098708F" w:rsidRPr="0098708F" w:rsidRDefault="0098708F" w:rsidP="0098708F">
      <w:pPr>
        <w:rPr>
          <w:rFonts w:ascii="Calibri" w:hAnsi="Calibri" w:cs="Calibri"/>
        </w:rPr>
      </w:pPr>
    </w:p>
    <w:p w14:paraId="658B3E8E" w14:textId="77777777" w:rsidR="0098708F" w:rsidRPr="0098708F" w:rsidRDefault="0098708F" w:rsidP="0098708F">
      <w:pPr>
        <w:rPr>
          <w:rFonts w:ascii="Calibri" w:hAnsi="Calibri" w:cs="Calibri"/>
        </w:rPr>
      </w:pPr>
      <w:r w:rsidRPr="0098708F">
        <w:rPr>
          <w:rFonts w:ascii="Calibri" w:hAnsi="Calibri" w:cs="Calibri"/>
        </w:rPr>
        <w:t>Khurana, A. (2019). Automation, jobs, and the role of universal basic income. Journal of Political Philosophy, 27(4), 461-484.</w:t>
      </w:r>
    </w:p>
    <w:p w14:paraId="29EBAC4C" w14:textId="77777777" w:rsidR="0098708F" w:rsidRPr="0098708F" w:rsidRDefault="0098708F" w:rsidP="0098708F">
      <w:pPr>
        <w:rPr>
          <w:rFonts w:ascii="Calibri" w:hAnsi="Calibri" w:cs="Calibri"/>
        </w:rPr>
      </w:pPr>
    </w:p>
    <w:p w14:paraId="513DA9DD" w14:textId="77777777" w:rsidR="0098708F" w:rsidRPr="0098708F" w:rsidRDefault="0098708F" w:rsidP="0098708F">
      <w:pPr>
        <w:rPr>
          <w:rFonts w:ascii="Calibri" w:hAnsi="Calibri" w:cs="Calibri"/>
        </w:rPr>
      </w:pPr>
      <w:r w:rsidRPr="0098708F">
        <w:rPr>
          <w:rFonts w:ascii="Calibri" w:hAnsi="Calibri" w:cs="Calibri"/>
        </w:rPr>
        <w:t>Mittelstadt, B. (2019). Principles alone cannot guarantee ethical AI. Nature Machine Intelligence, 1(11), 501-507.</w:t>
      </w:r>
    </w:p>
    <w:p w14:paraId="45AA5D59" w14:textId="77777777" w:rsidR="0098708F" w:rsidRPr="0098708F" w:rsidRDefault="0098708F" w:rsidP="0098708F">
      <w:pPr>
        <w:rPr>
          <w:rFonts w:ascii="Calibri" w:hAnsi="Calibri" w:cs="Calibri"/>
        </w:rPr>
      </w:pPr>
    </w:p>
    <w:p w14:paraId="33CC05E9" w14:textId="77777777" w:rsidR="0098708F" w:rsidRPr="0098708F" w:rsidRDefault="0098708F" w:rsidP="0098708F">
      <w:pPr>
        <w:rPr>
          <w:rFonts w:ascii="Calibri" w:hAnsi="Calibri" w:cs="Calibri"/>
        </w:rPr>
      </w:pPr>
      <w:r w:rsidRPr="0098708F">
        <w:rPr>
          <w:rFonts w:ascii="Calibri" w:hAnsi="Calibri" w:cs="Calibri"/>
        </w:rPr>
        <w:t>OECD. (2020). OECD principles on artificial intelligence.</w:t>
      </w:r>
    </w:p>
    <w:p w14:paraId="350B88AC" w14:textId="77777777" w:rsidR="0098708F" w:rsidRPr="0098708F" w:rsidRDefault="0098708F" w:rsidP="0098708F">
      <w:pPr>
        <w:rPr>
          <w:rFonts w:ascii="Calibri" w:hAnsi="Calibri" w:cs="Calibri"/>
        </w:rPr>
      </w:pPr>
    </w:p>
    <w:p w14:paraId="52B0109B" w14:textId="1686FDD6" w:rsidR="00C45862" w:rsidRPr="0098708F" w:rsidRDefault="0098708F" w:rsidP="0098708F">
      <w:pPr>
        <w:rPr>
          <w:rFonts w:ascii="Calibri" w:hAnsi="Calibri" w:cs="Calibri"/>
        </w:rPr>
      </w:pPr>
      <w:r w:rsidRPr="0098708F">
        <w:rPr>
          <w:rFonts w:ascii="Calibri" w:hAnsi="Calibri" w:cs="Calibri"/>
        </w:rPr>
        <w:t>Wirtz, B. W., Weyerer, J. C., &amp; Geyer, C. (2019). Artificial intelligence and the public sector—Applications and challenges. International Journal of Public Administration, 42(7), 596-615.</w:t>
      </w:r>
    </w:p>
    <w:sectPr w:rsidR="00C45862" w:rsidRPr="00987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8F"/>
    <w:rsid w:val="0029730E"/>
    <w:rsid w:val="002F12B8"/>
    <w:rsid w:val="00706DB0"/>
    <w:rsid w:val="00826792"/>
    <w:rsid w:val="0098708F"/>
    <w:rsid w:val="00C45862"/>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522FCCF0"/>
  <w15:chartTrackingRefBased/>
  <w15:docId w15:val="{5A821D70-9765-754D-9C1E-2518AB6D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0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0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0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0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08F"/>
    <w:rPr>
      <w:rFonts w:eastAsiaTheme="majorEastAsia" w:cstheme="majorBidi"/>
      <w:color w:val="272727" w:themeColor="text1" w:themeTint="D8"/>
    </w:rPr>
  </w:style>
  <w:style w:type="paragraph" w:styleId="Title">
    <w:name w:val="Title"/>
    <w:basedOn w:val="Normal"/>
    <w:next w:val="Normal"/>
    <w:link w:val="TitleChar"/>
    <w:uiPriority w:val="10"/>
    <w:qFormat/>
    <w:rsid w:val="009870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0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0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708F"/>
    <w:rPr>
      <w:i/>
      <w:iCs/>
      <w:color w:val="404040" w:themeColor="text1" w:themeTint="BF"/>
    </w:rPr>
  </w:style>
  <w:style w:type="paragraph" w:styleId="ListParagraph">
    <w:name w:val="List Paragraph"/>
    <w:basedOn w:val="Normal"/>
    <w:uiPriority w:val="34"/>
    <w:qFormat/>
    <w:rsid w:val="0098708F"/>
    <w:pPr>
      <w:ind w:left="720"/>
      <w:contextualSpacing/>
    </w:pPr>
  </w:style>
  <w:style w:type="character" w:styleId="IntenseEmphasis">
    <w:name w:val="Intense Emphasis"/>
    <w:basedOn w:val="DefaultParagraphFont"/>
    <w:uiPriority w:val="21"/>
    <w:qFormat/>
    <w:rsid w:val="0098708F"/>
    <w:rPr>
      <w:i/>
      <w:iCs/>
      <w:color w:val="0F4761" w:themeColor="accent1" w:themeShade="BF"/>
    </w:rPr>
  </w:style>
  <w:style w:type="paragraph" w:styleId="IntenseQuote">
    <w:name w:val="Intense Quote"/>
    <w:basedOn w:val="Normal"/>
    <w:next w:val="Normal"/>
    <w:link w:val="IntenseQuoteChar"/>
    <w:uiPriority w:val="30"/>
    <w:qFormat/>
    <w:rsid w:val="0098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08F"/>
    <w:rPr>
      <w:i/>
      <w:iCs/>
      <w:color w:val="0F4761" w:themeColor="accent1" w:themeShade="BF"/>
    </w:rPr>
  </w:style>
  <w:style w:type="character" w:styleId="IntenseReference">
    <w:name w:val="Intense Reference"/>
    <w:basedOn w:val="DefaultParagraphFont"/>
    <w:uiPriority w:val="32"/>
    <w:qFormat/>
    <w:rsid w:val="0098708F"/>
    <w:rPr>
      <w:b/>
      <w:bCs/>
      <w:smallCaps/>
      <w:color w:val="0F4761" w:themeColor="accent1" w:themeShade="BF"/>
      <w:spacing w:val="5"/>
    </w:rPr>
  </w:style>
  <w:style w:type="paragraph" w:styleId="NormalWeb">
    <w:name w:val="Normal (Web)"/>
    <w:basedOn w:val="Normal"/>
    <w:uiPriority w:val="99"/>
    <w:unhideWhenUsed/>
    <w:rsid w:val="0098708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601582">
      <w:bodyDiv w:val="1"/>
      <w:marLeft w:val="0"/>
      <w:marRight w:val="0"/>
      <w:marTop w:val="0"/>
      <w:marBottom w:val="0"/>
      <w:divBdr>
        <w:top w:val="none" w:sz="0" w:space="0" w:color="auto"/>
        <w:left w:val="none" w:sz="0" w:space="0" w:color="auto"/>
        <w:bottom w:val="none" w:sz="0" w:space="0" w:color="auto"/>
        <w:right w:val="none" w:sz="0" w:space="0" w:color="auto"/>
      </w:divBdr>
      <w:divsChild>
        <w:div w:id="1788544817">
          <w:marLeft w:val="0"/>
          <w:marRight w:val="0"/>
          <w:marTop w:val="0"/>
          <w:marBottom w:val="0"/>
          <w:divBdr>
            <w:top w:val="none" w:sz="0" w:space="0" w:color="auto"/>
            <w:left w:val="none" w:sz="0" w:space="0" w:color="auto"/>
            <w:bottom w:val="none" w:sz="0" w:space="0" w:color="auto"/>
            <w:right w:val="none" w:sz="0" w:space="0" w:color="auto"/>
          </w:divBdr>
          <w:divsChild>
            <w:div w:id="857160144">
              <w:marLeft w:val="0"/>
              <w:marRight w:val="0"/>
              <w:marTop w:val="0"/>
              <w:marBottom w:val="0"/>
              <w:divBdr>
                <w:top w:val="none" w:sz="0" w:space="0" w:color="auto"/>
                <w:left w:val="none" w:sz="0" w:space="0" w:color="auto"/>
                <w:bottom w:val="none" w:sz="0" w:space="0" w:color="auto"/>
                <w:right w:val="none" w:sz="0" w:space="0" w:color="auto"/>
              </w:divBdr>
              <w:divsChild>
                <w:div w:id="1163817213">
                  <w:marLeft w:val="0"/>
                  <w:marRight w:val="0"/>
                  <w:marTop w:val="0"/>
                  <w:marBottom w:val="0"/>
                  <w:divBdr>
                    <w:top w:val="none" w:sz="0" w:space="0" w:color="auto"/>
                    <w:left w:val="none" w:sz="0" w:space="0" w:color="auto"/>
                    <w:bottom w:val="none" w:sz="0" w:space="0" w:color="auto"/>
                    <w:right w:val="none" w:sz="0" w:space="0" w:color="auto"/>
                  </w:divBdr>
                  <w:divsChild>
                    <w:div w:id="14470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1552</Words>
  <Characters>8851</Characters>
  <Application>Microsoft Office Word</Application>
  <DocSecurity>0</DocSecurity>
  <Lines>73</Lines>
  <Paragraphs>20</Paragraphs>
  <ScaleCrop>false</ScaleCrop>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cp:revision>
  <dcterms:created xsi:type="dcterms:W3CDTF">2024-05-08T10:27:00Z</dcterms:created>
  <dcterms:modified xsi:type="dcterms:W3CDTF">2024-05-08T10:30:00Z</dcterms:modified>
</cp:coreProperties>
</file>