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BBEA" w14:textId="77777777" w:rsidR="003C4B02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6E6E530E" wp14:editId="197525EB">
            <wp:extent cx="6191250" cy="17811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l="1049" t="4000" r="1499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EEAEF" w14:textId="77777777" w:rsidR="003C4B02" w:rsidRDefault="00000000">
      <w:pPr>
        <w:spacing w:before="240" w:after="240" w:line="240" w:lineRule="auto"/>
        <w:rPr>
          <w:b/>
          <w:color w:val="323232"/>
          <w:sz w:val="64"/>
          <w:szCs w:val="64"/>
        </w:rPr>
      </w:pPr>
      <w:r>
        <w:rPr>
          <w:b/>
          <w:color w:val="323232"/>
          <w:sz w:val="64"/>
          <w:szCs w:val="64"/>
        </w:rPr>
        <w:t>Objetivo</w:t>
      </w:r>
    </w:p>
    <w:p w14:paraId="30D78E05" w14:textId="77777777" w:rsidR="003C4B02" w:rsidRDefault="00000000">
      <w:pPr>
        <w:spacing w:before="240" w:after="240" w:line="240" w:lineRule="auto"/>
      </w:pPr>
      <w:r>
        <w:rPr>
          <w:color w:val="323232"/>
          <w:sz w:val="24"/>
          <w:szCs w:val="24"/>
        </w:rPr>
        <w:t>Apresentar uma análise detalhada sobre o desempenho das vendas, distribuição do gasto por produto, gênero e tipo de consumidor, bem como insights estratégicos para otimização de campanhas e programas de fidelidade.</w:t>
      </w:r>
      <w:r>
        <w:pict w14:anchorId="3E3C5627">
          <v:rect id="_x0000_i1025" style="width:0;height:1.5pt" o:hralign="center" o:hrstd="t" o:hr="t" fillcolor="#a0a0a0" stroked="f"/>
        </w:pict>
      </w:r>
    </w:p>
    <w:p w14:paraId="58701C53" w14:textId="77777777" w:rsidR="003C4B02" w:rsidRDefault="00000000">
      <w:pPr>
        <w:spacing w:before="240" w:after="240" w:line="240" w:lineRule="auto"/>
        <w:rPr>
          <w:b/>
          <w:color w:val="323232"/>
          <w:sz w:val="54"/>
          <w:szCs w:val="54"/>
        </w:rPr>
      </w:pPr>
      <w:r>
        <w:rPr>
          <w:b/>
          <w:color w:val="323232"/>
          <w:sz w:val="54"/>
          <w:szCs w:val="54"/>
        </w:rPr>
        <w:t>1. Percentual de Participação na Receita por Tipo de Produto</w:t>
      </w:r>
    </w:p>
    <w:p w14:paraId="5FFB7311" w14:textId="77777777" w:rsidR="003C4B02" w:rsidRDefault="00000000">
      <w:pPr>
        <w:spacing w:before="240" w:after="240" w:line="240" w:lineRule="auto"/>
        <w:rPr>
          <w:b/>
          <w:color w:val="323232"/>
          <w:sz w:val="36"/>
          <w:szCs w:val="36"/>
        </w:rPr>
      </w:pPr>
      <w:r>
        <w:rPr>
          <w:b/>
          <w:color w:val="323232"/>
          <w:sz w:val="36"/>
          <w:szCs w:val="36"/>
        </w:rPr>
        <w:t>Nossos objetivos</w:t>
      </w:r>
    </w:p>
    <w:p w14:paraId="4C7A47FD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distribuição do faturamento por linha de produto revela quais categorias são responsáveis pela maior parte da receita. A seguir, a participação percentual de cada linha de produto:</w:t>
      </w:r>
    </w:p>
    <w:p w14:paraId="0A289592" w14:textId="77777777" w:rsidR="003C4B02" w:rsidRDefault="003C4B02">
      <w:pPr>
        <w:spacing w:before="240" w:after="240" w:line="240" w:lineRule="auto"/>
        <w:rPr>
          <w:color w:val="323232"/>
          <w:sz w:val="24"/>
          <w:szCs w:val="24"/>
        </w:rPr>
      </w:pPr>
    </w:p>
    <w:p w14:paraId="51FEC1A7" w14:textId="77777777" w:rsidR="003C4B02" w:rsidRDefault="00000000">
      <w:pPr>
        <w:spacing w:before="240" w:after="240" w:line="240" w:lineRule="auto"/>
        <w:rPr>
          <w:b/>
          <w:color w:val="323232"/>
          <w:sz w:val="36"/>
          <w:szCs w:val="36"/>
        </w:rPr>
      </w:pPr>
      <w:r>
        <w:rPr>
          <w:b/>
          <w:noProof/>
          <w:color w:val="323232"/>
          <w:sz w:val="54"/>
          <w:szCs w:val="54"/>
        </w:rPr>
        <w:drawing>
          <wp:inline distT="114300" distB="114300" distL="114300" distR="114300" wp14:anchorId="2BC1EF56" wp14:editId="4A076F90">
            <wp:extent cx="5731200" cy="2603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A98AB" w14:textId="77777777" w:rsidR="00943F6C" w:rsidRDefault="00943F6C">
      <w:pPr>
        <w:spacing w:before="240" w:after="240" w:line="240" w:lineRule="auto"/>
        <w:rPr>
          <w:b/>
          <w:color w:val="323232"/>
          <w:sz w:val="34"/>
          <w:szCs w:val="34"/>
        </w:rPr>
      </w:pPr>
    </w:p>
    <w:p w14:paraId="355805AD" w14:textId="30A1C260" w:rsidR="003C4B02" w:rsidRDefault="00000000">
      <w:pPr>
        <w:spacing w:before="240" w:after="240" w:line="240" w:lineRule="auto"/>
        <w:rPr>
          <w:b/>
          <w:color w:val="323232"/>
          <w:sz w:val="34"/>
          <w:szCs w:val="34"/>
        </w:rPr>
      </w:pPr>
      <w:r>
        <w:rPr>
          <w:b/>
          <w:color w:val="323232"/>
          <w:sz w:val="34"/>
          <w:szCs w:val="34"/>
        </w:rPr>
        <w:lastRenderedPageBreak/>
        <w:t>Análise:</w:t>
      </w:r>
    </w:p>
    <w:p w14:paraId="0CDE87CE" w14:textId="77777777" w:rsidR="003C4B02" w:rsidRDefault="00000000">
      <w:pPr>
        <w:spacing w:before="240" w:after="240" w:line="240" w:lineRule="auto"/>
        <w:rPr>
          <w:color w:val="323232"/>
        </w:rPr>
      </w:pPr>
      <w:r>
        <w:rPr>
          <w:color w:val="323232"/>
        </w:rPr>
        <w:t>A linha "Food and Beverages" e "Sports and Travel" são as que mais contribuem para o faturamento, com participações significativas de 17,38% e 17,07%, respectivamente. Já a linha "Health and Beauty" apresenta uma participação mais baixa, o que sugere uma oportunidade para aumentar a presença e a demanda nesta categoria.</w:t>
      </w:r>
    </w:p>
    <w:p w14:paraId="500CA807" w14:textId="77777777" w:rsidR="003C4B02" w:rsidRDefault="00000000">
      <w:pPr>
        <w:spacing w:before="240" w:after="240" w:line="240" w:lineRule="auto"/>
        <w:rPr>
          <w:b/>
          <w:color w:val="323232"/>
          <w:sz w:val="34"/>
          <w:szCs w:val="34"/>
        </w:rPr>
      </w:pPr>
      <w:r>
        <w:rPr>
          <w:b/>
          <w:color w:val="323232"/>
          <w:sz w:val="34"/>
          <w:szCs w:val="34"/>
        </w:rPr>
        <w:t>Recomendação:</w:t>
      </w:r>
    </w:p>
    <w:p w14:paraId="1096E53E" w14:textId="77777777" w:rsidR="003C4B02" w:rsidRDefault="00000000">
      <w:pPr>
        <w:spacing w:before="240" w:after="240" w:line="240" w:lineRule="auto"/>
        <w:rPr>
          <w:b/>
          <w:color w:val="323232"/>
          <w:sz w:val="54"/>
          <w:szCs w:val="54"/>
        </w:rPr>
      </w:pPr>
      <w:r>
        <w:rPr>
          <w:color w:val="323232"/>
        </w:rPr>
        <w:t>Focar em estratégias de marketing direcionadas para as linhas de menor participação, além de aproveitar o crescimento das linhas mais fortes com promoções sazonais ou bundles (pacotes).</w:t>
      </w:r>
      <w:r>
        <w:pict w14:anchorId="1A4FBF6E">
          <v:rect id="_x0000_i1026" style="width:0;height:1.5pt" o:hralign="center" o:hrstd="t" o:hr="t" fillcolor="#a0a0a0" stroked="f"/>
        </w:pict>
      </w:r>
    </w:p>
    <w:p w14:paraId="07E5470E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color w:val="323232"/>
          <w:sz w:val="56"/>
          <w:szCs w:val="56"/>
        </w:rPr>
        <w:t>2. Distribuição de Consumo de Produtos por Gênero</w:t>
      </w:r>
    </w:p>
    <w:p w14:paraId="01E39B2A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análise de consumo por gênero por linha de produto mostra diferenças importantes nos hábitos de compra entre homens e mulheres:</w:t>
      </w:r>
    </w:p>
    <w:p w14:paraId="13C43AC8" w14:textId="77777777" w:rsidR="003C4B02" w:rsidRDefault="00000000">
      <w:pPr>
        <w:spacing w:before="240" w:after="240" w:line="240" w:lineRule="auto"/>
        <w:rPr>
          <w:b/>
          <w:color w:val="323232"/>
          <w:sz w:val="28"/>
          <w:szCs w:val="28"/>
        </w:rPr>
      </w:pPr>
      <w:r>
        <w:rPr>
          <w:b/>
          <w:color w:val="323232"/>
          <w:sz w:val="28"/>
          <w:szCs w:val="28"/>
        </w:rPr>
        <w:t>Fashion Accessories</w:t>
      </w:r>
    </w:p>
    <w:p w14:paraId="6A0FB7B0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Marcos do projeto</w:t>
      </w:r>
    </w:p>
    <w:p w14:paraId="7806D225" w14:textId="77777777" w:rsidR="003C4B02" w:rsidRDefault="00000000">
      <w:pPr>
        <w:numPr>
          <w:ilvl w:val="0"/>
          <w:numId w:val="1"/>
        </w:numPr>
        <w:spacing w:before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Feminino: R$ 30.437,40</w:t>
      </w:r>
    </w:p>
    <w:p w14:paraId="38B8D545" w14:textId="77777777" w:rsidR="003C4B02" w:rsidRDefault="00000000">
      <w:pPr>
        <w:numPr>
          <w:ilvl w:val="0"/>
          <w:numId w:val="1"/>
        </w:numPr>
        <w:spacing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Masculino: R$ 23.868,50</w:t>
      </w:r>
    </w:p>
    <w:p w14:paraId="25DA8D69" w14:textId="77777777" w:rsidR="003C4B02" w:rsidRDefault="00000000">
      <w:pPr>
        <w:spacing w:before="240" w:after="240" w:line="240" w:lineRule="auto"/>
        <w:rPr>
          <w:b/>
          <w:color w:val="323232"/>
          <w:sz w:val="28"/>
          <w:szCs w:val="28"/>
        </w:rPr>
      </w:pPr>
      <w:r>
        <w:rPr>
          <w:b/>
          <w:color w:val="323232"/>
          <w:sz w:val="28"/>
          <w:szCs w:val="28"/>
        </w:rPr>
        <w:t>Health and Beauty</w:t>
      </w:r>
    </w:p>
    <w:p w14:paraId="4C6FCAB6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Marcos do projeto</w:t>
      </w:r>
    </w:p>
    <w:p w14:paraId="77C09296" w14:textId="77777777" w:rsidR="003C4B02" w:rsidRDefault="00000000">
      <w:pPr>
        <w:numPr>
          <w:ilvl w:val="0"/>
          <w:numId w:val="3"/>
        </w:numPr>
        <w:spacing w:before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Feminino: R$ 18.560,99</w:t>
      </w:r>
    </w:p>
    <w:p w14:paraId="31C488F7" w14:textId="77777777" w:rsidR="003C4B02" w:rsidRDefault="00000000">
      <w:pPr>
        <w:numPr>
          <w:ilvl w:val="0"/>
          <w:numId w:val="3"/>
        </w:numPr>
        <w:spacing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Masculino: R$ 30.632,75</w:t>
      </w:r>
    </w:p>
    <w:p w14:paraId="5BC74AF7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noProof/>
          <w:color w:val="323232"/>
          <w:sz w:val="24"/>
          <w:szCs w:val="24"/>
        </w:rPr>
        <w:drawing>
          <wp:inline distT="114300" distB="114300" distL="114300" distR="114300" wp14:anchorId="006FA9D2" wp14:editId="56D27C02">
            <wp:extent cx="5731200" cy="1714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3BA67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pict w14:anchorId="63EC44B3">
          <v:rect id="_x0000_i1027" style="width:0;height:1.5pt" o:hralign="center" o:hrstd="t" o:hr="t" fillcolor="#a0a0a0" stroked="f"/>
        </w:pict>
      </w:r>
    </w:p>
    <w:p w14:paraId="16003F68" w14:textId="77777777" w:rsidR="00943F6C" w:rsidRDefault="00943F6C">
      <w:pPr>
        <w:spacing w:before="240" w:after="240" w:line="240" w:lineRule="auto"/>
        <w:rPr>
          <w:b/>
          <w:color w:val="323232"/>
          <w:sz w:val="56"/>
          <w:szCs w:val="56"/>
        </w:rPr>
      </w:pPr>
    </w:p>
    <w:p w14:paraId="4962BEA2" w14:textId="53AFB003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color w:val="323232"/>
          <w:sz w:val="56"/>
          <w:szCs w:val="56"/>
        </w:rPr>
        <w:lastRenderedPageBreak/>
        <w:t>3. Faturamento por Mês</w:t>
      </w:r>
    </w:p>
    <w:p w14:paraId="6C38360C" w14:textId="77777777" w:rsidR="003C4B02" w:rsidRDefault="00000000">
      <w:pPr>
        <w:spacing w:before="240" w:after="240" w:line="240" w:lineRule="auto"/>
        <w:rPr>
          <w:color w:val="323232"/>
          <w:sz w:val="28"/>
          <w:szCs w:val="28"/>
        </w:rPr>
      </w:pPr>
      <w:r>
        <w:rPr>
          <w:color w:val="323232"/>
          <w:sz w:val="24"/>
          <w:szCs w:val="24"/>
        </w:rPr>
        <w:t>A distribuição do faturamento por mês revela variações significativas nas vendas ao longo do tempo</w:t>
      </w:r>
      <w:r>
        <w:rPr>
          <w:noProof/>
          <w:color w:val="323232"/>
          <w:sz w:val="28"/>
          <w:szCs w:val="28"/>
        </w:rPr>
        <w:drawing>
          <wp:inline distT="114300" distB="114300" distL="114300" distR="114300" wp14:anchorId="7A146283" wp14:editId="7B143379">
            <wp:extent cx="5529263" cy="3416754"/>
            <wp:effectExtent l="0" t="0" r="0" b="0"/>
            <wp:docPr id="6" name="image4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416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E6B76" w14:textId="77777777" w:rsidR="003C4B02" w:rsidRDefault="00000000">
      <w:pPr>
        <w:spacing w:before="240" w:after="240" w:line="240" w:lineRule="auto"/>
        <w:rPr>
          <w:color w:val="323232"/>
          <w:sz w:val="28"/>
          <w:szCs w:val="28"/>
        </w:rPr>
      </w:pPr>
      <w:r>
        <w:rPr>
          <w:b/>
          <w:color w:val="323232"/>
          <w:sz w:val="28"/>
          <w:szCs w:val="28"/>
        </w:rPr>
        <w:t>Janeiro:</w:t>
      </w:r>
      <w:r>
        <w:rPr>
          <w:color w:val="323232"/>
          <w:sz w:val="28"/>
          <w:szCs w:val="28"/>
        </w:rPr>
        <w:t xml:space="preserve"> R$ 116.291,87</w:t>
      </w:r>
    </w:p>
    <w:p w14:paraId="63ED6681" w14:textId="77777777" w:rsidR="003C4B02" w:rsidRDefault="00000000">
      <w:pPr>
        <w:spacing w:before="240" w:after="240" w:line="240" w:lineRule="auto"/>
        <w:rPr>
          <w:color w:val="323232"/>
          <w:sz w:val="28"/>
          <w:szCs w:val="28"/>
        </w:rPr>
      </w:pPr>
      <w:r>
        <w:rPr>
          <w:b/>
          <w:color w:val="323232"/>
          <w:sz w:val="28"/>
          <w:szCs w:val="28"/>
        </w:rPr>
        <w:t>Fevereiro:</w:t>
      </w:r>
      <w:r>
        <w:rPr>
          <w:color w:val="323232"/>
          <w:sz w:val="28"/>
          <w:szCs w:val="28"/>
        </w:rPr>
        <w:t xml:space="preserve"> R$ 97.219,37</w:t>
      </w:r>
    </w:p>
    <w:p w14:paraId="25825E7F" w14:textId="77777777" w:rsidR="003C4B02" w:rsidRDefault="00000000">
      <w:pPr>
        <w:spacing w:before="240" w:after="240" w:line="240" w:lineRule="auto"/>
        <w:rPr>
          <w:color w:val="323232"/>
          <w:sz w:val="28"/>
          <w:szCs w:val="28"/>
        </w:rPr>
      </w:pPr>
      <w:r>
        <w:rPr>
          <w:b/>
          <w:color w:val="323232"/>
          <w:sz w:val="28"/>
          <w:szCs w:val="28"/>
        </w:rPr>
        <w:t>Março:</w:t>
      </w:r>
      <w:r>
        <w:rPr>
          <w:color w:val="323232"/>
          <w:sz w:val="28"/>
          <w:szCs w:val="28"/>
        </w:rPr>
        <w:t xml:space="preserve"> R$ 109.455,51</w:t>
      </w:r>
    </w:p>
    <w:p w14:paraId="156FFCBD" w14:textId="77777777" w:rsidR="003C4B02" w:rsidRDefault="003C4B02">
      <w:pPr>
        <w:spacing w:before="240" w:after="240" w:line="240" w:lineRule="auto"/>
        <w:rPr>
          <w:b/>
          <w:color w:val="323232"/>
          <w:sz w:val="28"/>
          <w:szCs w:val="28"/>
        </w:rPr>
      </w:pPr>
    </w:p>
    <w:p w14:paraId="043FA6E5" w14:textId="77777777" w:rsidR="003C4B02" w:rsidRDefault="00000000">
      <w:pPr>
        <w:spacing w:before="240" w:after="240" w:line="240" w:lineRule="auto"/>
        <w:rPr>
          <w:b/>
          <w:color w:val="323232"/>
          <w:sz w:val="28"/>
          <w:szCs w:val="28"/>
        </w:rPr>
      </w:pPr>
      <w:r>
        <w:rPr>
          <w:b/>
          <w:noProof/>
          <w:color w:val="323232"/>
          <w:sz w:val="28"/>
          <w:szCs w:val="28"/>
        </w:rPr>
        <w:drawing>
          <wp:inline distT="114300" distB="114300" distL="114300" distR="114300" wp14:anchorId="51079AC6" wp14:editId="2BC97479">
            <wp:extent cx="5731200" cy="2006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25691" w14:textId="77777777" w:rsidR="003C4B02" w:rsidRDefault="003C4B02">
      <w:pPr>
        <w:spacing w:before="240" w:after="240" w:line="240" w:lineRule="auto"/>
        <w:rPr>
          <w:color w:val="323232"/>
          <w:sz w:val="24"/>
          <w:szCs w:val="24"/>
        </w:rPr>
      </w:pPr>
    </w:p>
    <w:p w14:paraId="23EFB512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color w:val="323232"/>
          <w:sz w:val="56"/>
          <w:szCs w:val="56"/>
        </w:rPr>
        <w:lastRenderedPageBreak/>
        <w:t>4. Média de Avaliação por Filial em Janeiro de 2019</w:t>
      </w:r>
    </w:p>
    <w:p w14:paraId="3E023673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média de avaliação por filial em janeiro de 2019 foi 7,0, o que é relativamente baixo considerando a escala de 1 a 10.</w:t>
      </w:r>
    </w:p>
    <w:p w14:paraId="75EFBB7B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noProof/>
          <w:color w:val="323232"/>
          <w:sz w:val="56"/>
          <w:szCs w:val="56"/>
        </w:rPr>
        <w:drawing>
          <wp:inline distT="114300" distB="114300" distL="114300" distR="114300" wp14:anchorId="6A8617ED" wp14:editId="3550D45D">
            <wp:extent cx="5731200" cy="1993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8587F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color w:val="323232"/>
          <w:sz w:val="56"/>
          <w:szCs w:val="56"/>
        </w:rPr>
        <w:t>5. Distribuição do Gasto por Tipo de Consumidor em Cada Filial</w:t>
      </w:r>
    </w:p>
    <w:p w14:paraId="3A67A886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b/>
          <w:noProof/>
          <w:color w:val="323232"/>
          <w:sz w:val="24"/>
          <w:szCs w:val="24"/>
        </w:rPr>
        <w:drawing>
          <wp:inline distT="114300" distB="114300" distL="114300" distR="114300" wp14:anchorId="78EFB186" wp14:editId="1E7A554C">
            <wp:extent cx="5081588" cy="3140117"/>
            <wp:effectExtent l="0" t="0" r="0" b="0"/>
            <wp:docPr id="5" name="image5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14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8F2D9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análise do gasto por tipo de consumidor nas cidades de Mandalay, Naypyitaw e Yangon, localizadas em Myanmar (Sudeste Asiático), mostra pouca variação entre consumidores "Normal" e "Member" em termos de gasto total.</w:t>
      </w:r>
    </w:p>
    <w:p w14:paraId="13494454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rPr>
          <w:b/>
          <w:noProof/>
          <w:color w:val="323232"/>
          <w:sz w:val="24"/>
          <w:szCs w:val="24"/>
        </w:rPr>
        <w:lastRenderedPageBreak/>
        <w:drawing>
          <wp:inline distT="114300" distB="114300" distL="114300" distR="114300" wp14:anchorId="56270293" wp14:editId="319AA38F">
            <wp:extent cx="5731200" cy="181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F07A7" w14:textId="77777777" w:rsidR="003C4B02" w:rsidRDefault="003C4B02">
      <w:pPr>
        <w:spacing w:before="240" w:after="240" w:line="240" w:lineRule="auto"/>
        <w:rPr>
          <w:b/>
          <w:color w:val="323232"/>
          <w:sz w:val="24"/>
          <w:szCs w:val="24"/>
        </w:rPr>
      </w:pPr>
    </w:p>
    <w:p w14:paraId="2D659A44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pict w14:anchorId="14817CD8">
          <v:rect id="_x0000_i1028" style="width:0;height:1.5pt" o:hralign="center" o:hrstd="t" o:hr="t" fillcolor="#a0a0a0" stroked="f"/>
        </w:pict>
      </w:r>
    </w:p>
    <w:p w14:paraId="2DDBDB47" w14:textId="77777777" w:rsidR="003C4B02" w:rsidRDefault="003C4B02">
      <w:pPr>
        <w:spacing w:before="240" w:after="240" w:line="240" w:lineRule="auto"/>
        <w:rPr>
          <w:b/>
          <w:color w:val="323232"/>
          <w:sz w:val="24"/>
          <w:szCs w:val="24"/>
        </w:rPr>
      </w:pPr>
    </w:p>
    <w:p w14:paraId="6677EB96" w14:textId="77777777" w:rsidR="003C4B02" w:rsidRDefault="00000000">
      <w:pPr>
        <w:spacing w:before="240" w:after="240" w:line="240" w:lineRule="auto"/>
        <w:rPr>
          <w:b/>
          <w:color w:val="323232"/>
          <w:sz w:val="52"/>
          <w:szCs w:val="52"/>
        </w:rPr>
      </w:pPr>
      <w:r>
        <w:rPr>
          <w:b/>
          <w:color w:val="323232"/>
          <w:sz w:val="52"/>
          <w:szCs w:val="52"/>
        </w:rPr>
        <w:t>6. Análise Temporal de Distribuição de Gasto por Consumidor</w:t>
      </w:r>
    </w:p>
    <w:p w14:paraId="2195CD8F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análise do gasto por tipo de consumidor ao longo dos meses revela variações no comportamento de compra</w:t>
      </w:r>
    </w:p>
    <w:p w14:paraId="0AFBA84A" w14:textId="77777777" w:rsidR="003C4B02" w:rsidRDefault="00000000">
      <w:pPr>
        <w:spacing w:before="240" w:after="240" w:line="240" w:lineRule="auto"/>
        <w:rPr>
          <w:b/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Janeiro:</w:t>
      </w:r>
    </w:p>
    <w:p w14:paraId="7373E157" w14:textId="77777777" w:rsidR="003C4B02" w:rsidRDefault="00000000">
      <w:pPr>
        <w:numPr>
          <w:ilvl w:val="0"/>
          <w:numId w:val="4"/>
        </w:numPr>
        <w:spacing w:before="240" w:line="240" w:lineRule="auto"/>
        <w:rPr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Member:</w:t>
      </w:r>
      <w:r>
        <w:rPr>
          <w:color w:val="323232"/>
          <w:sz w:val="24"/>
          <w:szCs w:val="24"/>
        </w:rPr>
        <w:t xml:space="preserve"> Mais gasto em todas as cidades.</w:t>
      </w:r>
    </w:p>
    <w:p w14:paraId="3F98CB3B" w14:textId="77777777" w:rsidR="003C4B02" w:rsidRDefault="00000000">
      <w:pPr>
        <w:numPr>
          <w:ilvl w:val="0"/>
          <w:numId w:val="4"/>
        </w:numPr>
        <w:spacing w:after="240" w:line="240" w:lineRule="auto"/>
        <w:rPr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Normal:</w:t>
      </w:r>
      <w:r>
        <w:rPr>
          <w:color w:val="323232"/>
          <w:sz w:val="24"/>
          <w:szCs w:val="24"/>
        </w:rPr>
        <w:t xml:space="preserve"> Gastos próximos, com algumas cidades mostrando um maior gasto dos consumidores "Normal".</w:t>
      </w:r>
    </w:p>
    <w:p w14:paraId="63B95D64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b/>
          <w:color w:val="323232"/>
          <w:sz w:val="24"/>
          <w:szCs w:val="24"/>
        </w:rPr>
        <w:t>Fevereiro:</w:t>
      </w:r>
      <w:r>
        <w:rPr>
          <w:color w:val="323232"/>
          <w:sz w:val="24"/>
          <w:szCs w:val="24"/>
        </w:rPr>
        <w:t>Houve uma inversão em algumas cidades, como Naypyitaw, onde os consumidores "Normal" gastaram mais.</w:t>
      </w:r>
    </w:p>
    <w:p w14:paraId="59409FB1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noProof/>
          <w:color w:val="323232"/>
          <w:sz w:val="24"/>
          <w:szCs w:val="24"/>
        </w:rPr>
        <w:drawing>
          <wp:inline distT="114300" distB="114300" distL="114300" distR="114300" wp14:anchorId="469F206B" wp14:editId="61AB7A51">
            <wp:extent cx="5731200" cy="2070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B2564" w14:textId="77777777" w:rsidR="003C4B02" w:rsidRDefault="003C4B02">
      <w:pPr>
        <w:spacing w:before="240" w:after="240" w:line="240" w:lineRule="auto"/>
        <w:rPr>
          <w:color w:val="323232"/>
          <w:sz w:val="24"/>
          <w:szCs w:val="24"/>
        </w:rPr>
      </w:pPr>
    </w:p>
    <w:p w14:paraId="3B1629DF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pict w14:anchorId="0A806047">
          <v:rect id="_x0000_i1029" style="width:0;height:1.5pt" o:hralign="center" o:hrstd="t" o:hr="t" fillcolor="#a0a0a0" stroked="f"/>
        </w:pict>
      </w:r>
    </w:p>
    <w:p w14:paraId="5C5120DC" w14:textId="77777777" w:rsidR="003C4B02" w:rsidRDefault="00000000">
      <w:pPr>
        <w:spacing w:before="240" w:after="240" w:line="240" w:lineRule="auto"/>
        <w:rPr>
          <w:b/>
          <w:color w:val="323232"/>
          <w:sz w:val="56"/>
          <w:szCs w:val="56"/>
        </w:rPr>
      </w:pPr>
      <w:r>
        <w:rPr>
          <w:b/>
          <w:color w:val="323232"/>
          <w:sz w:val="56"/>
          <w:szCs w:val="56"/>
        </w:rPr>
        <w:lastRenderedPageBreak/>
        <w:t>Conclusão e Ações Recomendadas</w:t>
      </w:r>
    </w:p>
    <w:p w14:paraId="2F667163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pict w14:anchorId="79FA3804">
          <v:rect id="_x0000_i1030" style="width:0;height:1.5pt" o:hralign="center" o:hrstd="t" o:hr="t" fillcolor="#a0a0a0" stroked="f"/>
        </w:pict>
      </w:r>
    </w:p>
    <w:p w14:paraId="0818B829" w14:textId="77777777" w:rsidR="003C4B02" w:rsidRDefault="00000000">
      <w:pPr>
        <w:spacing w:before="240"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 análise de dados de vendas e comportamento do consumidor oferece uma visão estratégica crucial para otimizar as operações de marketing, fidelização e vendas. As recomendações incluem:</w:t>
      </w:r>
    </w:p>
    <w:p w14:paraId="375DC487" w14:textId="77777777" w:rsidR="003C4B02" w:rsidRDefault="00000000">
      <w:pPr>
        <w:numPr>
          <w:ilvl w:val="0"/>
          <w:numId w:val="2"/>
        </w:numPr>
        <w:spacing w:before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Segmentação de campanhas por gênero e linha de produto para otimizar as vendas.</w:t>
      </w:r>
    </w:p>
    <w:p w14:paraId="23493B66" w14:textId="77777777" w:rsidR="003C4B02" w:rsidRDefault="00000000">
      <w:pPr>
        <w:numPr>
          <w:ilvl w:val="0"/>
          <w:numId w:val="2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Ajuste no programa de fidelidade, oferecendo mais benefícios para "Members" e estratégias de engajamento para aumentar a diferenciação de gastos.</w:t>
      </w:r>
    </w:p>
    <w:p w14:paraId="4B786F0D" w14:textId="77777777" w:rsidR="003C4B02" w:rsidRDefault="00000000">
      <w:pPr>
        <w:numPr>
          <w:ilvl w:val="0"/>
          <w:numId w:val="2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Promoções e campanhas sazonais, ajustando estratégias para suavizar variações sazonais de faturamento.</w:t>
      </w:r>
    </w:p>
    <w:p w14:paraId="66492BFF" w14:textId="77777777" w:rsidR="003C4B02" w:rsidRDefault="00000000">
      <w:pPr>
        <w:numPr>
          <w:ilvl w:val="0"/>
          <w:numId w:val="2"/>
        </w:numPr>
        <w:spacing w:after="24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Melhorias na experiência do cliente, para aumentar a satisfação e as avaliações, principalmente nas filiais com menor desempenho.</w:t>
      </w:r>
    </w:p>
    <w:p w14:paraId="2029D385" w14:textId="77777777" w:rsidR="003C4B02" w:rsidRDefault="003C4B02">
      <w:pPr>
        <w:spacing w:before="240" w:after="240" w:line="240" w:lineRule="auto"/>
        <w:rPr>
          <w:color w:val="323232"/>
          <w:sz w:val="24"/>
          <w:szCs w:val="24"/>
        </w:rPr>
      </w:pPr>
    </w:p>
    <w:p w14:paraId="7FA44EC8" w14:textId="77777777" w:rsidR="003C4B02" w:rsidRDefault="00000000">
      <w:pPr>
        <w:spacing w:before="240" w:after="240" w:line="240" w:lineRule="auto"/>
        <w:rPr>
          <w:b/>
          <w:color w:val="323232"/>
          <w:sz w:val="44"/>
          <w:szCs w:val="44"/>
        </w:rPr>
      </w:pPr>
      <w:r>
        <w:rPr>
          <w:b/>
          <w:color w:val="323232"/>
          <w:sz w:val="44"/>
          <w:szCs w:val="44"/>
        </w:rPr>
        <w:t>Redes sociais</w:t>
      </w:r>
    </w:p>
    <w:p w14:paraId="5D6F5B12" w14:textId="77777777" w:rsidR="003C4B02" w:rsidRDefault="00000000">
      <w:pPr>
        <w:spacing w:before="240" w:after="240" w:line="240" w:lineRule="auto"/>
        <w:jc w:val="center"/>
        <w:rPr>
          <w:b/>
          <w:color w:val="1A62FF"/>
          <w:sz w:val="24"/>
          <w:szCs w:val="24"/>
          <w:u w:val="single"/>
        </w:rPr>
      </w:pPr>
      <w:hyperlink r:id="rId14">
        <w:r>
          <w:rPr>
            <w:b/>
            <w:color w:val="1A62FF"/>
            <w:sz w:val="24"/>
            <w:szCs w:val="24"/>
            <w:u w:val="single"/>
          </w:rPr>
          <w:t>https://github.com/Leonkoc</w:t>
        </w:r>
      </w:hyperlink>
    </w:p>
    <w:p w14:paraId="1405AAAB" w14:textId="77777777" w:rsidR="003C4B02" w:rsidRDefault="00000000">
      <w:pPr>
        <w:spacing w:before="240" w:after="240" w:line="240" w:lineRule="auto"/>
        <w:jc w:val="center"/>
        <w:rPr>
          <w:b/>
          <w:color w:val="1A62FF"/>
          <w:sz w:val="24"/>
          <w:szCs w:val="24"/>
          <w:u w:val="single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Linkedin</w:t>
        </w:r>
      </w:hyperlink>
    </w:p>
    <w:p w14:paraId="38710F87" w14:textId="77777777" w:rsidR="003C4B02" w:rsidRDefault="003C4B02">
      <w:pPr>
        <w:spacing w:before="240" w:after="240" w:line="240" w:lineRule="auto"/>
        <w:rPr>
          <w:b/>
          <w:color w:val="323232"/>
          <w:sz w:val="44"/>
          <w:szCs w:val="44"/>
        </w:rPr>
      </w:pPr>
    </w:p>
    <w:p w14:paraId="646D8ABA" w14:textId="77777777" w:rsidR="003C4B02" w:rsidRDefault="003C4B02">
      <w:pPr>
        <w:spacing w:before="240" w:after="240" w:line="240" w:lineRule="auto"/>
        <w:rPr>
          <w:color w:val="323232"/>
          <w:sz w:val="24"/>
          <w:szCs w:val="24"/>
        </w:rPr>
      </w:pPr>
    </w:p>
    <w:p w14:paraId="596FF5DC" w14:textId="77777777" w:rsidR="003C4B02" w:rsidRDefault="003C4B02">
      <w:pPr>
        <w:spacing w:before="240" w:after="240" w:line="240" w:lineRule="auto"/>
        <w:rPr>
          <w:b/>
          <w:color w:val="323232"/>
          <w:sz w:val="56"/>
          <w:szCs w:val="56"/>
        </w:rPr>
      </w:pPr>
    </w:p>
    <w:p w14:paraId="3737CF2A" w14:textId="77777777" w:rsidR="003C4B02" w:rsidRDefault="003C4B02">
      <w:pPr>
        <w:spacing w:before="240" w:after="240" w:line="240" w:lineRule="auto"/>
        <w:rPr>
          <w:b/>
          <w:color w:val="323232"/>
          <w:sz w:val="54"/>
          <w:szCs w:val="54"/>
        </w:rPr>
      </w:pPr>
    </w:p>
    <w:p w14:paraId="73135AB7" w14:textId="77777777" w:rsidR="003C4B02" w:rsidRDefault="003C4B02">
      <w:pPr>
        <w:spacing w:before="240" w:after="240" w:line="240" w:lineRule="auto"/>
        <w:rPr>
          <w:b/>
          <w:color w:val="323232"/>
          <w:sz w:val="54"/>
          <w:szCs w:val="54"/>
        </w:rPr>
      </w:pPr>
    </w:p>
    <w:p w14:paraId="488C243A" w14:textId="77777777" w:rsidR="003C4B02" w:rsidRDefault="003C4B02">
      <w:pPr>
        <w:spacing w:before="240" w:after="240" w:line="240" w:lineRule="auto"/>
        <w:rPr>
          <w:b/>
          <w:color w:val="323232"/>
          <w:sz w:val="54"/>
          <w:szCs w:val="54"/>
        </w:rPr>
      </w:pPr>
    </w:p>
    <w:p w14:paraId="4356A7C0" w14:textId="77777777" w:rsidR="003C4B02" w:rsidRDefault="003C4B02">
      <w:pPr>
        <w:spacing w:line="240" w:lineRule="auto"/>
      </w:pPr>
    </w:p>
    <w:sectPr w:rsidR="003C4B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E0C61"/>
    <w:multiLevelType w:val="multilevel"/>
    <w:tmpl w:val="4A56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B2923"/>
    <w:multiLevelType w:val="multilevel"/>
    <w:tmpl w:val="CB10D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5E2BA5"/>
    <w:multiLevelType w:val="multilevel"/>
    <w:tmpl w:val="3E6C1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302644"/>
    <w:multiLevelType w:val="multilevel"/>
    <w:tmpl w:val="84344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5813583">
    <w:abstractNumId w:val="3"/>
  </w:num>
  <w:num w:numId="2" w16cid:durableId="2045323619">
    <w:abstractNumId w:val="1"/>
  </w:num>
  <w:num w:numId="3" w16cid:durableId="1924487813">
    <w:abstractNumId w:val="2"/>
  </w:num>
  <w:num w:numId="4" w16cid:durableId="22677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02"/>
    <w:rsid w:val="003C4B02"/>
    <w:rsid w:val="00943F6C"/>
    <w:rsid w:val="009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59FA"/>
  <w15:docId w15:val="{F49372E4-A001-4D0C-AF8A-ADBFF6B1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on-ortega-cerqueira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eonk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Krenak</cp:lastModifiedBy>
  <cp:revision>2</cp:revision>
  <dcterms:created xsi:type="dcterms:W3CDTF">2024-12-13T19:23:00Z</dcterms:created>
  <dcterms:modified xsi:type="dcterms:W3CDTF">2024-12-13T19:24:00Z</dcterms:modified>
</cp:coreProperties>
</file>