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Брендбук платформы Рядом</w:t>
      </w:r>
    </w:p>
    <w:p>
      <w:pPr>
        <w:pStyle w:val="Subtitle"/>
      </w:pPr>
      <w:r>
        <w:t>Визуальная система и принципы общения</w:t>
      </w:r>
    </w:p>
    <w:p>
      <w:pPr>
        <w:spacing w:after="180"/>
      </w:pPr>
      <w:r>
        <w:rPr>
          <w:b w:val="0"/>
          <w:color w:val="5C616A"/>
          <w:sz w:val="17"/>
        </w:rPr>
        <w:t>Версия 1.0  •  19 октября 2026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31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Рядом помогает находить людей для совместных занятий и встреч. Спорт становится первым направлением, а общая система поддерживает прогулки, игры, обучение и другие интересы.</w:t>
      </w:r>
    </w:p>
    <w:p>
      <w:r>
        <w:rPr>
          <w:b/>
        </w:rPr>
        <w:t>Идея бренда — сделать первый шаг к совместному занятию простым и понятным. Красный приглашает действовать, белый оставляет пространство людям и событиям.</w:t>
      </w:r>
    </w:p>
    <w:p>
      <w:pPr>
        <w:pStyle w:val="Heading2"/>
      </w:pPr>
      <w:r>
        <w:t>Как пользоваться брендбуком</w:t>
      </w:r>
    </w:p>
    <w:p>
      <w:r>
        <w:rPr>
          <w:b w:val="0"/>
        </w:rPr>
        <w:t>Разделы 1–3 задают позиционирование, язык и знак. Разделы 4–9 описывают цвета, типографику, интерфейс и применение. Раздел 10 связывает систему с React и React Native.</w:t>
      </w:r>
    </w:p>
    <w:p>
      <w:pPr>
        <w:spacing w:after="180"/>
      </w:pPr>
      <w:r>
        <w:rPr>
          <w:b w:val="0"/>
          <w:color w:val="5C616A"/>
          <w:sz w:val="17"/>
        </w:rPr>
        <w:t>Рабочее название «Рядом». Формулировки и изображения экранов описывают концепцию будущего продукта.</w:t>
      </w:r>
    </w:p>
    <w:p>
      <w:pPr>
        <w:pageBreakBefore/>
      </w:pPr>
      <w:r>
        <w:rPr>
          <w:sz w:val="18"/>
        </w:rPr>
        <w:t>01   РЯДОМ</w:t>
      </w:r>
    </w:p>
    <w:p>
      <w:pPr>
        <w:pStyle w:val="Heading1"/>
      </w:pPr>
      <w:r>
        <w:t>Основа бренда</w:t>
      </w:r>
    </w:p>
    <w:p>
      <w:r>
        <w:rPr>
          <w:b w:val="0"/>
        </w:rPr>
        <w:t>Платформа объединяет людей вокруг конкретного плана: что делать, где встретиться и с кем провести время.</w:t>
      </w:r>
    </w:p>
    <w:p>
      <w:pPr>
        <w:pStyle w:val="Heading2"/>
      </w:pPr>
      <w:r>
        <w:t>Позиционирование</w:t>
      </w:r>
    </w:p>
    <w:p>
      <w:r>
        <w:rPr>
          <w:b w:val="0"/>
        </w:rPr>
        <w:t>Рядом — платформа, на которой можно найти или собрать компанию для совместной активности. Понятная встреча с подходящим форматом помогает перейти от намерения к участию.</w:t>
      </w:r>
    </w:p>
    <w:p>
      <w:pPr>
        <w:pStyle w:val="Heading2"/>
      </w:pPr>
      <w:r>
        <w:t>Обещание</w:t>
      </w:r>
    </w:p>
    <w:p>
      <w:r>
        <w:rPr>
          <w:b w:val="0"/>
        </w:rPr>
        <w:t>Помогаем найти компанию и договориться о совместных планах. До записи человек видит время, место, формат, стоимость и условия участия, если они есть.</w:t>
      </w:r>
    </w:p>
    <w:p>
      <w:pPr>
        <w:pStyle w:val="Heading2"/>
      </w:pPr>
      <w:r>
        <w:t>Для кого создаём</w:t>
      </w:r>
    </w:p>
    <w:p>
      <w:r>
        <w:rPr>
          <w:b w:val="0"/>
        </w:rPr>
        <w:t>Участнику нужна подходящая компания и уверенность, что его уровень или интерес совпадает с форматом. Организатору нужны понятное приглашение, состав группы и удобная связь с участниками. Сообществу нужна последовательность встреч и узнаваемость.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cantSplit/>
          <w:tblHeader/>
        </w:trPr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7654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Как он проявляется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Открытость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Пишем, подходит ли встреча новичкам; объясняем правила и темп.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Самостоятельный выбор</w:t>
            </w:r>
          </w:p>
        </w:tc>
        <w:tc>
          <w:tcPr>
            <w:tcW w:type="dxa" w:w="765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Даём информацию для решения; не давим рекордами, сериями и чувством вины.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Конкретность</w:t>
            </w:r>
          </w:p>
        </w:tc>
        <w:tc>
          <w:tcPr>
            <w:tcW w:type="dxa" w:w="765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Показываем условия до записи; изменения сообщаем явно.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Уважение</w:t>
            </w:r>
          </w:p>
        </w:tc>
        <w:tc>
          <w:tcPr>
            <w:tcW w:type="dxa" w:w="765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Не оцениваем тело, возраст, уровень подготовки или круг общения.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Единый бренд для разных интересов</w:t>
      </w:r>
    </w:p>
    <w:p>
      <w:r>
        <w:rPr>
          <w:b w:val="0"/>
        </w:rPr>
        <w:t>Используем «Рядом» и названия категорий: Бег, Прогулки, Игры, Обучение. Категории различаем текстом и иконкой, сохраняя общие цвета и компоненты. Отдельные логотипы для каждого направления не нужны.</w:t>
      </w:r>
    </w:p>
    <w:p>
      <w:pPr>
        <w:pageBreakBefore/>
      </w:pPr>
      <w:r>
        <w:rPr>
          <w:sz w:val="18"/>
        </w:rPr>
        <w:t>02   РЯДОМ</w:t>
      </w:r>
    </w:p>
    <w:p>
      <w:pPr>
        <w:pStyle w:val="Heading1"/>
      </w:pPr>
      <w:r>
        <w:t>Язык и характер</w:t>
      </w:r>
    </w:p>
    <w:p>
      <w:r>
        <w:rPr>
          <w:b w:val="0"/>
        </w:rPr>
        <w:t>Говорим как внимательный организатор: спокойно, по делу и с понятным приглашением.</w:t>
      </w:r>
    </w:p>
    <w:p>
      <w:pPr>
        <w:pStyle w:val="Heading2"/>
      </w:pPr>
      <w:r>
        <w:t>Тон общения</w:t>
      </w:r>
    </w:p>
    <w:p>
      <w:r>
        <w:rPr>
          <w:b w:val="0"/>
        </w:rPr>
        <w:t>Обращаемся на «ты», если пользовательский контекст не требует формального обращения. Используем короткие предложения и обычные слова. В приглашениях допустима лёгкая энергия; в ошибках, отменах и оплате — точность и спокойствие.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7597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Первый экран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Найди компанию для своих планов.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Приглашение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Бежим в спокойном темпе. Присоединяйся, даже если начинаешь.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Пустая выдача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 этим условиям встреч пока нет. Измени фильтры или создай свою.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Успешная запись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Ты в списке участников. Встречаемся сегодня в 19:00.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Встреча отменена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Организатор отменил встречу. Посмотри другие планы на этот день.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Ошибка записи</w:t>
            </w:r>
          </w:p>
        </w:tc>
        <w:tc>
          <w:tcPr>
            <w:tcW w:type="dxa" w:w="7597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Не удалось записаться. Попробуй ещё раз.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Уведомление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Завтра в 10:00 — прогулка по парку. Место встречи есть в карточке.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Сообщения бренда</w:t>
      </w:r>
    </w:p>
    <w:p>
      <w:r>
        <w:rPr>
          <w:b w:val="0"/>
        </w:rPr>
        <w:t>Основное приглашение: «Есть планы. Будет компания». Описание продукта: «Спорт, прогулки и встречи по интересам». Для кнопок используем конкретные действия: «Найти встречу», «Присоединиться», «Создать встречу».</w:t>
      </w:r>
    </w:p>
    <w:p>
      <w:pPr>
        <w:pStyle w:val="Heading2"/>
      </w:pPr>
      <w:r>
        <w:t>Что исключаем</w:t>
      </w:r>
    </w:p>
    <w:p>
      <w:r>
        <w:rPr>
          <w:b w:val="0"/>
        </w:rPr>
        <w:t>Не пишем «Хватит лениться», «Стань лучшей версией себя» и «Все уже тренируются». Не обещаем идеальных знакомств, абсолютной безопасности или результата тренировки. Не используем слово «тусовка» как универсальное описание всех активностей.</w:t>
      </w:r>
    </w:p>
    <w:p>
      <w:pPr>
        <w:pageBreakBefore/>
      </w:pPr>
      <w:r>
        <w:rPr>
          <w:sz w:val="18"/>
        </w:rPr>
        <w:t>03   РЯДОМ</w:t>
      </w:r>
    </w:p>
    <w:p>
      <w:pPr>
        <w:pStyle w:val="Heading1"/>
      </w:pPr>
      <w:r>
        <w:t>Логотип и знак</w:t>
      </w:r>
    </w:p>
    <w:p>
      <w:r>
        <w:rPr>
          <w:b w:val="0"/>
        </w:rPr>
        <w:t>Знак — две одинаковые линии, направленные вверх и расположенные рядом. Это образ общего движения без привязки к конкретному виду спорта.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23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Основная композиция</w:t>
      </w:r>
    </w:p>
    <w:p>
      <w:r>
        <w:rPr>
          <w:b w:val="0"/>
        </w:rPr>
        <w:t>Красный знак слева, название «рядом» в Montserrat Bold справа. В интерфейсе предпочтительна горизонтальная версия. Отдельный знак используем там, где название уже видно или место ограничено: иконка приложения, аватар, компактная панель.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83"/>
      </w:tblGrid>
      <w:tr>
        <w:trPr>
          <w:cantSplit/>
          <w:tblHeader/>
        </w:trPr>
        <w:tc>
          <w:tcPr>
            <w:tcW w:type="dxa" w:w="243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83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Мастер знака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Поле 64 × 64; толщина линий 12; наклон примерно 22° от вертикали.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Охранное поле</w:t>
            </w:r>
          </w:p>
        </w:tc>
        <w:tc>
          <w:tcPr>
            <w:tcW w:type="dxa" w:w="7483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Не менее 12 единиц мастер-сетки со всех сторон от видимых границ композиции.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Минимальный размер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Знак — 24 px или 6 мм; связка с названием — 120 px или 30 мм по ширине.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Фон</w:t>
            </w:r>
          </w:p>
        </w:tc>
        <w:tc>
          <w:tcPr>
            <w:tcW w:type="dxa" w:w="7483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Белый или очень светлый; белая версия на красном и тёмном фоне.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Монохром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Все элементы чёрные либо все белые; без полутонов и прозрачности.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Не растягиваем знак, не меняем расстояние между линиями, не наклоняем название и не добавляем тени, обводки или градиенты. На фотографии используем свободный однотонный участок либо сплошную подложку.</w:t>
      </w:r>
    </w:p>
    <w:p>
      <w:pPr>
        <w:spacing w:after="180"/>
      </w:pPr>
      <w:r>
        <w:rPr>
          <w:b w:val="0"/>
          <w:color w:val="5C616A"/>
          <w:sz w:val="17"/>
        </w:rPr>
        <w:t>В комплекте SVG с редактируемым названием. Для печати текст логотипа переводят в кривые после установки Montserrat Bold.</w:t>
      </w:r>
    </w:p>
    <w:p>
      <w:pPr>
        <w:pageBreakBefore/>
      </w:pPr>
      <w:r>
        <w:rPr>
          <w:sz w:val="18"/>
        </w:rPr>
        <w:t>04   РЯДОМ</w:t>
      </w:r>
    </w:p>
    <w:p>
      <w:pPr>
        <w:pStyle w:val="Heading1"/>
      </w:pPr>
      <w:r>
        <w:t>Цветовая система</w:t>
      </w:r>
    </w:p>
    <w:p>
      <w:r>
        <w:rPr>
          <w:b w:val="0"/>
        </w:rPr>
        <w:t>Белый — основа, красный — главный акцент, почти чёрный — текст. Синий поддерживает информацию и фокус клавиатуры.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15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5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268"/>
        <w:gridCol w:w="5216"/>
      </w:tblGrid>
      <w:tr>
        <w:trPr>
          <w:cantSplit/>
          <w:tblHeader/>
        </w:trPr>
        <w:tc>
          <w:tcPr>
            <w:tcW w:type="dxa" w:w="243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5216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Красный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#D92D3A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Главная кнопка, знак, выбранная категория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Белый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#FFFFFF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Основной фон и поверхности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Почти чёрный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#17191D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Основной текст и иконки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Синий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#2457C5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Ссылки, фокус, информационные детали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Вторичный текст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#5C616A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Подписи и дополнительная информация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Светлый фон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#F6F7F9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Подложка разделов и спокойные поверхности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Линии / поля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#DDE0E5 / #858B95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Декоративные разделители / границы полей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Мягкие акценты</w:t>
            </w:r>
          </w:p>
        </w:tc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#FFF1F2 / #EEF3FF</w:t>
            </w:r>
          </w:p>
        </w:tc>
        <w:tc>
          <w:tcPr>
            <w:tcW w:type="dxa" w:w="5216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Красные / синие подложки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Баланс</w:t>
      </w:r>
    </w:p>
    <w:p>
      <w:r>
        <w:rPr>
          <w:b w:val="0"/>
        </w:rPr>
        <w:t>Ориентир для обычного экрана: 80% белого и светлого, 12% красного, 6% тёмного, до 2% синего. Это композиционный ориентир, а не квота. Для рекламного носителя допустим сплошной красный фон.</w:t>
      </w:r>
    </w:p>
    <w:p>
      <w:pPr>
        <w:pStyle w:val="Heading2"/>
      </w:pPr>
      <w:r>
        <w:t>Контраст</w:t>
      </w:r>
    </w:p>
    <w:p>
      <w:r>
        <w:rPr>
          <w:b w:val="0"/>
        </w:rPr>
        <w:t>Белый на красном — 4,79:1; красный на белом — 4,79:1; основной текст на белом — 17,60:1; вторичный — 6,23:1; синий — 6,47:1. Значения рассчитаны для сплошных цветов. Для обычного текста целимся минимум в 4,5:1 [1].</w:t>
      </w:r>
    </w:p>
    <w:p>
      <w:pPr>
        <w:spacing w:after="180"/>
      </w:pPr>
      <w:r>
        <w:rPr>
          <w:b w:val="0"/>
          <w:color w:val="5C616A"/>
          <w:sz w:val="17"/>
        </w:rPr>
        <w:t>Красный hover #BB2230; pressed #9F1C28. Синий не используется как второй основной цвет кнопки. Сочетание красного и синего текста друг на друге исключаем.</w:t>
      </w:r>
    </w:p>
    <w:p>
      <w:pPr>
        <w:pageBreakBefore/>
      </w:pPr>
      <w:r>
        <w:rPr>
          <w:sz w:val="18"/>
        </w:rPr>
        <w:t>05   РЯДОМ</w:t>
      </w:r>
    </w:p>
    <w:p>
      <w:pPr>
        <w:pStyle w:val="Heading1"/>
      </w:pPr>
      <w:r>
        <w:t>Шрифты и композиция</w:t>
      </w:r>
    </w:p>
    <w:p>
      <w:r>
        <w:rPr>
          <w:b w:val="0"/>
        </w:rPr>
        <w:t>Montserrat задаёт характер названия и крупных заголовков. Open Sans обеспечивает спокойный ритм интерфейса и длинного текста [2, 3].</w:t>
      </w:r>
    </w:p>
    <w:p>
      <w:r>
        <w:rPr>
          <w:rFonts w:ascii="Montserrat" w:hAnsi="Montserrat"/>
          <w:b/>
          <w:sz w:val="50"/>
        </w:rPr>
        <w:t>Есть планы.</w:t>
        <w:br/>
        <w:t>Будет компания.</w:t>
      </w:r>
    </w:p>
    <w:p>
      <w:pPr>
        <w:spacing w:after="180"/>
      </w:pPr>
      <w:r>
        <w:rPr>
          <w:b w:val="0"/>
          <w:color w:val="5C616A"/>
          <w:sz w:val="17"/>
        </w:rPr>
        <w:t>Пример рекламной формулировки. В продукте заголовок описывает действие или содержание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72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Стиль</w:t>
            </w:r>
          </w:p>
        </w:tc>
        <w:tc>
          <w:tcPr>
            <w:tcW w:type="dxa" w:w="238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Веб px / интерлиньяж</w:t>
            </w:r>
          </w:p>
        </w:tc>
        <w:tc>
          <w:tcPr>
            <w:tcW w:type="dxa" w:w="272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Мобильный / интерлиньяж</w:t>
            </w:r>
          </w:p>
        </w:tc>
        <w:tc>
          <w:tcPr>
            <w:tcW w:type="dxa" w:w="2551"/>
            <w:vAlign w:val="center"/>
            <w:shd w:fill="25282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8"/>
              </w:rPr>
              <w:t>Шрифт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Крупный заголовок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48 / 56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32 / 40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Montserrat 700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Заголовок страницы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32 / 40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28 / 36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Montserrat 700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Заголовок раздела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24 / 32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22 / 30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Montserrat 600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Заголовок карточки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18 / 26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18 / 26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Open Sans 600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Основной текст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Open Sans 400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Подпись</w:t>
            </w:r>
          </w:p>
        </w:tc>
        <w:tc>
          <w:tcPr>
            <w:tcW w:type="dxa" w:w="238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14 / 20</w:t>
            </w:r>
          </w:p>
        </w:tc>
        <w:tc>
          <w:tcPr>
            <w:tcW w:type="dxa" w:w="272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14 / 20</w:t>
            </w:r>
          </w:p>
        </w:tc>
        <w:tc>
          <w:tcPr>
            <w:tcW w:type="dxa" w:w="2551"/>
            <w:vAlign w:val="center"/>
            <w:shd w:fill="F6F7F9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Open Sans 400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Кнопка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16 / 24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color w:val="17191D"/>
                <w:sz w:val="18"/>
              </w:rPr>
              <w:t>Open Sans 600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Сетка и отступы</w:t>
      </w:r>
    </w:p>
    <w:p>
      <w:r>
        <w:rPr>
          <w:b w:val="0"/>
        </w:rPr>
        <w:t>Базовый шаг — 4. Основные интервалы: 8, 12, 16, 24, 32, 48 и 64. На широком экране используем 12 колонок, промежуток 24 и контейнер до 1200 px. На мобильном — 4 колонки, поля 16 и промежуток 16; на планшете — 8 колонок и поля 24.</w:t>
      </w:r>
    </w:p>
    <w:p>
      <w:pPr>
        <w:pStyle w:val="Heading2"/>
      </w:pPr>
      <w:r>
        <w:t>Форма</w:t>
      </w:r>
    </w:p>
    <w:p>
      <w:r>
        <w:rPr>
          <w:b w:val="0"/>
        </w:rPr>
        <w:t>Скругления: 12 у полей и кнопок, 16 у карточек, 24 у диалогов. Полное скругление оставляем фильтрам и аватарам. Высота основных контролов — 48. Тени используем только для плавающих элементов; карточкам достаточно линии или изменения фона.</w:t>
      </w:r>
    </w:p>
    <w:p>
      <w:pPr>
        <w:pStyle w:val="Heading2"/>
      </w:pPr>
      <w:r>
        <w:t>Читаемость</w:t>
      </w:r>
    </w:p>
    <w:p>
      <w:r>
        <w:rPr>
          <w:b w:val="0"/>
        </w:rPr>
        <w:t>Текст выравниваем по левому краю. Не набираем длинные фразы прописными буквами. Ограничиваем строку примерно 60–75 символами. На мобильном разрешаем системное увеличение текста и рост компонентов по содержимому.</w:t>
      </w:r>
    </w:p>
    <w:p>
      <w:pPr>
        <w:pageBreakBefore/>
      </w:pPr>
      <w:r>
        <w:rPr>
          <w:sz w:val="18"/>
        </w:rPr>
        <w:t>06   РЯДОМ</w:t>
      </w:r>
    </w:p>
    <w:p>
      <w:pPr>
        <w:pStyle w:val="Heading1"/>
      </w:pPr>
      <w:r>
        <w:t>Компоненты интерфейса</w:t>
      </w:r>
    </w:p>
    <w:p>
      <w:r>
        <w:rPr>
          <w:b w:val="0"/>
        </w:rPr>
        <w:t>На экране выделяем одно главное действие. Остальные действия поддерживают его и сохраняют ясную иерархию.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760000" cy="261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Кнопки и состояния</w:t>
      </w:r>
    </w:p>
    <w:p>
      <w:r>
        <w:rPr>
          <w:b w:val="0"/>
        </w:rPr>
        <w:t>Основная кнопка красная с белым текстом. Вторичная — светлая с тёмным текстом и заметной границей. Высота от 48, горизонтальные отступы от 20. Hover затемняет красный; нажатие затемняет сильнее; загрузка сохраняет ширину и показывает «Записываем…». Повторное нажатие во время отправки блокируется.</w:t>
      </w:r>
    </w:p>
    <w:p>
      <w:r>
        <w:rPr>
          <w:b w:val="0"/>
        </w:rPr>
        <w:t>Состояние «нет мест» использует нейтральную заливку и явную подпись. После успешной записи показываем «Ты участвуешь» и отдельное действие отмены. Ошибка не заменяет текст кнопки без объяснения рядом.</w:t>
      </w:r>
    </w:p>
    <w:p>
      <w:pPr>
        <w:pStyle w:val="Heading2"/>
      </w:pPr>
      <w:r>
        <w:t>Карточка встречи</w:t>
      </w:r>
    </w:p>
    <w:p>
      <w:r>
        <w:rPr>
          <w:b w:val="0"/>
        </w:rPr>
        <w:t>Обязательные поля: название, категория, время и часовой пояс при необходимости, место, темп или формат, участники и вместимость, организатор, стоимость либо «Бесплатно». Если условия неизвестны, показываем это явно. Для неспортивных встреч «темп» заменяется подходящим описанием формата.</w:t>
      </w:r>
    </w:p>
    <w:p>
      <w:pPr>
        <w:pStyle w:val="Heading2"/>
      </w:pPr>
      <w:r>
        <w:t>Поля и статусы</w:t>
      </w:r>
    </w:p>
    <w:p>
      <w:r>
        <w:rPr>
          <w:b w:val="0"/>
        </w:rPr>
        <w:t>Подпись поля остаётся видимой при вводе. Фокус обозначается синим контуром 3 px с отступом 3 px. Ошибка — тёмно-красный #A61B29, значок и пояснение; успех — #236341 с подписью; предупреждение — #805600 на светлой подложке. Цвет никогда не передаёт состояние один [1].</w:t>
      </w:r>
    </w:p>
    <w:p>
      <w:pPr>
        <w:spacing w:after="180"/>
      </w:pPr>
      <w:r>
        <w:rPr>
          <w:b w:val="0"/>
          <w:color w:val="5C616A"/>
          <w:sz w:val="17"/>
        </w:rPr>
        <w:t>Светлая линия #DDE0E5 используется как декор; граница поля #858B95 помогает различать контрол на белом фоне. Схематичный набор компонентов не является готовой библиотекой.</w:t>
      </w:r>
    </w:p>
    <w:p>
      <w:pPr>
        <w:pageBreakBefore/>
      </w:pPr>
      <w:r>
        <w:rPr>
          <w:sz w:val="18"/>
        </w:rPr>
        <w:t>07   РЯДОМ</w:t>
      </w:r>
    </w:p>
    <w:p>
      <w:pPr>
        <w:pStyle w:val="Heading1"/>
      </w:pPr>
      <w:r>
        <w:t>Пример веб интерфейса</w:t>
      </w:r>
    </w:p>
    <w:p>
      <w:r>
        <w:rPr>
          <w:b w:val="0"/>
        </w:rPr>
        <w:t>Поиск начинается с желания человека, а карточки дают достаточно информации для выбора следующего шага.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580000" cy="375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Демонстрационный макет главной страницы. Названия встреч и количество участников приведены для примера.</w:t>
      </w:r>
    </w:p>
    <w:p>
      <w:pPr>
        <w:pStyle w:val="Heading2"/>
      </w:pPr>
      <w:r>
        <w:t>Композиция</w:t>
      </w:r>
    </w:p>
    <w:p>
      <w:r>
        <w:rPr>
          <w:b w:val="0"/>
        </w:rPr>
        <w:t>Верхняя панель содержит бренд, разделы и создание встречи. В первом экране — приглашение, поиск по активности и месту, затем категории и ближайшие события. Красный выделяет поиск и выбранные элементы; светлый фон удерживает визуальный баланс.</w:t>
      </w:r>
    </w:p>
    <w:p>
      <w:pPr>
        <w:pStyle w:val="Heading2"/>
      </w:pPr>
      <w:r>
        <w:t>Поведение на узком экране</w:t>
      </w:r>
    </w:p>
    <w:p>
      <w:r>
        <w:rPr>
          <w:b w:val="0"/>
        </w:rPr>
        <w:t>Колонки карточек сокращаются с трёх до двух и одной. Поля поиска располагаются вертикально. Категории переносятся или прокручиваются с видимым продолжением. Нижняя мобильная навигация содержит основные разделы; создание встречи доступно отдельным действием.</w:t>
      </w:r>
    </w:p>
    <w:p>
      <w:r>
        <w:rPr>
          <w:b w:val="0"/>
        </w:rPr>
        <w:t>Путь участника: выбор встречи, подробности и условия, присоединение, подтверждение. Дополнительные функции используют ту же визуальную систему.</w:t>
      </w:r>
    </w:p>
    <w:p>
      <w:pPr>
        <w:pageBreakBefore/>
      </w:pPr>
      <w:r>
        <w:rPr>
          <w:sz w:val="18"/>
        </w:rPr>
        <w:t>08   РЯДОМ</w:t>
      </w:r>
    </w:p>
    <w:p>
      <w:pPr>
        <w:pStyle w:val="Heading1"/>
      </w:pPr>
      <w:r>
        <w:t>Пример мобильного приложения</w:t>
      </w:r>
    </w:p>
    <w:p>
      <w:r>
        <w:rPr>
          <w:b w:val="0"/>
        </w:rPr>
        <w:t>Мобильный интерфейс сохраняет знакомые цвета, тексты и порядок информации. Размеры и навигация учитывают платформу.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46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6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Демонстрационная композиция для будущего приложения. Подробности организатора и условия раскрываются на экране встречи.</w:t>
      </w:r>
    </w:p>
    <w:p>
      <w:pPr>
        <w:pStyle w:val="Heading2"/>
      </w:pPr>
      <w:r>
        <w:t>Правила адаптации</w:t>
      </w:r>
    </w:p>
    <w:p>
      <w:r>
        <w:rPr>
          <w:b w:val="0"/>
        </w:rPr>
        <w:t>Веб и приложение используют одни роли цветов и одну шкалу отступов. В React Native размеры применяются как логические единицы. Учитываем safe area, системные жесты и увеличение шрифта. Высота кнопки 48 — минимум; при крупном тексте она увеличивается.</w:t>
      </w:r>
    </w:p>
    <w:p>
      <w:pPr>
        <w:pStyle w:val="Heading2"/>
      </w:pPr>
      <w:r>
        <w:t>Доступность</w:t>
      </w:r>
    </w:p>
    <w:p>
      <w:r>
        <w:rPr>
          <w:b w:val="0"/>
        </w:rPr>
        <w:t>Сохраняем понятные подписи навигации, доступные имена и порядок чтения. Элементы доступны с клавиатуры на вебе. Видимый фокус не перекрывается закреплёнными панелями. Для интерактивных целей целимся в область от 48 × 48; для веба отдельно проверяем WCAG 2.2 [1].</w:t>
      </w:r>
    </w:p>
    <w:p>
      <w:pPr>
        <w:pageBreakBefore/>
      </w:pPr>
      <w:r>
        <w:rPr>
          <w:sz w:val="18"/>
        </w:rPr>
        <w:t>09   РЯДОМ</w:t>
      </w:r>
    </w:p>
    <w:p>
      <w:pPr>
        <w:pStyle w:val="Heading1"/>
      </w:pPr>
      <w:r>
        <w:t>Графика и коммуникации</w:t>
      </w:r>
    </w:p>
    <w:p>
      <w:r>
        <w:rPr>
          <w:b w:val="0"/>
        </w:rPr>
        <w:t>Узнаваемость строится на паре направленных линий, крупной типографике, свободном пространстве и конкретном приглашении.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300000" cy="29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ig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C616A"/>
          <w:sz w:val="17"/>
        </w:rPr>
        <w:t>Два примера носителей показывают, как одна система работает для спорта и других совместных занятий.</w:t>
      </w:r>
    </w:p>
    <w:p>
      <w:pPr>
        <w:pStyle w:val="Heading2"/>
      </w:pPr>
      <w:r>
        <w:t>Фирменная графика</w:t>
      </w:r>
    </w:p>
    <w:p>
      <w:r>
        <w:rPr>
          <w:b w:val="0"/>
        </w:rPr>
        <w:t>Парные линии можно увеличивать и обрезать краем носителя, сохраняя их толщину, наклон и взаимное положение. На одном носителе достаточно одного крупного жеста. В интерфейсе графика помогает пустым состояниям и обложкам, не мешая чтению.</w:t>
      </w:r>
    </w:p>
    <w:p>
      <w:pPr>
        <w:pStyle w:val="Heading2"/>
      </w:pPr>
      <w:r>
        <w:t>Фотографии и иллюстрации</w:t>
      </w:r>
    </w:p>
    <w:p>
      <w:r>
        <w:rPr>
          <w:b w:val="0"/>
        </w:rPr>
        <w:t>Показываем людей в процессе совместного занятия: общий маршрут, разговор перед стартом, игру за столом. В кадре — разный опыт и естественные эмоции. Свет нейтральный или дневной, кожа естественного цвета. Красный можно поддержать деталью одежды или предметом.</w:t>
      </w:r>
    </w:p>
    <w:p>
      <w:r>
        <w:rPr>
          <w:b w:val="0"/>
        </w:rPr>
        <w:t>Избегаем постановочной агрессии, культа идеального тела, тяжёлых цветных фильтров и ощущения закрытого клуба. Иллюстрации простые и округлые; они изображают людей и ситуацию, а не только спортивный инвентарь.</w:t>
      </w:r>
    </w:p>
    <w:p>
      <w:pPr>
        <w:pStyle w:val="Heading2"/>
      </w:pPr>
      <w:r>
        <w:t>Движение</w:t>
      </w:r>
    </w:p>
    <w:p>
      <w:r>
        <w:rPr>
          <w:b w:val="0"/>
        </w:rPr>
        <w:t>Переходы длятся 120–240 мс: появление, лёгкое смещение, изменение состояния. Не используем постоянное подпрыгивание кнопок и мигающие акценты. При настройке уменьшения движения отключаем декоративную анимацию.</w:t>
      </w:r>
    </w:p>
    <w:p>
      <w:pPr>
        <w:pageBreakBefore/>
      </w:pPr>
      <w:r>
        <w:rPr>
          <w:sz w:val="18"/>
        </w:rPr>
        <w:t>10   РЯДОМ</w:t>
      </w:r>
    </w:p>
    <w:p>
      <w:pPr>
        <w:pStyle w:val="Heading1"/>
      </w:pPr>
      <w:r>
        <w:t>Передача в разработку</w:t>
      </w:r>
    </w:p>
    <w:p>
      <w:r>
        <w:rPr>
          <w:b w:val="0"/>
        </w:rPr>
        <w:t>Единые значения оформления позволяют сохранить характер бренда в React и будущем React Native приложении.</w:t>
      </w:r>
    </w:p>
    <w:p>
      <w:pPr>
        <w:pStyle w:val="Heading2"/>
      </w:pPr>
      <w:r>
        <w:t>Что включено в комплект</w:t>
      </w:r>
    </w:p>
    <w:p>
      <w:r>
        <w:rPr>
          <w:b w:val="0"/>
        </w:rPr>
        <w:t>Векторные знак, связка с названием, монохромная и обратная версии, квадратный мастер иконки. Значения оформления находятся в tokens.json; tokens.css и tokens.ts содержат те же цвета, интервалы и параметры для веба и приложения. README объясняет использование.</w:t>
      </w:r>
    </w:p>
    <w:p>
      <w:pPr>
        <w:pStyle w:val="Heading2"/>
      </w:pPr>
      <w:r>
        <w:t>Как применять</w:t>
      </w:r>
    </w:p>
    <w:p>
      <w:r>
        <w:rPr>
          <w:b w:val="0"/>
        </w:rPr>
        <w:t>JSON — источник значений. В React веб-компоненты обращаются к CSS-переменным по смысловой роли: основной текст, фон, акцент, ошибка. В React Native используются числовые значения из TypeScript; шрифты и их начертания регистрируются отдельно. При изменении системы обновляются JSON, CSS и TypeScript.</w:t>
      </w:r>
    </w:p>
    <w:p>
      <w:r>
        <w:rPr>
          <w:b w:val="0"/>
        </w:rPr>
        <w:t>Общие компоненты проектируются как Button, Input, ActivityCard, CategoryChip и AvatarGroup. Поведение навигации, жестов и доступности реализуется с учётом платформы. Брендбук задаёт дизайн, а не подтверждает наличие этих функций.</w:t>
      </w:r>
    </w:p>
    <w:p>
      <w:pPr>
        <w:pStyle w:val="Heading2"/>
      </w:pPr>
      <w:r>
        <w:t>Проверка перед запуском</w:t>
      </w:r>
    </w:p>
    <w:p>
      <w:r>
        <w:rPr>
          <w:b w:val="0"/>
        </w:rPr>
        <w:t>1. Проверить кириллицу и загрузку всех начертаний.</w:t>
        <w:br/>
        <w:t>2. Проверить контраст реальных состояний, фокус и навигацию с клавиатуры.</w:t>
        <w:br/>
        <w:t>3. Проверить крупный системный текст, переносы и экран шириной 320 px.</w:t>
        <w:br/>
        <w:t>4. Проверить загрузку, пустую выдачу, ошибки, отмены и заполненную встречу.</w:t>
        <w:br/>
        <w:t>5. Подготовить платформенные иконки из квадратного мастера.</w:t>
        <w:br/>
        <w:t>6. Проверить название, знак и домен перед публичным запуском.</w:t>
      </w:r>
    </w:p>
    <w:p>
      <w:pPr>
        <w:pStyle w:val="Heading2"/>
      </w:pPr>
      <w:r>
        <w:t>Источники для реализации</w:t>
      </w:r>
    </w:p>
    <w:p>
      <w:r>
        <w:rPr>
          <w:b w:val="0"/>
          <w:sz w:val="17"/>
        </w:rPr>
        <w:t>[1] W3C WCAG 2.2: контраст текста, использование цвета, фокус и размер целей. https://www.w3.org/TR/WCAG22/</w:t>
      </w:r>
    </w:p>
    <w:p>
      <w:r>
        <w:rPr>
          <w:b w:val="0"/>
          <w:sz w:val="17"/>
        </w:rPr>
        <w:t>[2] Montserrat: официальный репозиторий, кириллица и лицензия SIL OFL 1.1. https://github.com/JulietaUla/Montserrat</w:t>
      </w:r>
    </w:p>
    <w:p>
      <w:r>
        <w:rPr>
          <w:b w:val="0"/>
          <w:sz w:val="17"/>
        </w:rPr>
        <w:t>[3] Open Sans: официальный репозиторий и лицензия. https://github.com/googlefonts/opensans</w:t>
      </w:r>
    </w:p>
    <w:p>
      <w:pPr>
        <w:spacing w:after="180"/>
      </w:pPr>
      <w:r>
        <w:rPr>
          <w:b w:val="0"/>
          <w:color w:val="5C616A"/>
          <w:sz w:val="17"/>
        </w:rPr>
        <w:t>Версия 1.0 — основа для дизайна продукта. Проверка доступности выполняется на работающих экранах; готовое соответствие стандарту этим документом не заявляется.</w:t>
      </w:r>
    </w:p>
    <w:sectPr w:rsidR="00FC693F" w:rsidRPr="0006063C" w:rsidSect="00034616">
      <w:footerReference w:type="default" r:id="rId9"/>
      <w:pgSz w:w="11906" w:h="16838"/>
      <w:pgMar w:top="935" w:right="992" w:bottom="850" w:left="992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pen Sans" w:hAnsi="Open Sans"/>
        <w:color w:val="5C616A"/>
        <w:sz w:val="16"/>
      </w:rPr>
      <w:t xml:space="preserve">РЯДОМ   /   БРЕНДБУК 1.0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60"/>
    </w:pPr>
    <w:rPr>
      <w:rFonts w:ascii="Open Sans" w:hAnsi="Open Sans" w:eastAsia="Ope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80"/>
      <w:outlineLvl w:val="0"/>
    </w:pPr>
    <w:rPr>
      <w:rFonts w:asciiTheme="majorHAnsi" w:eastAsiaTheme="majorEastAsia" w:hAnsiTheme="majorHAnsi" w:cstheme="majorBidi" w:ascii="Montserrat" w:hAnsi="Montserrat" w:eastAsia="Open Sans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80"/>
      <w:outlineLvl w:val="1"/>
    </w:pPr>
    <w:rPr>
      <w:rFonts w:asciiTheme="majorHAnsi" w:eastAsiaTheme="majorEastAsia" w:hAnsiTheme="majorHAnsi" w:cstheme="majorBidi" w:ascii="Montserrat" w:hAnsi="Montserrat" w:eastAsia="Ope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 w:eastAsia="Open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60"/>
      <w:contextualSpacing/>
    </w:pPr>
    <w:rPr>
      <w:rFonts w:asciiTheme="majorHAnsi" w:eastAsiaTheme="majorEastAsia" w:hAnsiTheme="majorHAnsi" w:cstheme="majorBidi" w:ascii="Montserrat" w:hAnsi="Montserrat" w:eastAsia="Open San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pen Sans" w:hAnsi="Open Sans" w:eastAsia="Open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Брендбук платформы Рядом</dc:title>
  <dc:subject>Визуальная и вербальная система платформы совместных активностей</dc:subject>
  <dc:creator>Рядом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