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医疗数据编织平台（MedFabric）功能说明</w:t>
      </w:r>
    </w:p>
    <w:p>
      <w:pPr>
        <w:spacing w:before="120" w:after="40"/>
        <w:jc w:val="left"/>
      </w:pPr>
      <w:r>
        <w:rPr>
          <w:rFonts w:ascii="Microsoft YaHei" w:hAnsi="Microsoft YaHei" w:eastAsia="Microsoft YaHei"/>
          <w:b w:val="0"/>
          <w:i w:val="0"/>
          <w:color w:val="606673"/>
          <w:sz w:val="21"/>
        </w:rPr>
        <w:t>《基于数据编织技术的数据基础设施创新路径研究》课题13 · 南京大学 —— 可运行原型</w:t>
      </w:r>
    </w:p>
    <w:p>
      <w:pPr>
        <w:spacing w:before="0" w:after="160"/>
        <w:jc w:val="left"/>
      </w:pPr>
      <w:r>
        <w:rPr>
          <w:rFonts w:ascii="Microsoft YaHei" w:hAnsi="Microsoft YaHei" w:eastAsia="Microsoft YaHei"/>
          <w:b w:val="0"/>
          <w:i w:val="0"/>
          <w:color w:val="606673"/>
          <w:sz w:val="21"/>
        </w:rPr>
        <w:t>以三甲医院多系统场景为例，覆盖架构模型、数据编织关键技术、数据服务与流通模式、安全保障与合规治理四大部分。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一、平台概述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MedFabric 是一个医疗数据编织（Data Fabric）可运行原型，把分散在医院各系统中的患者数据在逻辑上统一起来，而物理数据保持原位不动——即“逻辑关联整合”而非“物理集中汇聚”。其核心机制是主动元数据驱动：持续感知多源变化并自动触发管理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层级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模块文件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资源层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medsim.py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五套异构医疗源生成（HIS/LIS/PACS/EMR/IoT）+ StreamingSim 实时业务流，约180名患者、490+就诊、2.7k检验结果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编织层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discovery · semantics · virtualization · orchestration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主动元数据发现 / 统一语义建模与知识图谱 / 虚拟化联邦查询 / 智能编排调度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服务层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governance.py + UI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服务注册发布、组合流编排、跨域流通计量、价值反馈与安全合规治理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20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kp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图1　数据驾驶舱（默认首页）：8项KPI、五源行数增长曲线、事件分布与诊断Top8、编排任务实时面板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二、资源层 · 五套医疗源模拟（medsim.py）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以真实医院系统形态抽象，数据采用本地 SQLite/JSON 模拟（seed=42 可复现），物理分散存储。StreamingSim 持续注入新患者形成实时业务流，用于演示“数据无需搬迁即可被动态发现”。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源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模拟的真实数据库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承载内容与规模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HIS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Oracle（模拟）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就诊、诊断、科室等主索引；180名患者 / 490+就诊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LIS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MySQL（模拟）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检验项目与结果，2.7k+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PACS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PostgreSQL + DICOM文件库（模拟）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影像检查记录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EMR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MongoDB文档（模拟为JSON）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电子病历：主诉/现病史/查体/辅助检查/诊断/治疗计划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IoT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Kafka流（模拟）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生命体征实时监测数据，StreamingSim 持续注入新患者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89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8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图2　架构总览页：三层模型、五套源及其数据库与行数、统一语义映射与跨源API服务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三、编织层 · 主动元数据发现引擎（discovery.py）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每4秒对五个源做“结构 + 内容”双维指纹比对，自动生成事件流并通过 SSE 实时推送到前端。StreamingSim 持续注入新患者时，可观察“IoT → HIS → LIS → PACS/EMR”依次落库并被动态发现的过程——数据保持原位即被纳入目录与知识图谱。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事件类型</w:t>
            </w:r>
          </w:p>
        </w:tc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data_update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增量写入：源中检测到新增记录，自动登记入目录并更新行数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schema_drift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结构漂移：字段结构变化，触发重映射校验（P1规则）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quality_anomaly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质量异常：完整性/一致性异常，触发 P0 复核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semantic_link_discovered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跨系统身份对齐：同一患者在不同系统的标识被语义关联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orchestrated_action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编排动作回写：任务完成后写入元数据流，形成闭环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00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图3　主动元数据发现页：五源在线状态、SSE 实时事件流与事件类型分布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四、编织层 · 统一语义建模与知识图谱（semantics.py）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在不改动任何物理表的前提下建立语义层。定义实体类型体系，维护字段级跨源映射（6组实体、共33条），对 ICD-10 诊断与检验项目术语自动打标对齐；并构建患者核心知识图谱，关系边带置信度。全生命周期主动元数据覆盖结构信息、质量事件、访问控制登记（各源分级+脱敏策略）与任务血缘链。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实体类型</w:t>
            </w:r>
          </w:p>
        </w:tc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字段映射示例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患者 Patient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his.patient_id / lis.patient_id / pacs.patient_id → 统一 patient_id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就诊 Visit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his.visit_type→就诊方式；lis.result_item→检验项目（术语对齐）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诊断 Diagnosis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his.diagnosis_code/desc → ICD-10编码与名称对齐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检验单 LIS Order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lis.test_order_no / result_value_num / ref_range 等跨源字段映射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影像检查 PACS Study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pacs.study_uid（DICOM UID）/ modality（CT/MR/DR/AUS）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体征序列 IoT Stream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iot.vitals.heart_rate / spo2 → 时序监测流实体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09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图4　统一语义建模 · 知识图谱：患者核心图谱与六类实体的字段级跨源映射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五、编织层 · 数据虚拟化与联邦查询（virtualization.py）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Patient360：由语义映射推导逻辑视图，单实体跨5个源零拷贝联邦取数，结果附来源溯源（provenance）与耗时。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SVC-FED-QUERY 声明式跨源聚合：按科室/诊断 × 就诊数/异常检验项/影像检查等维度做原位统计（SQLite ATTACH 跨文件计算），整合并附血缘。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术语对齐检索 /api/search?q=：基于语义层的统一搜索入口，支持 ICD-10 与检验项目对齐查询。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六、智能编排与调度（orchestration.py）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事件命中 → 优先级任务队列（P0 最高）→ 串行执行器；规则可在线启停，统计（命中/完成/平均时延）实时刷新；每180秒自动巡检 + UI手动触发。任务完成后回写 orchestrated_action 进入元数据流，形成“感知—建模—执行—反馈”闭环。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优先级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规则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触发条件与动作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P0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R-IoT 质量异常复核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IoT流超界 → 回源表重新生成复检报告，并调用 SVC-VITALS-TREND 生成趋势复核包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P1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R-LINK 身份对齐语义登记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跨系统患者标识关联后，将映射写入语义层与知识图谱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P1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R-SCHEMA 结构漂移重映射校验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源结构变化时重新验证字段映射有效性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P2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R-LIS 检验异常项扫描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LIS 新结果超界 → 生成预警并登记血缘事件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P2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R-PATROL 全源质量巡检（定时）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每180秒周期触发，可手动执行；命中/完成约27次、平均时延约27ms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19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1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图5　智能编排调度页：五类规则启停与任务队列，底部为治理元数据 · 各源访问控制登记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七、数据服务与流通模式（governance.py）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实现“抽象 — 供给 — 流通 — 反馈”闭环。服务登记簿记录分级/所有者/生命周期/质量分/适用范围/语义标签，UI 支持在线登记并发布；内置3条预设医疗服务流；跨域计量记录调用主体、组织、授权结果、脱敏状态、时延与血缘；价值反馈汇总调用次数、成功率、平均响应、复用分与价值积分。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服务流</w:t>
            </w:r>
          </w:p>
        </w:tc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组成意图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临床患者全景视图（active）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SVC-PATIENT-360 → SVC-VITALS-TREND，面向诊疗的跨源统一视图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科研队列分析检索（active）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SVC-FED-QUERY 等组合声明式聚合，输出脱敏后的分析结果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质量异常复核链路（active）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以检验/体征超界触发，串联复核并回写元数据事件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938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38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图6　服务流通页：实时数据流、服务登记发布与预设组合流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八、安全保障机制（governance.py）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覆盖分级分类、动态脱敏、细粒度授权、全链路审计与风险处置。六类医疗数据资产分为 L1–L4；患者姓名/电话/证件号/患者ID及病历文本按角色动态掩码，POST /api/security/mask-preview 可预览策略效果；越权、用途不符、跨域未授权自动生成风险并支持人工复核关闭。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数据资产（分级）</w:t>
            </w:r>
          </w:p>
        </w:tc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保护与脱敏策略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患者主索引（L4 · HIS/院内）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patient_id / name / gender / birth_date / id_card 掩码，就诊记录可见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就诊与诊断（L3 · HIS）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visit_type / diagnosis_code/desc 按科室角色授权展示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检验结果（L3 · LIS）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test_no / item_value / unit / flag 按结果精度分级脱敏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影像检查单（L3 · PACS）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study_uid / modality / body_part，DICOM文件按病案号授权访问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生命体征流（L4 · IoT/院内）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heart_rate / spo2 / temperature 实时监测，原始波形不出院区边界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病历文书（L4 · EMR）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chief_complaint / present_illness_history / physical_exam 敏感字段脱敏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角色策略</w:t>
            </w:r>
          </w:p>
        </w:tc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典型授权决策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临床医生 clinical-doctor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allow（诊疗所需明文可见）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数据分析师 analyst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masked（统计级聚合，明细掩码）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科研人员 researcher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allow_masked / masked（脱敏后用于科研队列）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运维 ops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deny 或仅系统元数据（不接触患者敏感字段）</w:t>
            </w:r>
          </w:p>
        </w:tc>
      </w:tr>
    </w:tbl>
    <w:p>
      <w:pPr>
        <w:spacing w:before="40"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24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to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2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hAnsi="Microsoft YaHei" w:eastAsia="Microsoft YaHei"/>
          <w:b w:val="0"/>
          <w:color w:val="606673"/>
          <w:sz w:val="18"/>
        </w:rPr>
        <w:t>图7　安全合规页：分级分类与保护策略、动态授权评估与全链路审计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九、前端界面 · 数据驾驶舱（static/index.html）</w:t>
      </w:r>
    </w:p>
    <w:p>
      <w:pPr>
        <w:spacing w:before="40" w:after="120"/>
      </w:pPr>
      <w:r>
        <w:rPr>
          <w:rFonts w:ascii="Microsoft YaHei" w:hAnsi="Microsoft YaHei" w:eastAsia="Microsoft YaHei"/>
          <w:b w:val="0"/>
          <w:i w:val="0"/>
          <w:color w:val="262A33"/>
          <w:sz w:val="21"/>
        </w:rPr>
        <w:t>单页应用（约95KB），无框架，SSE 实时刷新。默认首页“数据驾驶舱”一屏呈现运行闭环：8项KPI + 五源行数增长曲线（4秒采样环形缓冲）+ 事件类型分布/诊断Top8 + 编排任务与元数据事件实时面板 + “感知—建模—执行—反馈”六环节计数条带。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页面</w:t>
            </w:r>
          </w:p>
        </w:tc>
        <w:tc>
          <w:tcPr>
            <w:tcW w:type="dxa" w:w="432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架构总览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三层模型、五源规模与“物理分散 → 逻辑整合”对照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主动元数据发现（SSE）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事件流实时推送与类型分布统计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统一语义建模 · 知识图谱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实体体系 + 字段映射 + 患者核心图谱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虚拟查询 · Patient360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跨源零拷贝联邦视图与术语对齐检索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智能编排调度（#orch）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规则启停、任务队列与治理元数据登记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服务流通 / 安全合规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服务登记发布、组合流执行；分级脱敏授权审计风险处置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十、API接口清单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模块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方法</w:t>
            </w:r>
          </w:p>
        </w:tc>
        <w:tc>
          <w:tcPr>
            <w:tcW w:type="dxa" w:w="2880"/>
            <w:shd w:val="clear" w:color="auto" w:fill="D6E0F0"/>
          </w:tcPr>
          <w:p>
            <w:pPr>
              <w:spacing w:after="40" w:before="20"/>
            </w:pPr>
            <w:r>
              <w:rPr>
                <w:rFonts w:ascii="Microsoft YaHei" w:hAnsi="Microsoft YaHei" w:eastAsia="Microsoft YaHei"/>
                <w:b/>
                <w:color w:val="14264A"/>
                <w:sz w:val="19"/>
              </w:rPr>
              <w:t>端点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概览/编织层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GET · 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/api/overview · /api/discovery/run · /api/events?after= · /api/stream(SSE)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语义建模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/api/catalog（实体+字段映射）· /api/graph（知识图谱JSON）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虚拟查询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POST · 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/api/query/patient_360 {patient_id} · /api/search?q=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智能编排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GET · 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/api/cockpit · /api/orchestrator · /api/rules/{id}/toggle · /api/orchestrator/patrol · /api/tasks?limit=60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服务流通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GET · 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/api/services · /api/services/{sid}/invoke（含SVC-FED-QUERY）· /api/data-services · /api/data-services/register · /api/data-services/flows/{flow_id}/run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/>
                <w:color w:val="262A33"/>
                <w:sz w:val="19"/>
              </w:rPr>
              <w:t>安全合规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GET · 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b w:val="0"/>
                <w:color w:val="262A33"/>
                <w:sz w:val="19"/>
              </w:rPr>
              <w:t>/api/security/overview · /api/security/authorize · /api/security/mask-preview · /api/security/audit · /api/security/risks · /api/security/risks/{rid}/resolve</w:t>
            </w:r>
          </w:p>
        </w:tc>
      </w:tr>
    </w:tbl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264A"/>
          <w:sz w:val="30"/>
        </w:rPr>
        <w:t>十一、技术栈与部署运行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后端：Python FastAPI + SSE 实时事件推送；监控线程每4秒扫描五源。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数据层：SQLite/JSON 本地模拟，物理分散存储（his.db / lis.db / pacs.db / iot.db / emr/*.json）。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前端：单页 HTML（SSE驱动），无框架依赖。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启动：medfabric\start.bat（自动装依赖并打开 http://127.0.0.1:8321/）；或手动 uvicorn app:app --host 127.0.0.1 --port 8321。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262A33"/>
          <w:sz w:val="21"/>
        </w:rPr>
        <w:t>可复现：seed=42，重启会重新生成基准数据集并重置实时流；接口按真实医院系统抽象设计，后续替换适配器即可对接真实库。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2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