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requerimientos para el sistema de información para el local de La ventanita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Módulo 1 Mantenimiento de productos: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1.1 Menú de selección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1.2 Pantalla Agregar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1.3 Pantalla Borrar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1.4 Pantalla Sacar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1.5 Proceso de agregar productos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1.6 Proceso de sacar productos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1.7 Proceso de borrar productos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1.8 Interfaz de comunicación con el almacen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Módulo 2 Mantenimiento de almacén: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2.1 Menú de selección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 Pantalla de consulta de productos en el almacén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2.3 Pantalla ingresar productos al almacén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2.4 Pantalla retirar productos del almacén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2.5 Proceso de ingreso de productos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2.6 Proceso de retiro de productos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2.7 Reporte de retiro de productos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2.8 Reporte de ingreso de productos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Módulo 3 Mantenimiento de entrada y salida: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3.1 Pantalla que muestre cantidades totales de productos existentes en almacén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3.2 Pantalla para incrementar o decrementar las unidades existentes considerando situaciones como: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Venta de productos realizados en la jornada laboral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Merma de insumos o problemáticas con los clientes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Accidentes laborales y/o situaciones que afecten el funcionamiento óptimo del sistema para el control en el almacén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3.3 Pantalla que muestre una alerta cuando un insumo está a punto de agotarse o se encuentra agotado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3.4 Pantalla que muestre una alerta cuando hay excedente de un insumo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3.5 Pantalla que muestre quien realiza las modificaciones, asi como la hora y la fecha.Pantalla que muestra quien realiza las modificaciones así como la hora y la fecha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Módulo 4 Mantenimiento de platillos: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4.1 Menú de platillos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4.2 Menú de bebidas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4.3 Menú de postres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4.4 Pantalla con ingredientes de cada platillo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4.5 Pantalla con ingredientes de cada bebida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4.6 Pantalla con ingredientes de cada postre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4.7 Proceso retirar ingredientes del almacén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4.8 Interfaz de comunicación con el almacen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Módulo 5 Registro de órdenes: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5.1 Menú con platillos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5.2 Pantalla de registro de la comanda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5.3 Proceso de registro de la comanda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5.4 Reporte de de la comanda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5.5 Interfaz de comunicación con el mantenimiento de platillos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drawing>
        <wp:inline distB="114300" distT="114300" distL="114300" distR="114300">
          <wp:extent cx="2052638" cy="1026319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638" cy="10263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