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C2" w:rsidRPr="00137651" w:rsidRDefault="00D9482A">
      <w:pPr>
        <w:contextualSpacing w:val="0"/>
        <w:jc w:val="both"/>
        <w:rPr>
          <w:rFonts w:ascii="Open Sans" w:eastAsia="Open Sans" w:hAnsi="Open Sans" w:cs="Open Sans"/>
          <w:b/>
          <w:i/>
          <w:sz w:val="60"/>
          <w:szCs w:val="60"/>
          <w:lang w:val="pt-BR"/>
        </w:rPr>
      </w:pPr>
      <w:r w:rsidRPr="00137651">
        <w:rPr>
          <w:rFonts w:ascii="Open Sans" w:eastAsia="Open Sans" w:hAnsi="Open Sans" w:cs="Open Sans"/>
          <w:b/>
          <w:i/>
          <w:sz w:val="60"/>
          <w:szCs w:val="60"/>
          <w:lang w:val="pt-BR"/>
        </w:rPr>
        <w:t>REDES SOCIAIS</w:t>
      </w:r>
    </w:p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545"/>
      </w:tblGrid>
      <w:tr w:rsidR="006157C2" w:rsidRPr="00137651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Entrega: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80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Centro e Periferia</w:t>
            </w:r>
          </w:p>
        </w:tc>
      </w:tr>
      <w:tr w:rsidR="006157C2" w:rsidRPr="00137651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Aluno(s):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803F91">
            <w:pPr>
              <w:widowControl w:val="0"/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Leonardo Pereira Medeiros</w:t>
            </w:r>
          </w:p>
        </w:tc>
      </w:tr>
      <w:tr w:rsidR="006157C2" w:rsidRPr="00137651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Data: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803F91">
            <w:pPr>
              <w:widowControl w:val="0"/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03/10/2018</w:t>
            </w:r>
          </w:p>
        </w:tc>
      </w:tr>
    </w:tbl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6157C2" w:rsidRPr="00137651" w:rsidRDefault="00D9482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lastRenderedPageBreak/>
        <w:t>Gráficos</w:t>
      </w:r>
    </w:p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6157C2" w:rsidRPr="00137651" w:rsidRDefault="000F59F3">
      <w:pPr>
        <w:contextualSpacing w:val="0"/>
        <w:jc w:val="center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943600" cy="6469551"/>
            <wp:effectExtent l="0" t="0" r="0" b="7620"/>
            <wp:docPr id="1" name="Imagem 1" descr="C:\Users\leo_v\AppData\Local\Microsoft\Windows\INetCache\Content.MSO\A92C97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_v\AppData\Local\Microsoft\Windows\INetCache\Content.MSO\A92C974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6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6157C2" w:rsidRPr="00137651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1.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Distribuição dos artistas em relação ao número de sessões das quais cada um participou em 19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5</w:t>
            </w:r>
            <w:r w:rsidR="000F59F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3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</w:t>
            </w:r>
            <w:r w:rsidR="000F59F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a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1968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.</w:t>
            </w:r>
          </w:p>
        </w:tc>
      </w:tr>
    </w:tbl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6157C2" w:rsidRPr="00137651" w:rsidRDefault="000F59F3" w:rsidP="00EC51D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noProof/>
          <w:sz w:val="20"/>
          <w:szCs w:val="20"/>
        </w:rPr>
        <w:lastRenderedPageBreak/>
        <w:drawing>
          <wp:inline distT="0" distB="0" distL="0" distR="0">
            <wp:extent cx="5943600" cy="6364973"/>
            <wp:effectExtent l="0" t="0" r="0" b="0"/>
            <wp:docPr id="2" name="Imagem 2" descr="C:\Users\leo_v\AppData\Local\Microsoft\Windows\INetCache\Content.MSO\CFF95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_v\AppData\Local\Microsoft\Windows\INetCache\Content.MSO\CFF950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1DA" w:rsidRPr="00137651">
        <w:rPr>
          <w:rFonts w:ascii="Open Sans" w:eastAsia="Open Sans" w:hAnsi="Open Sans" w:cs="Open Sans"/>
          <w:sz w:val="20"/>
          <w:szCs w:val="20"/>
          <w:lang w:val="pt-BR"/>
        </w:rPr>
        <w:t>.</w:t>
      </w:r>
    </w:p>
    <w:p w:rsidR="006157C2" w:rsidRPr="00137651" w:rsidRDefault="006157C2">
      <w:pPr>
        <w:contextualSpacing w:val="0"/>
        <w:jc w:val="center"/>
        <w:rPr>
          <w:rFonts w:ascii="Open Sans" w:eastAsia="Open Sans" w:hAnsi="Open Sans" w:cs="Open Sans"/>
          <w:sz w:val="24"/>
          <w:szCs w:val="24"/>
          <w:lang w:val="pt-BR"/>
        </w:rPr>
      </w:pPr>
    </w:p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5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6157C2" w:rsidRPr="00137651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7C2" w:rsidRPr="00137651" w:rsidRDefault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2.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Dispersão do número de sessões inovadoras das quais um artista participou em relação a seu </w:t>
            </w:r>
            <w:proofErr w:type="spellStart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coreness</w:t>
            </w:r>
            <w:proofErr w:type="spellEnd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.</w:t>
            </w:r>
          </w:p>
        </w:tc>
      </w:tr>
    </w:tbl>
    <w:p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EC51DA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EC51DA" w:rsidRPr="00137651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>
        <w:rPr>
          <w:rFonts w:ascii="Open Sans" w:eastAsia="Open Sans" w:hAnsi="Open Sans" w:cs="Open Sans"/>
          <w:b/>
          <w:noProof/>
          <w:sz w:val="36"/>
          <w:szCs w:val="36"/>
        </w:rPr>
        <w:lastRenderedPageBreak/>
        <w:drawing>
          <wp:inline distT="0" distB="0" distL="0" distR="0">
            <wp:extent cx="5029200" cy="3390265"/>
            <wp:effectExtent l="0" t="0" r="0" b="0"/>
            <wp:docPr id="6" name="Imagem 6" descr="C:\Users\leo_v\AppData\Local\Microsoft\Windows\INetCache\Content.MSO\1741E2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_v\AppData\Local\Microsoft\Windows\INetCache\Content.MSO\1741E27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DA" w:rsidRPr="00137651" w:rsidRDefault="00EC51DA" w:rsidP="00EC51D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5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EC51DA" w:rsidRPr="00137651" w:rsidTr="00D9482A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1DA" w:rsidRPr="00137651" w:rsidRDefault="00EC51DA" w:rsidP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3.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Junção da Dispersão do número de sessões inovadoras das quais um artista participou em relação a seu </w:t>
            </w:r>
            <w:proofErr w:type="spellStart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coreness</w:t>
            </w:r>
            <w:proofErr w:type="spellEnd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referente aos anos 1959 </w:t>
            </w:r>
            <w:proofErr w:type="spellStart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á</w:t>
            </w:r>
            <w:proofErr w:type="spellEnd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1968.</w:t>
            </w:r>
          </w:p>
        </w:tc>
      </w:tr>
    </w:tbl>
    <w:p w:rsidR="00EC51DA" w:rsidRPr="00137651" w:rsidRDefault="00EC51DA" w:rsidP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EC51DA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6157C2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proofErr w:type="spellStart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Correlation</w:t>
      </w:r>
      <w:proofErr w:type="spellEnd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</w:t>
      </w:r>
      <w:proofErr w:type="spellStart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Pvalue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pt-BR"/>
        </w:rPr>
        <w:t>Gráfico</w:t>
      </w: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1959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0.06740638128903698,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0.2484425948087516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0.07341871705801119,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0.20862630913435748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0.05521485681294354,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0.21997079615840287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1960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-0.12905858638141285,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0.06855392431903976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-0.10739059426929184,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0.13012898919341065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lastRenderedPageBreak/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-0.0990645659988843,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0.13204226140839953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1961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0.8823846705453392,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2.5690805430353162e-73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0.4614446225978306,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5.326795119060081e-13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0.43748140662262136,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1.9646282215413426e-12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0.10079432919607897,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0.1258034413245072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0.3235206312655549,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4.7233085205191625e-07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0.3065800933443126,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7.184286648727254e-07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-0.10164885499891581,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0.21895432969010584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-0.10756062681204936,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0.19318488991299626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-0.09807347131572379,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0.19555930093286278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1964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0F59F3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-0.1234932012641008,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0.13753362389051046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-0.1729479247079915,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0.03684000369857773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-0.16215056106928152,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0.03729616465139705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1965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-0.0007599706201096972,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0.9929156664078855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0.15162422470258655,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0.0747823170694506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0.14205654435761886,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0.0636240568675884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lastRenderedPageBreak/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0.550662969316351,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9.481656719781256e-12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0.3926248938079826,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3.5114760656078377e-06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0.3523170406735441,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6.261948974056136e-06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1967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0.6367405496452919,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1.7528141002099652e-16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0.6703146179648738,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1.099256419872633e-18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0.6320829857404573,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9.63532890217181e-16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Ano: 1968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coreness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x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innovats</w:t>
      </w:r>
      <w:proofErr w:type="spellEnd"/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test_pearson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0.719422199331713,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1.4703409508550795e-20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test_spearman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0.1695077792395516,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0.06306887949737072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test_kendall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: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correlation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0.14179656308078098, </w:t>
      </w:r>
      <w:proofErr w:type="spellStart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>pvalue</w:t>
      </w:r>
      <w:proofErr w:type="spellEnd"/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0.06279099899062755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pt-BR"/>
        </w:rPr>
        <w:t>Gráfico</w:t>
      </w: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3</w:t>
      </w:r>
    </w:p>
    <w:p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>1959 - 1968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137651">
        <w:rPr>
          <w:color w:val="000000"/>
          <w:sz w:val="21"/>
          <w:szCs w:val="21"/>
        </w:rPr>
        <w:t>coreness</w:t>
      </w:r>
      <w:proofErr w:type="spellEnd"/>
      <w:r w:rsidRPr="00137651">
        <w:rPr>
          <w:color w:val="000000"/>
          <w:sz w:val="21"/>
          <w:szCs w:val="21"/>
        </w:rPr>
        <w:t xml:space="preserve"> x </w:t>
      </w:r>
      <w:proofErr w:type="spellStart"/>
      <w:r w:rsidRPr="00137651">
        <w:rPr>
          <w:color w:val="000000"/>
          <w:sz w:val="21"/>
          <w:szCs w:val="21"/>
        </w:rPr>
        <w:t>innovats</w:t>
      </w:r>
      <w:proofErr w:type="spellEnd"/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test_pearson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0.719422199331713,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1.4703409508550795e-20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test_spearman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0.1695077792395516,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0.06306887949737072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test_kendall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0.14179656308078098,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0.06279099899062755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137651">
        <w:rPr>
          <w:color w:val="000000"/>
          <w:sz w:val="21"/>
          <w:szCs w:val="21"/>
        </w:rPr>
        <w:t>innovats</w:t>
      </w:r>
      <w:proofErr w:type="spellEnd"/>
      <w:r w:rsidRPr="00137651">
        <w:rPr>
          <w:color w:val="000000"/>
          <w:sz w:val="21"/>
          <w:szCs w:val="21"/>
        </w:rPr>
        <w:t xml:space="preserve"> x </w:t>
      </w:r>
      <w:proofErr w:type="spellStart"/>
      <w:r w:rsidRPr="00137651">
        <w:rPr>
          <w:color w:val="000000"/>
          <w:sz w:val="21"/>
          <w:szCs w:val="21"/>
        </w:rPr>
        <w:t>coreness</w:t>
      </w:r>
      <w:proofErr w:type="spellEnd"/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test_pearson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0.719422199331713,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1.4703409508550795e-20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test_spearman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0.1695077792395516,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0.06306887949737072</w:t>
      </w:r>
    </w:p>
    <w:p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test_kendall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0.14179656308078098,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0.06279099899062755</w:t>
      </w:r>
    </w:p>
    <w:p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803F91" w:rsidRPr="00137651" w:rsidRDefault="00327CCA" w:rsidP="00803F91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>
        <w:rPr>
          <w:rFonts w:ascii="Open Sans" w:eastAsia="Open Sans" w:hAnsi="Open Sans" w:cs="Open Sans"/>
          <w:b/>
          <w:sz w:val="36"/>
          <w:szCs w:val="36"/>
          <w:lang w:val="pt-BR"/>
        </w:rPr>
        <w:lastRenderedPageBreak/>
        <w:t>Interpretação</w:t>
      </w:r>
      <w:r w:rsidR="00EC51DA"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dos </w:t>
      </w:r>
      <w:r w:rsidR="00803F91"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Resultados</w:t>
      </w:r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(SNA)</w:t>
      </w:r>
    </w:p>
    <w:p w:rsidR="00714E88" w:rsidRPr="00137651" w:rsidRDefault="002E6030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Ao analisar o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gráfico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2 </w:t>
      </w:r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tem-se que há uma concentração maior 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>em valores baixos de</w:t>
      </w:r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proofErr w:type="spellStart"/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>coreness</w:t>
      </w:r>
      <w:proofErr w:type="spellEnd"/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próximo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a 0,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 ou seja próximo a periferia,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que deve ser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interpretada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como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existência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nesses anos de maior chance de inovação partindo de compositores situados na periferia do grafo,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rejeitando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1, de que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músicos no centro da rede apresentam maiores chances de inovar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e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corroborando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para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2, de que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músicos na periferia da rede apresentam maiores chances de inovar.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D9482A" w:rsidRDefault="00714E88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Essa analise torna-se mais concreta e generalizada, ao observar o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gráfico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3, que representa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jun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ç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ão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em um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gráfico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do </w:t>
      </w:r>
      <w:proofErr w:type="spellStart"/>
      <w:r w:rsidRPr="00137651">
        <w:rPr>
          <w:rFonts w:ascii="Open Sans" w:eastAsia="Open Sans" w:hAnsi="Open Sans" w:cs="Open Sans"/>
          <w:sz w:val="24"/>
          <w:szCs w:val="24"/>
          <w:lang w:val="pt-BR"/>
        </w:rPr>
        <w:t>corene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>s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s</w:t>
      </w:r>
      <w:proofErr w:type="spellEnd"/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pela inovação de todos os anos 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>do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intervalo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considerado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, este apresenta um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valor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significativo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de correlação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de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0.16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,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e um valor de </w:t>
      </w:r>
      <w:proofErr w:type="spellStart"/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p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v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alue</w:t>
      </w:r>
      <w:proofErr w:type="spellEnd"/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de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0.06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que assim como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está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presente no arti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g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o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“</w:t>
      </w:r>
      <w:r w:rsidR="000F59F3" w:rsidRPr="000F59F3">
        <w:rPr>
          <w:rStyle w:val="nfase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What a nerdy debate about p-values shows about science - and how to fix it</w:t>
      </w:r>
      <w:r w:rsidR="000F59F3">
        <w:rPr>
          <w:rStyle w:val="nfase"/>
          <w:rFonts w:ascii="inherit" w:hAnsi="inherit"/>
          <w:color w:val="000000"/>
          <w:bdr w:val="none" w:sz="0" w:space="0" w:color="auto" w:frame="1"/>
          <w:shd w:val="clear" w:color="auto" w:fill="FFFFFF"/>
        </w:rPr>
        <w:t>”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não se trata de um valor “incerto” pois não é um valor menor que </w:t>
      </w:r>
      <w:r w:rsidR="00327CCA" w:rsidRPr="00327CCA">
        <w:rPr>
          <w:rFonts w:ascii="Open Sans" w:eastAsia="Open Sans" w:hAnsi="Open Sans" w:cs="Open Sans"/>
          <w:sz w:val="24"/>
          <w:szCs w:val="24"/>
          <w:lang w:val="pt-BR"/>
        </w:rPr>
        <w:t xml:space="preserve">0.05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>ou</w:t>
      </w:r>
      <w:r w:rsidR="00327CCA" w:rsidRPr="00327CCA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menor que </w:t>
      </w:r>
      <w:r w:rsidR="00327CCA" w:rsidRPr="00327CCA">
        <w:rPr>
          <w:rFonts w:ascii="Open Sans" w:eastAsia="Open Sans" w:hAnsi="Open Sans" w:cs="Open Sans"/>
          <w:sz w:val="24"/>
          <w:szCs w:val="24"/>
          <w:lang w:val="pt-BR"/>
        </w:rPr>
        <w:t>0.005.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>E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ste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s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valores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infere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m que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há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maior chance de um compositor do centro participar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, quantitativamente, 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de mais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sessões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inovadoras,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porem menor chances de um compositor do centro ser inovador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qua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>ndo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se analisa a concentração desses compositor</w:t>
      </w:r>
      <w:bookmarkStart w:id="0" w:name="_GoBack"/>
      <w:bookmarkEnd w:id="0"/>
      <w:r w:rsidR="00327CCA">
        <w:rPr>
          <w:rFonts w:ascii="Open Sans" w:eastAsia="Open Sans" w:hAnsi="Open Sans" w:cs="Open Sans"/>
          <w:sz w:val="24"/>
          <w:szCs w:val="24"/>
          <w:lang w:val="pt-BR"/>
        </w:rPr>
        <w:t>es na rede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.</w:t>
      </w:r>
    </w:p>
    <w:p w:rsidR="00F34DD6" w:rsidRDefault="005606BD" w:rsidP="00F34DD6">
      <w:pPr>
        <w:contextualSpacing w:val="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 Como os dados analisados cobrem apenas os períodos de 1953 a 1968, a afirmação apresentada sobre hipótese 2 e a refutação da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 1 se limitam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 xml:space="preserve"> inicialmente</w:t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 apenas a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esse período.</w:t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327CCA" w:rsidRDefault="005606BD" w:rsidP="00327CC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:rsidR="00112787" w:rsidRDefault="00327CCA" w:rsidP="00327CC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proofErr w:type="spellStart"/>
      <w:r>
        <w:rPr>
          <w:rFonts w:ascii="Open Sans" w:eastAsia="Open Sans" w:hAnsi="Open Sans" w:cs="Open Sans"/>
          <w:b/>
          <w:sz w:val="36"/>
          <w:szCs w:val="36"/>
          <w:lang w:val="pt-BR"/>
        </w:rPr>
        <w:t>Extrapolização</w:t>
      </w:r>
      <w:proofErr w:type="spellEnd"/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/ </w:t>
      </w:r>
      <w:proofErr w:type="spellStart"/>
      <w:r>
        <w:rPr>
          <w:rFonts w:ascii="Open Sans" w:eastAsia="Open Sans" w:hAnsi="Open Sans" w:cs="Open Sans"/>
          <w:b/>
          <w:sz w:val="36"/>
          <w:szCs w:val="36"/>
          <w:lang w:val="pt-BR"/>
        </w:rPr>
        <w:t>Generalicação</w:t>
      </w:r>
      <w:proofErr w:type="spellEnd"/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dos Resultados</w:t>
      </w:r>
    </w:p>
    <w:p w:rsidR="00F34DD6" w:rsidRDefault="005606BD" w:rsidP="00F34DD6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Após toda essa analise deve-se pensar historicamente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sobre </w:t>
      </w:r>
      <w:r w:rsidR="00F34DD6">
        <w:rPr>
          <w:rFonts w:ascii="Open Sans" w:eastAsia="Open Sans" w:hAnsi="Open Sans" w:cs="Open Sans"/>
          <w:sz w:val="24"/>
          <w:szCs w:val="24"/>
          <w:lang w:val="pt-BR"/>
        </w:rPr>
        <w:t xml:space="preserve">o que ocorreu no período considerado para as análises (1953 a 1968). </w:t>
      </w:r>
    </w:p>
    <w:p w:rsidR="00F34DD6" w:rsidRPr="00F34DD6" w:rsidRDefault="00F34DD6" w:rsidP="00F34DD6">
      <w:pPr>
        <w:contextualSpacing w:val="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  <w:t xml:space="preserve"> </w:t>
      </w:r>
    </w:p>
    <w:p w:rsidR="00F34DD6" w:rsidRDefault="00F34DD6" w:rsidP="00F34DD6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 xml:space="preserve">Os anos 50 é conhecido como o período dos anos dourados o qual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é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marcado por ser uma época prospera e de mudanças políticas, crescimento do consumo da indústria do entretenimento muito atrelado ao boom adolescente, considerado uma revolução cultural na história</w:t>
      </w:r>
    </w:p>
    <w:p w:rsidR="00F34DD6" w:rsidRPr="00F34DD6" w:rsidRDefault="00F34DD6" w:rsidP="00F34DD6">
      <w:pPr>
        <w:contextualSpacing w:val="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  <w:t xml:space="preserve">Já os anos 60 teve o reflexo da cultura jovem dos anos 50. Começa a surgir a questão de liberdade e os movimentos de contracultura que buscavam um novo estilo de vida imposto pela sociedade, como os movimentos: Fowler Power, Black Power, Gray Power.   </w:t>
      </w:r>
    </w:p>
    <w:p w:rsidR="00327CCA" w:rsidRDefault="00F34DD6" w:rsidP="00F34DD6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Logo deve-se considerar que os resultados podem estrar atrelados com o momento histórico, influenciado por fatores socioculturais, para complementar a </w:t>
      </w:r>
      <w:r>
        <w:rPr>
          <w:rFonts w:ascii="Open Sans" w:eastAsia="Open Sans" w:hAnsi="Open Sans" w:cs="Open Sans"/>
          <w:sz w:val="24"/>
          <w:szCs w:val="24"/>
          <w:lang w:val="pt-BR"/>
        </w:rPr>
        <w:lastRenderedPageBreak/>
        <w:t>pesquisa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tornando-a mais certa quanto a uma limitação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da veracidade das afirmações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, pode-se aplicar aos dados uma variável referente a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existência </w:t>
      </w:r>
      <w:r>
        <w:rPr>
          <w:rFonts w:ascii="Open Sans" w:eastAsia="Open Sans" w:hAnsi="Open Sans" w:cs="Open Sans"/>
          <w:sz w:val="24"/>
          <w:szCs w:val="24"/>
          <w:lang w:val="pt-BR"/>
        </w:rPr>
        <w:t>uma revolução cultural em cada ano a ser observado.</w:t>
      </w:r>
    </w:p>
    <w:p w:rsidR="00327CCA" w:rsidRDefault="00327CCA" w:rsidP="00327CC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137651" w:rsidRDefault="00137651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137651" w:rsidRPr="00137651" w:rsidRDefault="00137651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137651" w:rsidRPr="00137651" w:rsidRDefault="00137651" w:rsidP="0013765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137651" w:rsidRPr="00137651" w:rsidRDefault="00137651" w:rsidP="0013765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:rsidR="00714E88" w:rsidRPr="00137651" w:rsidRDefault="00714E88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714E88" w:rsidRPr="00137651" w:rsidRDefault="00714E88" w:rsidP="00714E88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2E6030" w:rsidRPr="00137651" w:rsidRDefault="002E6030" w:rsidP="00803F91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sectPr w:rsidR="00803F91" w:rsidRPr="001376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C5" w:rsidRDefault="00175EC5" w:rsidP="00803F91">
      <w:pPr>
        <w:spacing w:line="240" w:lineRule="auto"/>
      </w:pPr>
      <w:r>
        <w:separator/>
      </w:r>
    </w:p>
  </w:endnote>
  <w:endnote w:type="continuationSeparator" w:id="0">
    <w:p w:rsidR="00175EC5" w:rsidRDefault="00175EC5" w:rsidP="0080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C5" w:rsidRDefault="00175EC5" w:rsidP="00803F91">
      <w:pPr>
        <w:spacing w:line="240" w:lineRule="auto"/>
      </w:pPr>
      <w:r>
        <w:separator/>
      </w:r>
    </w:p>
  </w:footnote>
  <w:footnote w:type="continuationSeparator" w:id="0">
    <w:p w:rsidR="00175EC5" w:rsidRDefault="00175EC5" w:rsidP="00803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3BCA"/>
    <w:multiLevelType w:val="multilevel"/>
    <w:tmpl w:val="0180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76FB8"/>
    <w:multiLevelType w:val="multilevel"/>
    <w:tmpl w:val="7EAE6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2"/>
    <w:rsid w:val="000F59F3"/>
    <w:rsid w:val="00112787"/>
    <w:rsid w:val="00137651"/>
    <w:rsid w:val="00175EC5"/>
    <w:rsid w:val="002E6030"/>
    <w:rsid w:val="00311AEA"/>
    <w:rsid w:val="00327CCA"/>
    <w:rsid w:val="005606BD"/>
    <w:rsid w:val="00584136"/>
    <w:rsid w:val="006157C2"/>
    <w:rsid w:val="006405E1"/>
    <w:rsid w:val="00714E88"/>
    <w:rsid w:val="00803F91"/>
    <w:rsid w:val="008474DA"/>
    <w:rsid w:val="00A43986"/>
    <w:rsid w:val="00D33575"/>
    <w:rsid w:val="00D9482A"/>
    <w:rsid w:val="00EC51DA"/>
    <w:rsid w:val="00F34DD6"/>
    <w:rsid w:val="00F70265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C38D"/>
  <w15:docId w15:val="{710D4839-560B-47F6-A576-824D68F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03F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F91"/>
  </w:style>
  <w:style w:type="paragraph" w:styleId="Rodap">
    <w:name w:val="footer"/>
    <w:basedOn w:val="Normal"/>
    <w:link w:val="RodapChar"/>
    <w:uiPriority w:val="99"/>
    <w:unhideWhenUsed/>
    <w:rsid w:val="00803F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F9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1DA"/>
    <w:rPr>
      <w:rFonts w:ascii="Courier New" w:eastAsia="Times New Roman" w:hAnsi="Courier New" w:cs="Courier New"/>
      <w:sz w:val="20"/>
      <w:szCs w:val="20"/>
      <w:lang w:val="pt-BR"/>
    </w:rPr>
  </w:style>
  <w:style w:type="character" w:styleId="nfase">
    <w:name w:val="Emphasis"/>
    <w:basedOn w:val="Fontepargpadro"/>
    <w:uiPriority w:val="20"/>
    <w:qFormat/>
    <w:rsid w:val="000F5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6AF44-DD33-4305-AFF3-400C5AA5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 Medeiros</dc:creator>
  <cp:keywords/>
  <dc:description/>
  <cp:lastModifiedBy>Leonardo Pereira Medeiros</cp:lastModifiedBy>
  <cp:revision>6</cp:revision>
  <dcterms:created xsi:type="dcterms:W3CDTF">2018-10-03T18:51:00Z</dcterms:created>
  <dcterms:modified xsi:type="dcterms:W3CDTF">2018-10-03T23:07:00Z</dcterms:modified>
</cp:coreProperties>
</file>