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3BC6" w14:textId="77777777" w:rsidR="006157C2" w:rsidRPr="00137651" w:rsidRDefault="00D9482A">
      <w:pPr>
        <w:contextualSpacing w:val="0"/>
        <w:jc w:val="both"/>
        <w:rPr>
          <w:rFonts w:ascii="Open Sans" w:eastAsia="Open Sans" w:hAnsi="Open Sans" w:cs="Open Sans"/>
          <w:b/>
          <w:i/>
          <w:sz w:val="60"/>
          <w:szCs w:val="60"/>
          <w:lang w:val="pt-BR"/>
        </w:rPr>
      </w:pPr>
      <w:r w:rsidRPr="00137651">
        <w:rPr>
          <w:rFonts w:ascii="Open Sans" w:eastAsia="Open Sans" w:hAnsi="Open Sans" w:cs="Open Sans"/>
          <w:b/>
          <w:i/>
          <w:sz w:val="60"/>
          <w:szCs w:val="60"/>
          <w:lang w:val="pt-BR"/>
        </w:rPr>
        <w:t>REDES SOCIAIS</w:t>
      </w:r>
    </w:p>
    <w:p w14:paraId="2D161C1C" w14:textId="77777777"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545"/>
      </w:tblGrid>
      <w:tr w:rsidR="006157C2" w:rsidRPr="00137651" w14:paraId="1CB465E7" w14:textId="7777777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1758" w14:textId="77777777"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Entrega: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5527" w14:textId="77777777" w:rsidR="006157C2" w:rsidRPr="00137651" w:rsidRDefault="00803F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Centro e Periferia</w:t>
            </w:r>
          </w:p>
        </w:tc>
      </w:tr>
      <w:tr w:rsidR="006157C2" w:rsidRPr="00137651" w14:paraId="79BF1092" w14:textId="7777777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1340" w14:textId="77777777"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Aluno(s):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145" w14:textId="77777777" w:rsidR="006157C2" w:rsidRPr="00137651" w:rsidRDefault="00803F91">
            <w:pPr>
              <w:widowControl w:val="0"/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Leonardo Pereira Medeiros</w:t>
            </w:r>
          </w:p>
        </w:tc>
      </w:tr>
      <w:tr w:rsidR="006157C2" w:rsidRPr="00137651" w14:paraId="3A280654" w14:textId="77777777"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AD32" w14:textId="77777777" w:rsidR="006157C2" w:rsidRPr="00137651" w:rsidRDefault="00D9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36"/>
                <w:szCs w:val="36"/>
                <w:lang w:val="pt-BR"/>
              </w:rPr>
              <w:t>Data:</w:t>
            </w: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3041" w14:textId="77777777" w:rsidR="006157C2" w:rsidRPr="00137651" w:rsidRDefault="00803F91">
            <w:pPr>
              <w:widowControl w:val="0"/>
              <w:spacing w:line="240" w:lineRule="auto"/>
              <w:contextualSpacing w:val="0"/>
              <w:jc w:val="both"/>
              <w:rPr>
                <w:rFonts w:ascii="Open Sans" w:eastAsia="Open Sans" w:hAnsi="Open Sans" w:cs="Open Sans"/>
                <w:sz w:val="36"/>
                <w:szCs w:val="36"/>
                <w:lang w:val="pt-BR"/>
              </w:rPr>
            </w:pPr>
            <w:r w:rsidRPr="00137651">
              <w:rPr>
                <w:rFonts w:ascii="Open Sans" w:eastAsia="Open Sans" w:hAnsi="Open Sans" w:cs="Open Sans"/>
                <w:sz w:val="36"/>
                <w:szCs w:val="36"/>
                <w:lang w:val="pt-BR"/>
              </w:rPr>
              <w:t>03/10/2018</w:t>
            </w:r>
          </w:p>
        </w:tc>
      </w:tr>
    </w:tbl>
    <w:p w14:paraId="2C87A0C1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6A2ED697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21EB4DD4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5B1571DD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60BE1FCC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78D6C041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619A7413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7D63DD7B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7B34BD0D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3145A837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58530FA2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058BA8E6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59DB3A5F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4A5B3EE7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29890F71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0A222EA2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5C63A264" w14:textId="77777777" w:rsidR="000F59F3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7559B03D" w14:textId="77777777" w:rsidR="006157C2" w:rsidRPr="00137651" w:rsidRDefault="00D9482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lastRenderedPageBreak/>
        <w:t>Gráficos</w:t>
      </w:r>
    </w:p>
    <w:p w14:paraId="0CCB132B" w14:textId="77777777"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65AB0799" w14:textId="0049DE4A" w:rsidR="006157C2" w:rsidRPr="00137651" w:rsidRDefault="00D75F67">
      <w:pPr>
        <w:contextualSpacing w:val="0"/>
        <w:jc w:val="center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19D043EB" wp14:editId="78A83890">
            <wp:extent cx="5943600" cy="6469551"/>
            <wp:effectExtent l="0" t="0" r="0" b="7620"/>
            <wp:docPr id="3" name="Imagem 3" descr="C:\Users\leo_v\AppData\Local\Microsoft\Windows\INetCache\Content.MSO\79D3E7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_v\AppData\Local\Microsoft\Windows\INetCache\Content.MSO\79D3E7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7483" w14:textId="77777777"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6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6157C2" w:rsidRPr="00137651" w14:paraId="52B033FF" w14:textId="77777777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B011" w14:textId="77777777" w:rsidR="006157C2" w:rsidRPr="00137651" w:rsidRDefault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1.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Distribuição dos artistas em relação ao número de sessões das quais cada um participou em 19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5</w:t>
            </w:r>
            <w:r w:rsidR="000F59F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3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</w:t>
            </w:r>
            <w:r w:rsidR="000F59F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a</w:t>
            </w:r>
            <w:r w:rsidR="00EC51DA"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1968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.</w:t>
            </w:r>
          </w:p>
        </w:tc>
      </w:tr>
    </w:tbl>
    <w:p w14:paraId="4CC7A3D7" w14:textId="77777777"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21E53FA8" w14:textId="77777777" w:rsidR="006157C2" w:rsidRPr="00137651" w:rsidRDefault="000F59F3" w:rsidP="00EC51D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5723AA59" wp14:editId="0E4AFB9E">
            <wp:extent cx="5943600" cy="6364973"/>
            <wp:effectExtent l="0" t="0" r="0" b="0"/>
            <wp:docPr id="2" name="Imagem 2" descr="C:\Users\leo_v\AppData\Local\Microsoft\Windows\INetCache\Content.MSO\CFF950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_v\AppData\Local\Microsoft\Windows\INetCache\Content.MSO\CFF950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1DA" w:rsidRPr="00137651">
        <w:rPr>
          <w:rFonts w:ascii="Open Sans" w:eastAsia="Open Sans" w:hAnsi="Open Sans" w:cs="Open Sans"/>
          <w:sz w:val="20"/>
          <w:szCs w:val="20"/>
          <w:lang w:val="pt-BR"/>
        </w:rPr>
        <w:t>.</w:t>
      </w:r>
    </w:p>
    <w:p w14:paraId="72C7CD9F" w14:textId="77777777" w:rsidR="006157C2" w:rsidRPr="00137651" w:rsidRDefault="006157C2">
      <w:pPr>
        <w:contextualSpacing w:val="0"/>
        <w:jc w:val="center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76283270" w14:textId="77777777" w:rsidR="006157C2" w:rsidRPr="00137651" w:rsidRDefault="006157C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5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6157C2" w:rsidRPr="00137651" w14:paraId="1E38C876" w14:textId="77777777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DF41" w14:textId="77777777" w:rsidR="006157C2" w:rsidRPr="00137651" w:rsidRDefault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2.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Dispersão do número de sessões inovadoras das quais um artista participou em relação a seu </w:t>
            </w:r>
            <w:proofErr w:type="spellStart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coreness</w:t>
            </w:r>
            <w:proofErr w:type="spellEnd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.</w:t>
            </w:r>
          </w:p>
        </w:tc>
      </w:tr>
    </w:tbl>
    <w:p w14:paraId="036F167C" w14:textId="77777777"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57BE4EB0" w14:textId="77777777" w:rsidR="00EC51DA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3ADDA641" w14:textId="77777777" w:rsidR="00EC51DA" w:rsidRPr="00137651" w:rsidRDefault="000F59F3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>
        <w:rPr>
          <w:rFonts w:ascii="Open Sans" w:eastAsia="Open Sans" w:hAnsi="Open Sans" w:cs="Open Sans"/>
          <w:b/>
          <w:noProof/>
          <w:sz w:val="36"/>
          <w:szCs w:val="36"/>
        </w:rPr>
        <w:lastRenderedPageBreak/>
        <w:drawing>
          <wp:inline distT="0" distB="0" distL="0" distR="0" wp14:anchorId="6DA3835C" wp14:editId="34F34BA5">
            <wp:extent cx="5029200" cy="3390265"/>
            <wp:effectExtent l="0" t="0" r="0" b="0"/>
            <wp:docPr id="6" name="Imagem 6" descr="C:\Users\leo_v\AppData\Local\Microsoft\Windows\INetCache\Content.MSO\1741E2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_v\AppData\Local\Microsoft\Windows\INetCache\Content.MSO\1741E27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F02A" w14:textId="77777777" w:rsidR="00EC51DA" w:rsidRPr="00137651" w:rsidRDefault="00EC51DA" w:rsidP="00EC51D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tbl>
      <w:tblPr>
        <w:tblStyle w:val="5"/>
        <w:tblW w:w="6690" w:type="dxa"/>
        <w:tblInd w:w="1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</w:tblGrid>
      <w:tr w:rsidR="00EC51DA" w:rsidRPr="00137651" w14:paraId="47477F51" w14:textId="77777777" w:rsidTr="00D9482A"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7253" w14:textId="77777777" w:rsidR="00EC51DA" w:rsidRPr="00137651" w:rsidRDefault="00EC51DA" w:rsidP="00D9482A">
            <w:pPr>
              <w:widowControl w:val="0"/>
              <w:spacing w:line="240" w:lineRule="auto"/>
              <w:contextualSpacing w:val="0"/>
              <w:rPr>
                <w:rFonts w:ascii="Open Sans" w:eastAsia="Open Sans" w:hAnsi="Open Sans" w:cs="Open Sans"/>
                <w:sz w:val="24"/>
                <w:szCs w:val="24"/>
                <w:lang w:val="pt-BR"/>
              </w:rPr>
            </w:pPr>
            <w:r w:rsidRPr="00137651">
              <w:rPr>
                <w:rFonts w:ascii="Open Sans" w:eastAsia="Open Sans" w:hAnsi="Open Sans" w:cs="Open Sans"/>
                <w:b/>
                <w:sz w:val="20"/>
                <w:szCs w:val="20"/>
                <w:lang w:val="pt-BR"/>
              </w:rPr>
              <w:t>Gráfico 3.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Junção da Dispersão do número de sessões inovadoras das quais um artista participou em relação a seu </w:t>
            </w:r>
            <w:proofErr w:type="spellStart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coreness</w:t>
            </w:r>
            <w:proofErr w:type="spellEnd"/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referente aos anos 195</w:t>
            </w:r>
            <w:r w:rsidR="004B044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3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</w:t>
            </w:r>
            <w:r w:rsidR="004B0443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>a</w:t>
            </w:r>
            <w:r w:rsidRPr="00137651">
              <w:rPr>
                <w:rFonts w:ascii="Open Sans" w:eastAsia="Open Sans" w:hAnsi="Open Sans" w:cs="Open Sans"/>
                <w:sz w:val="20"/>
                <w:szCs w:val="20"/>
                <w:lang w:val="pt-BR"/>
              </w:rPr>
              <w:t xml:space="preserve"> 1968.</w:t>
            </w:r>
          </w:p>
        </w:tc>
      </w:tr>
    </w:tbl>
    <w:p w14:paraId="1CEC23DD" w14:textId="77777777" w:rsidR="00EC51DA" w:rsidRPr="00137651" w:rsidRDefault="00EC51DA" w:rsidP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2A289C2B" w14:textId="77777777" w:rsidR="00EC51DA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</w:p>
    <w:p w14:paraId="72FBF103" w14:textId="77777777" w:rsidR="006157C2" w:rsidRPr="00137651" w:rsidRDefault="00EC51D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proofErr w:type="spellStart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Correlation</w:t>
      </w:r>
      <w:proofErr w:type="spellEnd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</w:t>
      </w:r>
      <w:proofErr w:type="spellStart"/>
      <w:r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Pvalue</w:t>
      </w:r>
      <w:proofErr w:type="spellEnd"/>
    </w:p>
    <w:p w14:paraId="465A06A9" w14:textId="77777777"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235029FB" w14:textId="77777777"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  <w:r w:rsidRPr="0013765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val="pt-BR"/>
        </w:rPr>
        <w:t>Gráfico</w:t>
      </w:r>
      <w:r w:rsidRPr="00137651"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  <w:t xml:space="preserve"> 3</w:t>
      </w:r>
    </w:p>
    <w:p w14:paraId="55674E76" w14:textId="77777777" w:rsidR="00EC51DA" w:rsidRPr="00137651" w:rsidRDefault="00EC51DA" w:rsidP="00EC5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contextualSpacing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pt-BR"/>
        </w:rPr>
      </w:pPr>
    </w:p>
    <w:p w14:paraId="7739DB42" w14:textId="476D6254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>195</w:t>
      </w:r>
      <w:r w:rsidR="00183DD2">
        <w:rPr>
          <w:color w:val="000000"/>
          <w:sz w:val="21"/>
          <w:szCs w:val="21"/>
        </w:rPr>
        <w:t>3</w:t>
      </w:r>
      <w:r w:rsidRPr="00137651">
        <w:rPr>
          <w:color w:val="000000"/>
          <w:sz w:val="21"/>
          <w:szCs w:val="21"/>
        </w:rPr>
        <w:t xml:space="preserve"> - 1968</w:t>
      </w:r>
    </w:p>
    <w:p w14:paraId="019D5D61" w14:textId="77777777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137651">
        <w:rPr>
          <w:color w:val="000000"/>
          <w:sz w:val="21"/>
          <w:szCs w:val="21"/>
        </w:rPr>
        <w:t>coreness</w:t>
      </w:r>
      <w:proofErr w:type="spellEnd"/>
      <w:r w:rsidRPr="00137651">
        <w:rPr>
          <w:color w:val="000000"/>
          <w:sz w:val="21"/>
          <w:szCs w:val="21"/>
        </w:rPr>
        <w:t xml:space="preserve"> x </w:t>
      </w:r>
      <w:proofErr w:type="spellStart"/>
      <w:r w:rsidRPr="00137651">
        <w:rPr>
          <w:color w:val="000000"/>
          <w:sz w:val="21"/>
          <w:szCs w:val="21"/>
        </w:rPr>
        <w:t>innovats</w:t>
      </w:r>
      <w:proofErr w:type="spellEnd"/>
    </w:p>
    <w:p w14:paraId="0D140305" w14:textId="77777777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test_pearson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0.719422199331713,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1.4703409508550795e-20</w:t>
      </w:r>
    </w:p>
    <w:p w14:paraId="53C493CF" w14:textId="77777777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test_spearman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0.1695077792395516,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0.06306887949737072</w:t>
      </w:r>
    </w:p>
    <w:p w14:paraId="37674BFF" w14:textId="77777777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37651">
        <w:rPr>
          <w:color w:val="000000"/>
          <w:sz w:val="21"/>
          <w:szCs w:val="21"/>
        </w:rPr>
        <w:t xml:space="preserve">  </w:t>
      </w:r>
      <w:proofErr w:type="spellStart"/>
      <w:r w:rsidRPr="00137651">
        <w:rPr>
          <w:color w:val="000000"/>
          <w:sz w:val="21"/>
          <w:szCs w:val="21"/>
        </w:rPr>
        <w:t>test_kendall</w:t>
      </w:r>
      <w:proofErr w:type="spellEnd"/>
      <w:r w:rsidRPr="00137651">
        <w:rPr>
          <w:color w:val="000000"/>
          <w:sz w:val="21"/>
          <w:szCs w:val="21"/>
        </w:rPr>
        <w:t xml:space="preserve">: </w:t>
      </w:r>
      <w:proofErr w:type="spellStart"/>
      <w:r w:rsidRPr="00137651">
        <w:rPr>
          <w:color w:val="000000"/>
          <w:sz w:val="21"/>
          <w:szCs w:val="21"/>
        </w:rPr>
        <w:t>correlation</w:t>
      </w:r>
      <w:proofErr w:type="spellEnd"/>
      <w:r w:rsidRPr="00137651">
        <w:rPr>
          <w:color w:val="000000"/>
          <w:sz w:val="21"/>
          <w:szCs w:val="21"/>
        </w:rPr>
        <w:t xml:space="preserve"> 0.14179656308078098, </w:t>
      </w:r>
      <w:proofErr w:type="spellStart"/>
      <w:r w:rsidRPr="00137651">
        <w:rPr>
          <w:color w:val="000000"/>
          <w:sz w:val="21"/>
          <w:szCs w:val="21"/>
        </w:rPr>
        <w:t>pvalue</w:t>
      </w:r>
      <w:proofErr w:type="spellEnd"/>
      <w:r w:rsidRPr="00137651">
        <w:rPr>
          <w:color w:val="000000"/>
          <w:sz w:val="21"/>
          <w:szCs w:val="21"/>
        </w:rPr>
        <w:t xml:space="preserve"> 0.06279099899062755</w:t>
      </w:r>
    </w:p>
    <w:p w14:paraId="10DB4510" w14:textId="77777777" w:rsidR="00EC51DA" w:rsidRPr="00137651" w:rsidRDefault="00EC51DA" w:rsidP="00EC51DA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EE95B1" w14:textId="59E38192" w:rsidR="00803F9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07EEB567" w14:textId="77777777" w:rsidR="00627EA9" w:rsidRPr="00137651" w:rsidRDefault="00627EA9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6EF1741A" w14:textId="77777777"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3FFFEA41" w14:textId="77777777" w:rsidR="00803F91" w:rsidRPr="00137651" w:rsidRDefault="00803F91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57CA8D2A" w14:textId="77777777" w:rsidR="00803F91" w:rsidRPr="00137651" w:rsidRDefault="00327CCA" w:rsidP="00803F91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r>
        <w:rPr>
          <w:rFonts w:ascii="Open Sans" w:eastAsia="Open Sans" w:hAnsi="Open Sans" w:cs="Open Sans"/>
          <w:b/>
          <w:sz w:val="36"/>
          <w:szCs w:val="36"/>
          <w:lang w:val="pt-BR"/>
        </w:rPr>
        <w:lastRenderedPageBreak/>
        <w:t>Interpretação</w:t>
      </w:r>
      <w:r w:rsidR="00EC51DA"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dos </w:t>
      </w:r>
      <w:r w:rsidR="00803F91" w:rsidRPr="00137651">
        <w:rPr>
          <w:rFonts w:ascii="Open Sans" w:eastAsia="Open Sans" w:hAnsi="Open Sans" w:cs="Open Sans"/>
          <w:b/>
          <w:sz w:val="36"/>
          <w:szCs w:val="36"/>
          <w:lang w:val="pt-BR"/>
        </w:rPr>
        <w:t>Resultados</w:t>
      </w:r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(SNA)</w:t>
      </w:r>
    </w:p>
    <w:p w14:paraId="326742C9" w14:textId="77777777" w:rsidR="00EB04B2" w:rsidRDefault="00EB04B2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</w:p>
    <w:p w14:paraId="10965E06" w14:textId="4D28D459" w:rsidR="00714E88" w:rsidRPr="00137651" w:rsidRDefault="002E6030" w:rsidP="00714E88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Ao analisar o </w:t>
      </w:r>
      <w:r w:rsidR="00137651" w:rsidRPr="00EA2ABE">
        <w:rPr>
          <w:rFonts w:ascii="Open Sans" w:eastAsia="Open Sans" w:hAnsi="Open Sans" w:cs="Open Sans"/>
          <w:b/>
          <w:sz w:val="24"/>
          <w:szCs w:val="24"/>
          <w:lang w:val="pt-BR"/>
        </w:rPr>
        <w:t>gráfico</w:t>
      </w:r>
      <w:r w:rsidRPr="00EA2ABE">
        <w:rPr>
          <w:rFonts w:ascii="Open Sans" w:eastAsia="Open Sans" w:hAnsi="Open Sans" w:cs="Open Sans"/>
          <w:b/>
          <w:sz w:val="24"/>
          <w:szCs w:val="24"/>
          <w:lang w:val="pt-BR"/>
        </w:rPr>
        <w:t xml:space="preserve"> 2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tem-se que há uma concentração maior 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>em valores baixos de</w:t>
      </w:r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proofErr w:type="spellStart"/>
      <w:r w:rsidR="00F7333D" w:rsidRPr="00137651">
        <w:rPr>
          <w:rFonts w:ascii="Open Sans" w:eastAsia="Open Sans" w:hAnsi="Open Sans" w:cs="Open Sans"/>
          <w:sz w:val="24"/>
          <w:szCs w:val="24"/>
          <w:lang w:val="pt-BR"/>
        </w:rPr>
        <w:t>coreness</w:t>
      </w:r>
      <w:proofErr w:type="spellEnd"/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próximo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a 0,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 ou seja próximo a periferia,</w:t>
      </w:r>
      <w:r w:rsidR="00F70265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que deve ser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interpretada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como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existência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nesses anos de maior chance de inovação partindo de compositores situados na periferia do grafo,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rejeitando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1, de que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músicos no centro da rede apresentam maiores chances de inovar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e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corroborando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para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2, de que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músicos na periferia da rede apresentam maiores chances de inovar.</w:t>
      </w:r>
      <w:r w:rsidR="00714E88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14:paraId="73A1D6E1" w14:textId="39B27293" w:rsidR="00850B9A" w:rsidRDefault="00714E88" w:rsidP="00EE1484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Essa analise torna-se mais concreta e </w:t>
      </w:r>
      <w:r w:rsidR="00EE1484">
        <w:rPr>
          <w:rFonts w:ascii="Open Sans" w:eastAsia="Open Sans" w:hAnsi="Open Sans" w:cs="Open Sans"/>
          <w:sz w:val="24"/>
          <w:szCs w:val="24"/>
          <w:lang w:val="pt-BR"/>
        </w:rPr>
        <w:t>visível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ao observar o </w:t>
      </w:r>
      <w:r w:rsidR="00137651" w:rsidRPr="00EA2ABE">
        <w:rPr>
          <w:rFonts w:ascii="Open Sans" w:eastAsia="Open Sans" w:hAnsi="Open Sans" w:cs="Open Sans"/>
          <w:b/>
          <w:sz w:val="24"/>
          <w:szCs w:val="24"/>
          <w:lang w:val="pt-BR"/>
        </w:rPr>
        <w:t>gráfico</w:t>
      </w:r>
      <w:r w:rsidRPr="00EA2ABE">
        <w:rPr>
          <w:rFonts w:ascii="Open Sans" w:eastAsia="Open Sans" w:hAnsi="Open Sans" w:cs="Open Sans"/>
          <w:b/>
          <w:sz w:val="24"/>
          <w:szCs w:val="24"/>
          <w:lang w:val="pt-BR"/>
        </w:rPr>
        <w:t xml:space="preserve"> 3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que representa a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jun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ç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ão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em um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gráfico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do </w:t>
      </w:r>
      <w:proofErr w:type="spellStart"/>
      <w:r w:rsidRPr="00137651">
        <w:rPr>
          <w:rFonts w:ascii="Open Sans" w:eastAsia="Open Sans" w:hAnsi="Open Sans" w:cs="Open Sans"/>
          <w:sz w:val="24"/>
          <w:szCs w:val="24"/>
          <w:lang w:val="pt-BR"/>
        </w:rPr>
        <w:t>corene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>s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s</w:t>
      </w:r>
      <w:proofErr w:type="spellEnd"/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pela inovação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,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de todos os anos 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>do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intervalo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considerado</w:t>
      </w:r>
      <w:r w:rsidR="00EE1484">
        <w:rPr>
          <w:rFonts w:ascii="Open Sans" w:eastAsia="Open Sans" w:hAnsi="Open Sans" w:cs="Open Sans"/>
          <w:sz w:val="24"/>
          <w:szCs w:val="24"/>
          <w:lang w:val="pt-BR"/>
        </w:rPr>
        <w:t>.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Neste gráfico ao analisar a regressão linear,</w:t>
      </w:r>
      <w:r w:rsidR="00EE1484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esta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apresenta um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valor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 xml:space="preserve">levemente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significativo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de correlação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de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0.16</w:t>
      </w:r>
      <w:r w:rsidR="00627EA9">
        <w:rPr>
          <w:rFonts w:ascii="Open Sans" w:eastAsia="Open Sans" w:hAnsi="Open Sans" w:cs="Open Sans"/>
          <w:sz w:val="24"/>
          <w:szCs w:val="24"/>
          <w:lang w:val="pt-BR"/>
        </w:rPr>
        <w:t>9 (</w:t>
      </w:r>
      <w:r w:rsidR="00627EA9" w:rsidRPr="00137651">
        <w:rPr>
          <w:color w:val="000000"/>
          <w:sz w:val="21"/>
          <w:szCs w:val="21"/>
        </w:rPr>
        <w:t>test</w:t>
      </w:r>
      <w:r w:rsidR="00627EA9">
        <w:rPr>
          <w:color w:val="000000"/>
          <w:sz w:val="21"/>
          <w:szCs w:val="21"/>
        </w:rPr>
        <w:t xml:space="preserve"> </w:t>
      </w:r>
      <w:r w:rsidR="00627EA9" w:rsidRPr="00137651">
        <w:rPr>
          <w:color w:val="000000"/>
          <w:sz w:val="21"/>
          <w:szCs w:val="21"/>
        </w:rPr>
        <w:t>spearman</w:t>
      </w:r>
      <w:r w:rsidR="00627EA9">
        <w:rPr>
          <w:rFonts w:ascii="Open Sans" w:eastAsia="Open Sans" w:hAnsi="Open Sans" w:cs="Open Sans"/>
          <w:sz w:val="24"/>
          <w:szCs w:val="24"/>
          <w:lang w:val="pt-BR"/>
        </w:rPr>
        <w:t>)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>,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e um valor de </w:t>
      </w:r>
      <w:proofErr w:type="spellStart"/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p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v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>alue</w:t>
      </w:r>
      <w:proofErr w:type="spellEnd"/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de 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0.06</w:t>
      </w:r>
      <w:r w:rsidR="00EE1484">
        <w:rPr>
          <w:rFonts w:ascii="Open Sans" w:eastAsia="Open Sans" w:hAnsi="Open Sans" w:cs="Open Sans"/>
          <w:sz w:val="24"/>
          <w:szCs w:val="24"/>
          <w:lang w:val="pt-BR"/>
        </w:rPr>
        <w:t>3</w:t>
      </w:r>
      <w:r w:rsidR="00627EA9">
        <w:rPr>
          <w:rFonts w:ascii="Open Sans" w:eastAsia="Open Sans" w:hAnsi="Open Sans" w:cs="Open Sans"/>
          <w:sz w:val="24"/>
          <w:szCs w:val="24"/>
          <w:lang w:val="pt-BR"/>
        </w:rPr>
        <w:t xml:space="preserve"> (</w:t>
      </w:r>
      <w:proofErr w:type="spellStart"/>
      <w:r w:rsidR="00627EA9" w:rsidRPr="00137651">
        <w:rPr>
          <w:color w:val="000000"/>
          <w:sz w:val="21"/>
          <w:szCs w:val="21"/>
        </w:rPr>
        <w:t>test_spearman</w:t>
      </w:r>
      <w:proofErr w:type="spellEnd"/>
      <w:r w:rsidR="00627EA9">
        <w:rPr>
          <w:rFonts w:ascii="Open Sans" w:eastAsia="Open Sans" w:hAnsi="Open Sans" w:cs="Open Sans"/>
          <w:sz w:val="24"/>
          <w:szCs w:val="24"/>
          <w:lang w:val="pt-BR"/>
        </w:rPr>
        <w:t>)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, que assim como </w:t>
      </w:r>
      <w:r w:rsidR="00137651" w:rsidRPr="00137651">
        <w:rPr>
          <w:rFonts w:ascii="Open Sans" w:eastAsia="Open Sans" w:hAnsi="Open Sans" w:cs="Open Sans"/>
          <w:sz w:val="24"/>
          <w:szCs w:val="24"/>
          <w:lang w:val="pt-BR"/>
        </w:rPr>
        <w:t>está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presente no arti</w:t>
      </w:r>
      <w:r w:rsidR="00137651">
        <w:rPr>
          <w:rFonts w:ascii="Open Sans" w:eastAsia="Open Sans" w:hAnsi="Open Sans" w:cs="Open Sans"/>
          <w:sz w:val="24"/>
          <w:szCs w:val="24"/>
          <w:lang w:val="pt-BR"/>
        </w:rPr>
        <w:t>g</w:t>
      </w:r>
      <w:r w:rsidR="00D9482A"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o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“</w:t>
      </w:r>
      <w:r w:rsidR="000F59F3" w:rsidRPr="000F59F3">
        <w:rPr>
          <w:rStyle w:val="nfase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What a nerdy debate about p-values shows about scienc</w:t>
      </w:r>
      <w:bookmarkStart w:id="0" w:name="_GoBack"/>
      <w:bookmarkEnd w:id="0"/>
      <w:r w:rsidR="000F59F3" w:rsidRPr="000F59F3">
        <w:rPr>
          <w:rStyle w:val="nfase"/>
          <w:rFonts w:ascii="inherit" w:hAnsi="inherit"/>
          <w:color w:val="000000"/>
          <w:sz w:val="24"/>
          <w:szCs w:val="24"/>
          <w:bdr w:val="none" w:sz="0" w:space="0" w:color="auto" w:frame="1"/>
          <w:shd w:val="clear" w:color="auto" w:fill="FFFFFF"/>
        </w:rPr>
        <w:t>e - and how to fix it</w:t>
      </w:r>
      <w:r w:rsidR="000F59F3">
        <w:rPr>
          <w:rStyle w:val="nfase"/>
          <w:rFonts w:ascii="inherit" w:hAnsi="inherit"/>
          <w:color w:val="000000"/>
          <w:bdr w:val="none" w:sz="0" w:space="0" w:color="auto" w:frame="1"/>
          <w:shd w:val="clear" w:color="auto" w:fill="FFFFFF"/>
        </w:rPr>
        <w:t>”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não se trata de um valor </w:t>
      </w:r>
      <w:r w:rsidR="00EE1484">
        <w:rPr>
          <w:rFonts w:ascii="Open Sans" w:eastAsia="Open Sans" w:hAnsi="Open Sans" w:cs="Open Sans"/>
          <w:sz w:val="24"/>
          <w:szCs w:val="24"/>
          <w:lang w:val="pt-BR"/>
        </w:rPr>
        <w:t>estatisticamente significativo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,</w:t>
      </w:r>
      <w:r w:rsidR="00327CCA">
        <w:rPr>
          <w:rFonts w:ascii="Open Sans" w:eastAsia="Open Sans" w:hAnsi="Open Sans" w:cs="Open Sans"/>
          <w:sz w:val="24"/>
          <w:szCs w:val="24"/>
          <w:lang w:val="pt-BR"/>
        </w:rPr>
        <w:t xml:space="preserve"> pois não é um valor menor que </w:t>
      </w:r>
      <w:r w:rsidR="00327CCA" w:rsidRPr="00327CCA">
        <w:rPr>
          <w:rFonts w:ascii="Open Sans" w:eastAsia="Open Sans" w:hAnsi="Open Sans" w:cs="Open Sans"/>
          <w:sz w:val="24"/>
          <w:szCs w:val="24"/>
          <w:lang w:val="pt-BR"/>
        </w:rPr>
        <w:t>0.05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, logo a analise quanto a regressão linear torna-se dispensável</w:t>
      </w:r>
      <w:r w:rsidR="00327CCA" w:rsidRPr="00327CCA">
        <w:rPr>
          <w:rFonts w:ascii="Open Sans" w:eastAsia="Open Sans" w:hAnsi="Open Sans" w:cs="Open Sans"/>
          <w:sz w:val="24"/>
          <w:szCs w:val="24"/>
          <w:lang w:val="pt-BR"/>
        </w:rPr>
        <w:t>.</w:t>
      </w:r>
      <w:r w:rsidRPr="00137651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14:paraId="22BD799D" w14:textId="77777777" w:rsidR="00F34DD6" w:rsidRDefault="00F34DD6" w:rsidP="00EE1484">
      <w:pPr>
        <w:ind w:firstLine="720"/>
        <w:contextualSpacing w:val="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 xml:space="preserve">Como os dados analisados cobrem apenas os períodos de 1953 a 1968, a afirmação apresentada sobre hipótese 2 e a refutação da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hipótese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1 se limitam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 xml:space="preserve"> inicialmente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apenas a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esse período.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14:paraId="59EF49E2" w14:textId="77777777" w:rsidR="00327CCA" w:rsidRDefault="005606BD" w:rsidP="00327CCA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</w:p>
    <w:p w14:paraId="4BF258BD" w14:textId="77777777" w:rsidR="00112787" w:rsidRDefault="00327CCA" w:rsidP="00327CCA">
      <w:pPr>
        <w:contextualSpacing w:val="0"/>
        <w:jc w:val="both"/>
        <w:rPr>
          <w:rFonts w:ascii="Open Sans" w:eastAsia="Open Sans" w:hAnsi="Open Sans" w:cs="Open Sans"/>
          <w:b/>
          <w:sz w:val="36"/>
          <w:szCs w:val="36"/>
          <w:lang w:val="pt-BR"/>
        </w:rPr>
      </w:pPr>
      <w:proofErr w:type="spellStart"/>
      <w:r>
        <w:rPr>
          <w:rFonts w:ascii="Open Sans" w:eastAsia="Open Sans" w:hAnsi="Open Sans" w:cs="Open Sans"/>
          <w:b/>
          <w:sz w:val="36"/>
          <w:szCs w:val="36"/>
          <w:lang w:val="pt-BR"/>
        </w:rPr>
        <w:t>Extrapolização</w:t>
      </w:r>
      <w:proofErr w:type="spellEnd"/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/ </w:t>
      </w:r>
      <w:proofErr w:type="spellStart"/>
      <w:r>
        <w:rPr>
          <w:rFonts w:ascii="Open Sans" w:eastAsia="Open Sans" w:hAnsi="Open Sans" w:cs="Open Sans"/>
          <w:b/>
          <w:sz w:val="36"/>
          <w:szCs w:val="36"/>
          <w:lang w:val="pt-BR"/>
        </w:rPr>
        <w:t>Generalicação</w:t>
      </w:r>
      <w:proofErr w:type="spellEnd"/>
      <w:r>
        <w:rPr>
          <w:rFonts w:ascii="Open Sans" w:eastAsia="Open Sans" w:hAnsi="Open Sans" w:cs="Open Sans"/>
          <w:b/>
          <w:sz w:val="36"/>
          <w:szCs w:val="36"/>
          <w:lang w:val="pt-BR"/>
        </w:rPr>
        <w:t xml:space="preserve"> dos Resultados</w:t>
      </w:r>
    </w:p>
    <w:p w14:paraId="30191434" w14:textId="77777777" w:rsidR="00EB04B2" w:rsidRDefault="005606BD" w:rsidP="00F34DD6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</w:r>
    </w:p>
    <w:p w14:paraId="2B432B3F" w14:textId="421EBBD8" w:rsidR="00F34DD6" w:rsidRPr="0052499A" w:rsidRDefault="00F34DD6" w:rsidP="00EB04B2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>Após toda essa analise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deve-se pensar historicamente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sobre 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o que ocorreu no período considerado para as análises (1953 a 1968). </w:t>
      </w:r>
    </w:p>
    <w:p w14:paraId="4ADEC888" w14:textId="59BAD17E" w:rsidR="00F34DD6" w:rsidRDefault="00F34DD6" w:rsidP="00F34DD6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>Os anos 50 é conhecido como o período dos anos dourados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,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o qual </w:t>
      </w:r>
      <w:r w:rsidR="000F59F3">
        <w:rPr>
          <w:rFonts w:ascii="Open Sans" w:eastAsia="Open Sans" w:hAnsi="Open Sans" w:cs="Open Sans"/>
          <w:sz w:val="24"/>
          <w:szCs w:val="24"/>
          <w:lang w:val="pt-BR"/>
        </w:rPr>
        <w:t>é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marcado por ser uma época prospera e de mudanças políticas, crescimento do consumo da indústria do entretenimento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,</w:t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 muito atrelado ao boom adolescente, considerado uma revolução cultural na história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.</w:t>
      </w:r>
    </w:p>
    <w:p w14:paraId="5FBFEF88" w14:textId="392116EA" w:rsidR="00BC1499" w:rsidRDefault="00F34DD6" w:rsidP="00F34DD6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tab/>
        <w:t>Já os anos 60 teve o reflexo da cultura jovem dos anos 50. Começa a surgir a questão de liberdade e os movimentos de contracultura que buscavam um novo estilo de vida imposto pela sociedade, como os movimentos: Fowler Power, Black Power, Gray Power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 xml:space="preserve"> e </w:t>
      </w:r>
      <w:proofErr w:type="spellStart"/>
      <w:r w:rsidR="00183DD2">
        <w:rPr>
          <w:rFonts w:ascii="Open Sans" w:eastAsia="Open Sans" w:hAnsi="Open Sans" w:cs="Open Sans"/>
          <w:sz w:val="24"/>
          <w:szCs w:val="24"/>
          <w:lang w:val="pt-BR"/>
        </w:rPr>
        <w:t>Women’s</w:t>
      </w:r>
      <w:proofErr w:type="spellEnd"/>
      <w:r w:rsidR="00183DD2">
        <w:rPr>
          <w:rFonts w:ascii="Open Sans" w:eastAsia="Open Sans" w:hAnsi="Open Sans" w:cs="Open Sans"/>
          <w:sz w:val="24"/>
          <w:szCs w:val="24"/>
          <w:lang w:val="pt-BR"/>
        </w:rPr>
        <w:t xml:space="preserve"> Lib.</w:t>
      </w:r>
    </w:p>
    <w:p w14:paraId="61552459" w14:textId="6F03A5C3" w:rsidR="00BC1499" w:rsidRPr="00BC1499" w:rsidRDefault="00BC1499" w:rsidP="00BC1499">
      <w:pPr>
        <w:ind w:firstLine="720"/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Open Sans" w:eastAsia="Open Sans" w:hAnsi="Open Sans" w:cs="Open Sans"/>
          <w:sz w:val="24"/>
          <w:szCs w:val="24"/>
          <w:lang w:val="pt-BR"/>
        </w:rPr>
        <w:lastRenderedPageBreak/>
        <w:t xml:space="preserve">Pode-se pensar que </w:t>
      </w:r>
      <w:r w:rsidR="0052499A">
        <w:rPr>
          <w:rFonts w:ascii="Open Sans" w:eastAsia="Open Sans" w:hAnsi="Open Sans" w:cs="Open Sans"/>
          <w:sz w:val="24"/>
          <w:szCs w:val="24"/>
          <w:lang w:val="pt-BR"/>
        </w:rPr>
        <w:t xml:space="preserve">nesses períodos os compositores da periferia, mais isolados </w:t>
      </w:r>
      <w:r w:rsidR="00183DD2">
        <w:rPr>
          <w:rFonts w:ascii="Open Sans" w:eastAsia="Open Sans" w:hAnsi="Open Sans" w:cs="Open Sans"/>
          <w:sz w:val="24"/>
          <w:szCs w:val="24"/>
          <w:lang w:val="pt-BR"/>
        </w:rPr>
        <w:t>d</w:t>
      </w:r>
      <w:r w:rsidR="0052499A">
        <w:rPr>
          <w:rFonts w:ascii="Open Sans" w:eastAsia="Open Sans" w:hAnsi="Open Sans" w:cs="Open Sans"/>
          <w:sz w:val="24"/>
          <w:szCs w:val="24"/>
          <w:lang w:val="pt-BR"/>
        </w:rPr>
        <w:t>as influências da rede, possuem menores restrições a mudanças de estilos, estando estes mais dispostos a inovar.</w:t>
      </w:r>
    </w:p>
    <w:p w14:paraId="2AB440A5" w14:textId="3C2DBFAA" w:rsidR="00803F91" w:rsidRPr="00137651" w:rsidRDefault="00F34DD6" w:rsidP="00EB04B2">
      <w:pPr>
        <w:contextualSpacing w:val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ab/>
      </w:r>
      <w:r>
        <w:rPr>
          <w:rFonts w:ascii="Open Sans" w:eastAsia="Open Sans" w:hAnsi="Open Sans" w:cs="Open Sans"/>
          <w:sz w:val="24"/>
          <w:szCs w:val="24"/>
          <w:lang w:val="pt-BR"/>
        </w:rPr>
        <w:t xml:space="preserve">Logo deve-se considerar que os resultados podem estrar atrelados com o momento histórico, influenciado por fatores socioculturais, para complementar a pesquisa tornando-a mais certa quanto a uma limitação da veracidade das afirmações, pode-se aplicar aos dados uma variável referente a </w:t>
      </w:r>
      <w:r w:rsidR="00112787">
        <w:rPr>
          <w:rFonts w:ascii="Open Sans" w:eastAsia="Open Sans" w:hAnsi="Open Sans" w:cs="Open Sans"/>
          <w:sz w:val="24"/>
          <w:szCs w:val="24"/>
          <w:lang w:val="pt-BR"/>
        </w:rPr>
        <w:t xml:space="preserve">existência </w:t>
      </w:r>
      <w:r w:rsidR="00EB04B2">
        <w:rPr>
          <w:rFonts w:ascii="Open Sans" w:eastAsia="Open Sans" w:hAnsi="Open Sans" w:cs="Open Sans"/>
          <w:sz w:val="24"/>
          <w:szCs w:val="24"/>
          <w:lang w:val="pt-BR"/>
        </w:rPr>
        <w:t xml:space="preserve">de </w:t>
      </w:r>
      <w:r>
        <w:rPr>
          <w:rFonts w:ascii="Open Sans" w:eastAsia="Open Sans" w:hAnsi="Open Sans" w:cs="Open Sans"/>
          <w:sz w:val="24"/>
          <w:szCs w:val="24"/>
          <w:lang w:val="pt-BR"/>
        </w:rPr>
        <w:t>uma revolução cultural em cada ano a ser observado.</w:t>
      </w:r>
    </w:p>
    <w:sectPr w:rsidR="00803F91" w:rsidRPr="001376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E7F3" w14:textId="77777777" w:rsidR="00E512B2" w:rsidRDefault="00E512B2" w:rsidP="00803F91">
      <w:pPr>
        <w:spacing w:line="240" w:lineRule="auto"/>
      </w:pPr>
      <w:r>
        <w:separator/>
      </w:r>
    </w:p>
  </w:endnote>
  <w:endnote w:type="continuationSeparator" w:id="0">
    <w:p w14:paraId="0039E60C" w14:textId="77777777" w:rsidR="00E512B2" w:rsidRDefault="00E512B2" w:rsidP="0080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F393" w14:textId="77777777" w:rsidR="00E512B2" w:rsidRDefault="00E512B2" w:rsidP="00803F91">
      <w:pPr>
        <w:spacing w:line="240" w:lineRule="auto"/>
      </w:pPr>
      <w:r>
        <w:separator/>
      </w:r>
    </w:p>
  </w:footnote>
  <w:footnote w:type="continuationSeparator" w:id="0">
    <w:p w14:paraId="1AEF2F2D" w14:textId="77777777" w:rsidR="00E512B2" w:rsidRDefault="00E512B2" w:rsidP="00803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3BCA"/>
    <w:multiLevelType w:val="multilevel"/>
    <w:tmpl w:val="0180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76FB8"/>
    <w:multiLevelType w:val="multilevel"/>
    <w:tmpl w:val="7EAE6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2"/>
    <w:rsid w:val="000F59F3"/>
    <w:rsid w:val="00112787"/>
    <w:rsid w:val="00137651"/>
    <w:rsid w:val="00183DD2"/>
    <w:rsid w:val="002E6030"/>
    <w:rsid w:val="00311AEA"/>
    <w:rsid w:val="00327CCA"/>
    <w:rsid w:val="003E20F7"/>
    <w:rsid w:val="004B0443"/>
    <w:rsid w:val="0052499A"/>
    <w:rsid w:val="005606BD"/>
    <w:rsid w:val="00584136"/>
    <w:rsid w:val="006157C2"/>
    <w:rsid w:val="00627EA9"/>
    <w:rsid w:val="006405E1"/>
    <w:rsid w:val="00714E88"/>
    <w:rsid w:val="007872E8"/>
    <w:rsid w:val="00803F91"/>
    <w:rsid w:val="008474DA"/>
    <w:rsid w:val="00850B9A"/>
    <w:rsid w:val="00971FED"/>
    <w:rsid w:val="00A43986"/>
    <w:rsid w:val="00A67ABD"/>
    <w:rsid w:val="00AA5518"/>
    <w:rsid w:val="00B55B5B"/>
    <w:rsid w:val="00BC1499"/>
    <w:rsid w:val="00D33575"/>
    <w:rsid w:val="00D75F67"/>
    <w:rsid w:val="00D9482A"/>
    <w:rsid w:val="00E15477"/>
    <w:rsid w:val="00E512B2"/>
    <w:rsid w:val="00EA2ABE"/>
    <w:rsid w:val="00EB04B2"/>
    <w:rsid w:val="00EC51DA"/>
    <w:rsid w:val="00EE1484"/>
    <w:rsid w:val="00F34DD6"/>
    <w:rsid w:val="00F51509"/>
    <w:rsid w:val="00F70265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5BFF"/>
  <w15:docId w15:val="{710D4839-560B-47F6-A576-824D68F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03F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F91"/>
  </w:style>
  <w:style w:type="paragraph" w:styleId="Rodap">
    <w:name w:val="footer"/>
    <w:basedOn w:val="Normal"/>
    <w:link w:val="RodapChar"/>
    <w:uiPriority w:val="99"/>
    <w:unhideWhenUsed/>
    <w:rsid w:val="00803F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F9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1DA"/>
    <w:rPr>
      <w:rFonts w:ascii="Courier New" w:eastAsia="Times New Roman" w:hAnsi="Courier New" w:cs="Courier New"/>
      <w:sz w:val="20"/>
      <w:szCs w:val="20"/>
      <w:lang w:val="pt-BR"/>
    </w:rPr>
  </w:style>
  <w:style w:type="character" w:styleId="nfase">
    <w:name w:val="Emphasis"/>
    <w:basedOn w:val="Fontepargpadro"/>
    <w:uiPriority w:val="20"/>
    <w:qFormat/>
    <w:rsid w:val="000F5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4A33-04C5-4C4D-A3BE-855F7944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 Medeiros</dc:creator>
  <cp:keywords/>
  <dc:description/>
  <cp:lastModifiedBy>Leonardo Pereira Medeiros</cp:lastModifiedBy>
  <cp:revision>9</cp:revision>
  <cp:lastPrinted>2018-10-04T06:23:00Z</cp:lastPrinted>
  <dcterms:created xsi:type="dcterms:W3CDTF">2018-10-03T23:08:00Z</dcterms:created>
  <dcterms:modified xsi:type="dcterms:W3CDTF">2018-10-04T07:20:00Z</dcterms:modified>
</cp:coreProperties>
</file>