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1987-06-03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2016-07-14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英国纽卡斯尔大学管理学硕士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资本运营部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股权管理岗/项目经理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2015.01-今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中关村丰台园管委会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企业管理处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产业管理岗/项目经理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2009.08-2013.06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测试要求3小时，以2小时2分1秒完成，李铮比正常快近三分之一，且回答不真实（掩饰性系数高于平均水平），说明其阅读虽然快但不准确。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36%，中为7%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本项内容共由8项指标构成，满分10分。根据得分的高低排序，分析李铮得分排在前三项具体特点为：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一是为人直爽，做事果断，敢于承担风险，能够为了自己的目标而克服困难；二是有持久的恒心和毅力，面对困难和挑战坚持不懈；三是遇到问题时办法与点子较多，根据形势不同采取不同的处理方式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本项内容共由12项指标构成，满分10分。根据得分的高低排序，分析李铮得分排在前三项具体特点为：</w:t>
            </w:r>
            <w:r>
              <w:rPr>
                <w:sz w:val="28"/>
                <w:szCs w:val="28"/>
                <w:b/>
              </w:rPr>
              <w:t xml:space="preserve">一是办事精明果断，善于在工作中进行总结、提炼与归纳；二是有很强的资源调配能力，最大化的利用周围的资源；三是能从现象中的数据、资料或事实中提炼出所需信息，概括得出结论，透过现象看本质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组织管理能力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本项内容共由10项指标构成，满分10分。根据得分的高低排序，分析李铮得分排在前三项具体特点为：</w:t>
            </w:r>
            <w:r>
              <w:rPr>
                <w:sz w:val="28"/>
                <w:szCs w:val="28"/>
                <w:b/>
              </w:rPr>
              <w:t xml:space="preserve">一是口才较好，自信独立，具有领导潜力和积极性；二是善于掌握整体形势，能够合理地运用各方面的特长，高效率地完成任务；三是具有很高的成功欲望，能够带领团队努力奋斗，追求卓越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本项内容共由12项指标构成，满分10分。根据得分的高低排序，分析李铮得分排在前三项具体特点为：</w:t>
            </w:r>
            <w:r>
              <w:rPr>
                <w:sz w:val="28"/>
                <w:szCs w:val="28"/>
                <w:b/>
              </w:rPr>
              <w:t xml:space="preserve">一是情绪稳定，遇到困难和挫折能够以积极的心态面对，找到解决办法；二是工作生活中独立性强，希望通过自己努力来实现目标，有责任心；三是渴望成功，能够创造或保持团队积极向上、追求高效能的氛围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本项内容共由5项指标构成，满分10分。根据得分的高低排序，分析李铮得分排在前三项具体特点为：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一是从全局的利益出发，做出有前瞻性的决策；二是指通过协调各部门关系，有效合理地组织起来实现计划目标；三是善于联想，开辟新的思维境界完成任务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本项内容共由12项指标构成，满分10分。根据得分的由低到高排序，分析李铮得分偏低的原因为：</w:t>
            </w:r>
            <w:r>
              <w:rPr>
                <w:sz w:val="28"/>
                <w:szCs w:val="28"/>
                <w:b/>
              </w:rPr>
              <w:t xml:space="preserve">一是在工作时有时过于激进，不能很好的处理和其他人的关系；二是待人接物方面过于直截了当，处理问题较为简单直接，从而影响人际关系；三是常希望得到别人的关心与帮助，性格较温和，但有时不能够和周围的人保持较好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本项内容共由10项指标构成，满分10分。根据得分的由低到高排序，分析李铮得分偏低的原因为：</w:t>
            </w:r>
            <w:r>
              <w:rPr>
                <w:sz w:val="28"/>
                <w:szCs w:val="28"/>
                <w:b/>
              </w:rPr>
              <w:t xml:space="preserve">一是有时理解他人意见且解决问题的力度不够，处理事情不够灵活；二是与上级下级沟通时，需要增加亲和力，多换位思考；三是不太愿意与人交流沟通，交往能力有待提高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本项内容共由7项指标构成，满分10分。根据得分的由低到高排序，分析李铮得分偏低的原因为：</w:t>
            </w:r>
            <w:r>
              <w:rPr>
                <w:sz w:val="28"/>
                <w:szCs w:val="28"/>
                <w:b/>
              </w:rPr>
              <w:t xml:space="preserve">一是有时为了给他人留下完美的印象，从事一些力不从心的工作，违背自己的真实意愿；二是会掩饰一些不会得到社会称许的行为和个人特征，以便给别人留下好的印象；三是在群体决策当中，不论自己的真实想法是什么，往往总是站到多数人的一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李铮</w:t>
      </w:r>
      <w:r>
        <w:rPr>
          <w:sz w:val="28"/>
          <w:szCs w:val="28"/>
        </w:rPr>
        <w:t xml:space="preserve">敢于承担风险，抗压能力强；性格积极向上，乐于助人；心理健康，待人随和，用真心和热情去对待他人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李铮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李铮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李铮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D1E509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2016-07-15T00:54:28+08:00</dcterms:created>
  <dcterms:modified xsi:type="dcterms:W3CDTF">2016-07-15T00:54:28+08:00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