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马金英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1966-02-01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个人价值取向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马金英（女）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实际完成时间：2小时6分26秒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测试要求3小时，以2小时6分26秒完成，马金英比正常快近三分之一，且回答真实（掩饰性系数低于平均水平），说明其阅读不仅快且准确。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14%，良好率为36%，中为21%，差为29%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本项内容共由10项指标构成，满分10分。根据得分的高低排序，分析马金英得分排在前三项具体特点为：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一是对当前的生活和工作都比较满意，能够很快适应新环境；二是情绪稳定，遇到困难和挫折时能够以积极的心态面对，找到解决办法；三是对现在的工作和生活感到比较满意，能够很快地适应新环境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本项内容共由12项指标构成，满分10分。根据得分的高低排序，分析马金英得分排在前三项具体特点为：</w:t>
            </w:r>
            <w:r>
              <w:rPr>
                <w:sz w:val="28"/>
                <w:szCs w:val="28"/>
                <w:b/>
              </w:rPr>
              <w:t xml:space="preserve">一是有很好的资源整合能力，能灵活选择并充分利用复杂的信息为工作目标服务；二是工作中注重听取各方意见，具有较强的沟通和综合协调能力；三是能从现象中的数据、资料或事实中提炼出所需信息，概括得出结论，透过现象看本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个人价值取向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本项内容共由14项指标构成，满分10分。根据得分的高低排序，分析马金英得分排在前三项具体特点为：</w:t>
            </w:r>
            <w:r>
              <w:rPr>
                <w:sz w:val="28"/>
                <w:szCs w:val="28"/>
                <w:b/>
              </w:rPr>
              <w:t xml:space="preserve">一是善于分配工作，在团队中起领导作用；二是指能虚心接受他人意见，更注重情感融洽而非得到他人认可；三是心胸开阔，能容忍分歧和矛盾，心平气和，即使与他人发生矛盾和冲突时也能冷静客观对待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本项内容共由10项指标构成，满分10分。根据得分的高低排序，分析马金英得分排在前三项具体特点为：</w:t>
            </w:r>
            <w:r>
              <w:rPr>
                <w:sz w:val="28"/>
                <w:szCs w:val="28"/>
                <w:b/>
              </w:rPr>
              <w:t xml:space="preserve">一是能够克服消极情绪的干扰，并合理安排自己的行为；二是能够理智的分析问题，情绪稳定；三是遇到困难和问题时，能够合理支配自己的情感和行为，采取冷静处理的方式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团队精神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本项内容共由11项指标构成，满分10分。根据得分的高低排序，分析马金英得分排在前三项具体特点为：</w:t>
            </w:r>
            <w:r>
              <w:rPr>
                <w:sz w:val="28"/>
                <w:szCs w:val="28"/>
                <w:b/>
              </w:rPr>
              <w:t xml:space="preserve">一是做事有恒心，有责任心，不达目的誓不罢休；二是能够创造或保持团队积极向上、追求高效能的工作氛围；三是具有很高的成功欲望，能够带领团队努力奋斗，追求卓越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工作作风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本项内容共由7项指标构成，满分10分。根据得分的由低到高排序，分析马金英得分偏低的原因为：</w:t>
            </w:r>
            <w:r>
              <w:rPr>
                <w:sz w:val="28"/>
                <w:szCs w:val="28"/>
                <w:b/>
              </w:rPr>
              <w:t xml:space="preserve">一是不善于与他人合作，不容易被人接近；二是做事追求稳妥，创新少，有时比较保守；三是由于过于独立自主的工作，导致与同事之间合作完成工作情况较少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本项内容共由13项指标构成，满分10分。根据得分的由低到高排序，分析马金英得分偏低的原因为：</w:t>
            </w:r>
            <w:r>
              <w:rPr>
                <w:sz w:val="28"/>
                <w:szCs w:val="28"/>
                <w:b/>
              </w:rPr>
              <w:t xml:space="preserve">一是对他人提出的想法全盘接受，不愿主动思考；二是工作中尊重传统观念与行为标准，但有时过于保守，应注重创新；三是工作对新知识新工具应用不多，创新时主动性不够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本项内容共由9项指标构成，满分10分。根据得分的由低到高排序，分析马金英得分偏低的原因为：</w:t>
            </w:r>
            <w:r>
              <w:rPr>
                <w:sz w:val="28"/>
                <w:szCs w:val="28"/>
                <w:b/>
              </w:rPr>
              <w:t xml:space="preserve">一是抽象思维能力不足，理解他人的能力不强；二是自我成长能力有限，从他人身上学习的能力较差；三是常用客观、坚强、独立的态度处理当前的问题，导致可能过份骄傲，易被人孤立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5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马金英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马金英</w:t>
      </w:r>
      <w:r>
        <w:rPr>
          <w:sz w:val="28"/>
          <w:szCs w:val="28"/>
        </w:rPr>
        <w:t xml:space="preserve">对待工作能表现出高积极性和专注度，做事有始有终，力求尽善尽美；富有团队精神，乐于在团队中体现自我价值，并为团队做出自己的贡献；工作责任心强，为人积极主动，成熟稳重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马金英</w:t>
      </w:r>
      <w:r>
        <w:rPr>
          <w:sz w:val="28"/>
          <w:szCs w:val="28"/>
        </w:rPr>
        <w:t xml:space="preserve">在工作中注重听取各方意见，具有较强的沟通和综合协调能力；有较强的组织纪律性，能够严格按照组织规定做事；善于在做事情之前提前做好相应的计划，办事效率高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马金英</w:t>
      </w:r>
      <w:r>
        <w:rPr>
          <w:sz w:val="28"/>
          <w:szCs w:val="28"/>
        </w:rPr>
        <w:t xml:space="preserve">有一定的组织管理能力，做事情有计划，严格地坚持自己的规划执行；注重与他人交流和沟通，具有较强的社交能力；拥有较强的判断和决策能力，非常果断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59"/>
      <w:footerReference w:type="default" r:id="rId16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887ABE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header" Target="header1.xml"/><Relationship Id="rId16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2016-08-31T10:01:46+08:00</dcterms:created>
  <dcterms:modified xsi:type="dcterms:W3CDTF">2016-08-31T10:01:46+08:00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