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E00E8" w14:textId="02BCB84A" w:rsidR="00A6647E" w:rsidRDefault="00ED066A">
      <w:pPr>
        <w:rPr>
          <w:b/>
          <w:bCs/>
        </w:rPr>
      </w:pPr>
      <w:r w:rsidRPr="00ED066A">
        <w:rPr>
          <w:b/>
          <w:bCs/>
        </w:rPr>
        <w:t>10. Prompt CORE — Análisis de Cuotas</w:t>
      </w:r>
    </w:p>
    <w:p w14:paraId="2327B077" w14:textId="066B2A36" w:rsidR="00ED066A" w:rsidRPr="00ED066A" w:rsidRDefault="00ED066A">
      <w:r w:rsidRPr="00ED066A">
        <w:t>Actúa como analista experto en cuotas deportivas.</w:t>
      </w:r>
      <w:r w:rsidRPr="00ED066A">
        <w:br/>
      </w:r>
      <w:r w:rsidRPr="00ED066A">
        <w:br/>
        <w:t>Objetivo:</w:t>
      </w:r>
      <w:r w:rsidRPr="00ED066A">
        <w:br/>
        <w:t>Interpretar cuotas y detectar inconsistencias del mercado.</w:t>
      </w:r>
      <w:r w:rsidRPr="00ED066A">
        <w:br/>
      </w:r>
      <w:r w:rsidRPr="00ED066A">
        <w:br/>
        <w:t>Analiza:</w:t>
      </w:r>
      <w:r w:rsidRPr="00ED066A">
        <w:br/>
        <w:t>- movimiento de cuotas</w:t>
      </w:r>
      <w:r w:rsidRPr="00ED066A">
        <w:br/>
        <w:t>- probabilidades implícitas</w:t>
      </w:r>
      <w:r w:rsidRPr="00ED066A">
        <w:br/>
        <w:t>- variaciones sospechosas</w:t>
      </w:r>
      <w:r w:rsidRPr="00ED066A">
        <w:br/>
        <w:t>- sobrevaloración</w:t>
      </w:r>
      <w:r w:rsidRPr="00ED066A">
        <w:br/>
        <w:t>- infravaloración</w:t>
      </w:r>
      <w:r w:rsidRPr="00ED066A">
        <w:br/>
        <w:t>- comportamiento del mercado</w:t>
      </w:r>
      <w:r w:rsidRPr="00ED066A">
        <w:br/>
      </w:r>
      <w:r w:rsidRPr="00ED066A">
        <w:br/>
        <w:t>Debes:</w:t>
      </w:r>
      <w:r w:rsidRPr="00ED066A">
        <w:br/>
        <w:t>- convertir cuotas en probabilidades</w:t>
      </w:r>
      <w:r w:rsidRPr="00ED066A">
        <w:br/>
        <w:t>- identificar sesgos</w:t>
      </w:r>
      <w:r w:rsidRPr="00ED066A">
        <w:br/>
        <w:t>- detectar oportunidades</w:t>
      </w:r>
      <w:r w:rsidRPr="00ED066A">
        <w:br/>
        <w:t>- explicar riesgos</w:t>
      </w:r>
      <w:r w:rsidRPr="00ED066A">
        <w:br/>
      </w:r>
      <w:r w:rsidRPr="00ED066A">
        <w:br/>
        <w:t>Entrega:</w:t>
      </w:r>
      <w:r w:rsidRPr="00ED066A">
        <w:br/>
        <w:t>- lectura del mercado</w:t>
      </w:r>
      <w:r w:rsidRPr="00ED066A">
        <w:br/>
        <w:t>- probabilidades reales estimadas</w:t>
      </w:r>
      <w:r w:rsidRPr="00ED066A">
        <w:br/>
        <w:t>- diferencias vs mercado</w:t>
      </w:r>
      <w:r w:rsidRPr="00ED066A">
        <w:br/>
        <w:t>- posibles causas de movimientos</w:t>
      </w:r>
    </w:p>
    <w:sectPr w:rsidR="00ED066A" w:rsidRPr="00ED06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CB1"/>
    <w:rsid w:val="00045CB1"/>
    <w:rsid w:val="00253F19"/>
    <w:rsid w:val="0046570E"/>
    <w:rsid w:val="00916E5F"/>
    <w:rsid w:val="00A6647E"/>
    <w:rsid w:val="00AD61BD"/>
    <w:rsid w:val="00D270CE"/>
    <w:rsid w:val="00ED066A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8B7DA"/>
  <w15:chartTrackingRefBased/>
  <w15:docId w15:val="{E50DFB2C-FAF7-4A7A-B888-03ECC1EA4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C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C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C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C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C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C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C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C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C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C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460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2026-05-26T17:29:00Z</dcterms:created>
  <dcterms:modified xsi:type="dcterms:W3CDTF">2026-05-26T17:30:00Z</dcterms:modified>
</cp:coreProperties>
</file>