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EE7C42"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EE7C42"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EE7C42"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EE7C42"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EE7C42"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EE7C42"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EE7C42"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EE7C42"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EE7C42"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EE7C42"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EE7C42"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EE7C42"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EE7C42"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EE7C42"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EE7C42"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EE7C42"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270524" w:rsidRDefault="00EE7C42" w:rsidP="00AA6B38">
      <w:pPr>
        <w:wordWrap w:val="0"/>
        <w:overflowPunct w:val="0"/>
        <w:jc w:val="left"/>
        <w:rPr>
          <w:rFonts w:ascii="新宋体" w:eastAsia="新宋体" w:hAnsi="新宋体"/>
          <w:szCs w:val="21"/>
        </w:rPr>
      </w:pPr>
      <w:hyperlink r:id="rId29" w:history="1">
        <w:r w:rsidR="00270524" w:rsidRPr="000F5E87">
          <w:rPr>
            <w:rStyle w:val="a4"/>
            <w:rFonts w:ascii="新宋体" w:eastAsia="新宋体" w:hAnsi="新宋体"/>
            <w:szCs w:val="21"/>
          </w:rPr>
          <w:t>https://stackoverflow.com/questions/39718268/why-do-const-references-extend-the-lifetime-of-rvalues</w:t>
        </w:r>
      </w:hyperlink>
    </w:p>
    <w:p w:rsidR="00270524" w:rsidRDefault="00EE7C42" w:rsidP="00AA6B38">
      <w:pPr>
        <w:wordWrap w:val="0"/>
        <w:overflowPunct w:val="0"/>
        <w:jc w:val="left"/>
        <w:rPr>
          <w:rFonts w:ascii="新宋体" w:eastAsia="新宋体" w:hAnsi="新宋体"/>
          <w:szCs w:val="21"/>
        </w:rPr>
      </w:pPr>
      <w:hyperlink r:id="rId30" w:history="1">
        <w:r w:rsidR="00270524" w:rsidRPr="000F5E87">
          <w:rPr>
            <w:rStyle w:val="a4"/>
            <w:rFonts w:ascii="新宋体" w:eastAsia="新宋体" w:hAnsi="新宋体"/>
            <w:szCs w:val="21"/>
          </w:rPr>
          <w:t>https://stackoverflow.com/questions/1565600/how-come-a-non-const-reference-cannot-bind-to-a-temporary-object</w:t>
        </w:r>
      </w:hyperlink>
    </w:p>
    <w:p w:rsidR="00053CE4" w:rsidRPr="00053CE4" w:rsidRDefault="00053CE4" w:rsidP="00AA6B38">
      <w:pPr>
        <w:wordWrap w:val="0"/>
        <w:overflowPunct w:val="0"/>
        <w:jc w:val="left"/>
        <w:rPr>
          <w:rFonts w:ascii="新宋体" w:eastAsia="新宋体" w:hAnsi="新宋体"/>
          <w:szCs w:val="21"/>
        </w:rPr>
      </w:pPr>
    </w:p>
    <w:p w:rsidR="00053CE4" w:rsidRDefault="00EE7C42" w:rsidP="00053CE4">
      <w:pPr>
        <w:wordWrap w:val="0"/>
        <w:overflowPunct w:val="0"/>
        <w:jc w:val="left"/>
        <w:rPr>
          <w:rFonts w:ascii="新宋体" w:eastAsia="新宋体" w:hAnsi="新宋体"/>
          <w:szCs w:val="21"/>
        </w:rPr>
      </w:pPr>
      <w:hyperlink r:id="rId31" w:history="1">
        <w:r w:rsidR="00053CE4" w:rsidRPr="007D64F8">
          <w:rPr>
            <w:rStyle w:val="a4"/>
            <w:rFonts w:ascii="新宋体" w:eastAsia="新宋体" w:hAnsi="新宋体"/>
            <w:szCs w:val="21"/>
          </w:rPr>
          <w:t>https://scottmeyers.blogspot.com/2013/05/lambdas-vs-closures.html</w:t>
        </w:r>
      </w:hyperlink>
    </w:p>
    <w:p w:rsidR="00DE137D" w:rsidRDefault="00DE137D" w:rsidP="00AA6B38">
      <w:pPr>
        <w:wordWrap w:val="0"/>
        <w:overflowPunct w:val="0"/>
        <w:jc w:val="left"/>
        <w:rPr>
          <w:rFonts w:ascii="新宋体" w:eastAsia="新宋体" w:hAnsi="新宋体"/>
          <w:szCs w:val="21"/>
        </w:rPr>
      </w:pPr>
    </w:p>
    <w:p w:rsidR="005175C7" w:rsidRDefault="00EE7C42" w:rsidP="00AA6B38">
      <w:pPr>
        <w:wordWrap w:val="0"/>
        <w:overflowPunct w:val="0"/>
        <w:jc w:val="left"/>
        <w:rPr>
          <w:rFonts w:ascii="新宋体" w:eastAsia="新宋体" w:hAnsi="新宋体"/>
          <w:szCs w:val="21"/>
        </w:rPr>
      </w:pPr>
      <w:hyperlink r:id="rId32" w:history="1">
        <w:r w:rsidR="00456660" w:rsidRPr="00517915">
          <w:rPr>
            <w:rStyle w:val="a4"/>
            <w:rFonts w:ascii="新宋体" w:eastAsia="新宋体" w:hAnsi="新宋体"/>
            <w:szCs w:val="21"/>
          </w:rPr>
          <w:t>https://stackoverflow.com/questions/6747987/writing-an-iterator-that-makes-several-containers-look-as-one</w:t>
        </w:r>
      </w:hyperlink>
    </w:p>
    <w:p w:rsidR="00456660" w:rsidRDefault="00456660" w:rsidP="00AA6B38">
      <w:pPr>
        <w:wordWrap w:val="0"/>
        <w:overflowPunct w:val="0"/>
        <w:jc w:val="left"/>
        <w:rPr>
          <w:rFonts w:ascii="新宋体" w:eastAsia="新宋体" w:hAnsi="新宋体"/>
          <w:szCs w:val="21"/>
        </w:rPr>
      </w:pPr>
    </w:p>
    <w:p w:rsidR="00053CE4" w:rsidRDefault="00C85842" w:rsidP="00AA6B38">
      <w:pPr>
        <w:wordWrap w:val="0"/>
        <w:overflowPunct w:val="0"/>
        <w:jc w:val="left"/>
        <w:rPr>
          <w:rFonts w:ascii="新宋体" w:eastAsia="新宋体" w:hAnsi="新宋体"/>
          <w:szCs w:val="21"/>
        </w:rPr>
      </w:pPr>
      <w:r>
        <w:rPr>
          <w:rFonts w:ascii="新宋体" w:eastAsia="新宋体" w:hAnsi="新宋体" w:hint="eastAsia"/>
          <w:szCs w:val="21"/>
        </w:rPr>
        <w:t>使用vs开发</w:t>
      </w:r>
      <w:r>
        <w:rPr>
          <w:rFonts w:ascii="新宋体" w:eastAsia="新宋体" w:hAnsi="新宋体"/>
          <w:szCs w:val="21"/>
        </w:rPr>
        <w:t>应用、安卓应用</w:t>
      </w:r>
    </w:p>
    <w:tbl>
      <w:tblPr>
        <w:tblStyle w:val="a3"/>
        <w:tblW w:w="0" w:type="auto"/>
        <w:tblLook w:val="04A0" w:firstRow="1" w:lastRow="0" w:firstColumn="1" w:lastColumn="0" w:noHBand="0" w:noVBand="1"/>
      </w:tblPr>
      <w:tblGrid>
        <w:gridCol w:w="12156"/>
      </w:tblGrid>
      <w:tr w:rsidR="00963304" w:rsidTr="00963304">
        <w:tc>
          <w:tcPr>
            <w:tcW w:w="12156" w:type="dxa"/>
          </w:tcPr>
          <w:p w:rsidR="00963304" w:rsidRDefault="00EE7C42" w:rsidP="00AA6B38">
            <w:pPr>
              <w:wordWrap w:val="0"/>
              <w:overflowPunct w:val="0"/>
              <w:jc w:val="left"/>
              <w:rPr>
                <w:rFonts w:ascii="新宋体" w:eastAsia="新宋体" w:hAnsi="新宋体"/>
                <w:szCs w:val="21"/>
              </w:rPr>
            </w:pPr>
            <w:hyperlink r:id="rId33" w:history="1">
              <w:r w:rsidR="00963304" w:rsidRPr="00FE3635">
                <w:rPr>
                  <w:rStyle w:val="a4"/>
                  <w:rFonts w:ascii="新宋体" w:eastAsia="新宋体" w:hAnsi="新宋体"/>
                  <w:szCs w:val="21"/>
                </w:rPr>
                <w:t>https://blogs.msdn.microsoft.com/vcblog/2017/04/21/getting-started-with-visual-studio-for-c-and-cpp-development/</w:t>
              </w:r>
            </w:hyperlink>
          </w:p>
          <w:p w:rsidR="00963304" w:rsidRDefault="00EE7C42" w:rsidP="00963304">
            <w:pPr>
              <w:wordWrap w:val="0"/>
              <w:overflowPunct w:val="0"/>
              <w:jc w:val="left"/>
              <w:rPr>
                <w:rFonts w:ascii="新宋体" w:eastAsia="新宋体" w:hAnsi="新宋体"/>
                <w:szCs w:val="21"/>
              </w:rPr>
            </w:pPr>
            <w:hyperlink r:id="rId34" w:history="1">
              <w:r w:rsidR="00963304" w:rsidRPr="00FE3635">
                <w:rPr>
                  <w:rStyle w:val="a4"/>
                  <w:rFonts w:ascii="新宋体" w:eastAsia="新宋体" w:hAnsi="新宋体"/>
                  <w:szCs w:val="21"/>
                </w:rPr>
                <w:t>https://blogs.msdn.microsoft.com/vcblog/2017/04/18/android-and-ios-development-with-c-in-visual-studio/</w:t>
              </w:r>
            </w:hyperlink>
          </w:p>
        </w:tc>
      </w:tr>
    </w:tbl>
    <w:p w:rsidR="00963304" w:rsidRDefault="00963304" w:rsidP="00AA6B38">
      <w:pPr>
        <w:wordWrap w:val="0"/>
        <w:overflowPunct w:val="0"/>
        <w:jc w:val="left"/>
        <w:rPr>
          <w:rFonts w:ascii="新宋体" w:eastAsia="新宋体" w:hAnsi="新宋体"/>
          <w:szCs w:val="21"/>
        </w:rPr>
      </w:pPr>
    </w:p>
    <w:p w:rsidR="00302B4D" w:rsidRDefault="00302B4D" w:rsidP="00AA6B38">
      <w:pPr>
        <w:wordWrap w:val="0"/>
        <w:overflowPunct w:val="0"/>
        <w:jc w:val="left"/>
        <w:rPr>
          <w:rFonts w:ascii="新宋体" w:eastAsia="新宋体" w:hAnsi="新宋体"/>
          <w:szCs w:val="21"/>
        </w:rPr>
      </w:pPr>
      <w:r>
        <w:rPr>
          <w:rFonts w:ascii="新宋体" w:eastAsia="新宋体" w:hAnsi="新宋体" w:hint="eastAsia"/>
          <w:szCs w:val="21"/>
        </w:rPr>
        <w:t>使用boost</w:t>
      </w:r>
    </w:p>
    <w:tbl>
      <w:tblPr>
        <w:tblStyle w:val="a3"/>
        <w:tblW w:w="0" w:type="auto"/>
        <w:tblLook w:val="04A0" w:firstRow="1" w:lastRow="0" w:firstColumn="1" w:lastColumn="0" w:noHBand="0" w:noVBand="1"/>
      </w:tblPr>
      <w:tblGrid>
        <w:gridCol w:w="11556"/>
      </w:tblGrid>
      <w:tr w:rsidR="00302B4D" w:rsidTr="00302B4D">
        <w:tc>
          <w:tcPr>
            <w:tcW w:w="11556" w:type="dxa"/>
          </w:tcPr>
          <w:tbl>
            <w:tblPr>
              <w:tblStyle w:val="a3"/>
              <w:tblW w:w="0" w:type="auto"/>
              <w:tblLook w:val="04A0" w:firstRow="1" w:lastRow="0" w:firstColumn="1" w:lastColumn="0" w:noHBand="0" w:noVBand="1"/>
            </w:tblPr>
            <w:tblGrid>
              <w:gridCol w:w="4701"/>
              <w:gridCol w:w="974"/>
              <w:gridCol w:w="1341"/>
            </w:tblGrid>
            <w:tr w:rsidR="00302B4D" w:rsidRPr="00302B4D" w:rsidTr="00302B4D">
              <w:tc>
                <w:tcPr>
                  <w:tcW w:w="4701"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https://developer.nvidia.com/cuda-toolkit</w:t>
                  </w:r>
                </w:p>
              </w:tc>
              <w:tc>
                <w:tcPr>
                  <w:tcW w:w="974" w:type="dxa"/>
                  <w:tcBorders>
                    <w:top w:val="single" w:sz="4" w:space="0" w:color="auto"/>
                    <w:left w:val="single" w:sz="4" w:space="0" w:color="auto"/>
                    <w:bottom w:val="single" w:sz="4" w:space="0" w:color="auto"/>
                    <w:right w:val="single" w:sz="4" w:space="0" w:color="auto"/>
                  </w:tcBorders>
                </w:tcPr>
                <w:p w:rsidR="00302B4D" w:rsidRPr="00302B4D" w:rsidRDefault="00302B4D" w:rsidP="00302B4D">
                  <w:pPr>
                    <w:wordWrap w:val="0"/>
                    <w:jc w:val="left"/>
                    <w:rPr>
                      <w:rFonts w:ascii="新宋体" w:eastAsia="新宋体" w:hAnsi="新宋体" w:cs="Times New Roman"/>
                      <w:szCs w:val="21"/>
                    </w:rPr>
                  </w:pPr>
                </w:p>
              </w:tc>
              <w:tc>
                <w:tcPr>
                  <w:tcW w:w="1341" w:type="dxa"/>
                  <w:tcBorders>
                    <w:top w:val="single" w:sz="4" w:space="0" w:color="auto"/>
                    <w:left w:val="single" w:sz="4" w:space="0" w:color="auto"/>
                    <w:bottom w:val="single" w:sz="4" w:space="0" w:color="auto"/>
                    <w:right w:val="single" w:sz="4" w:space="0" w:color="auto"/>
                  </w:tcBorders>
                </w:tcPr>
                <w:p w:rsidR="00302B4D" w:rsidRPr="00302B4D" w:rsidRDefault="00302B4D" w:rsidP="00302B4D">
                  <w:pPr>
                    <w:wordWrap w:val="0"/>
                    <w:jc w:val="left"/>
                    <w:rPr>
                      <w:rFonts w:ascii="新宋体" w:eastAsia="新宋体" w:hAnsi="新宋体" w:cs="Times New Roman"/>
                      <w:szCs w:val="21"/>
                    </w:rPr>
                  </w:pPr>
                </w:p>
              </w:tc>
            </w:tr>
            <w:tr w:rsidR="00302B4D" w:rsidRPr="00302B4D" w:rsidTr="00302B4D">
              <w:tc>
                <w:tcPr>
                  <w:tcW w:w="4701"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D:\Program Files\boost\boost_1_68_0</w:t>
                  </w:r>
                </w:p>
              </w:tc>
              <w:tc>
                <w:tcPr>
                  <w:tcW w:w="974"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cmd中</w:t>
                  </w:r>
                </w:p>
              </w:tc>
              <w:tc>
                <w:tcPr>
                  <w:tcW w:w="1341"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bootstrap</w:t>
                  </w:r>
                </w:p>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.\b2</w:t>
                  </w:r>
                </w:p>
              </w:tc>
            </w:tr>
          </w:tbl>
          <w:p w:rsidR="00302B4D" w:rsidRPr="00302B4D" w:rsidRDefault="00302B4D" w:rsidP="00302B4D">
            <w:pPr>
              <w:wordWrap w:val="0"/>
              <w:jc w:val="left"/>
              <w:rPr>
                <w:rFonts w:ascii="新宋体" w:eastAsia="新宋体" w:hAnsi="新宋体" w:cs="Times New Roman"/>
                <w:szCs w:val="21"/>
              </w:rPr>
            </w:pPr>
          </w:p>
          <w:tbl>
            <w:tblPr>
              <w:tblStyle w:val="a3"/>
              <w:tblW w:w="0" w:type="auto"/>
              <w:tblLook w:val="04A0" w:firstRow="1" w:lastRow="0" w:firstColumn="1" w:lastColumn="0" w:noHBand="0" w:noVBand="1"/>
            </w:tblPr>
            <w:tblGrid>
              <w:gridCol w:w="2688"/>
              <w:gridCol w:w="1558"/>
              <w:gridCol w:w="7084"/>
            </w:tblGrid>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配置属性/C/C++/常规</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附加包含目录</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D:\Program Files\boost\boost_1_68_0</w:t>
                  </w:r>
                </w:p>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C:\Program Files\NVIDIA GPU Computing Toolkit\CUDA\v10.0\include</w:t>
                  </w:r>
                </w:p>
              </w:tc>
            </w:tr>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配置属性/C/C++/预编译头</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预编译头</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不使用预编译头</w:t>
                  </w:r>
                </w:p>
              </w:tc>
            </w:tr>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配置属性/C/C++/命令行</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其它选项</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/std:c++17</w:t>
                  </w:r>
                </w:p>
              </w:tc>
            </w:tr>
            <w:tr w:rsidR="00302B4D" w:rsidRPr="00302B4D" w:rsidTr="00302B4D">
              <w:tc>
                <w:tcPr>
                  <w:tcW w:w="268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配置属性/链接器/常规</w:t>
                  </w:r>
                </w:p>
              </w:tc>
              <w:tc>
                <w:tcPr>
                  <w:tcW w:w="1559"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附加库目录</w:t>
                  </w:r>
                </w:p>
              </w:tc>
              <w:tc>
                <w:tcPr>
                  <w:tcW w:w="7087" w:type="dxa"/>
                  <w:tcBorders>
                    <w:top w:val="single" w:sz="4" w:space="0" w:color="auto"/>
                    <w:left w:val="single" w:sz="4" w:space="0" w:color="auto"/>
                    <w:bottom w:val="single" w:sz="4" w:space="0" w:color="auto"/>
                    <w:right w:val="single" w:sz="4" w:space="0" w:color="auto"/>
                  </w:tcBorders>
                  <w:hideMark/>
                </w:tcPr>
                <w:p w:rsidR="00302B4D" w:rsidRPr="00302B4D" w:rsidRDefault="00302B4D" w:rsidP="00302B4D">
                  <w:pPr>
                    <w:wordWrap w:val="0"/>
                    <w:jc w:val="left"/>
                    <w:rPr>
                      <w:rFonts w:ascii="新宋体" w:eastAsia="新宋体" w:hAnsi="新宋体" w:cs="Times New Roman"/>
                      <w:szCs w:val="21"/>
                    </w:rPr>
                  </w:pPr>
                  <w:r w:rsidRPr="00302B4D">
                    <w:rPr>
                      <w:rFonts w:ascii="新宋体" w:eastAsia="新宋体" w:hAnsi="新宋体" w:cs="Times New Roman" w:hint="eastAsia"/>
                      <w:szCs w:val="21"/>
                    </w:rPr>
                    <w:t>D:\Program Files\boost\boost_1_68_0\stage\lib</w:t>
                  </w:r>
                </w:p>
              </w:tc>
            </w:tr>
          </w:tbl>
          <w:p w:rsidR="00302B4D" w:rsidRPr="00302B4D" w:rsidRDefault="00302B4D" w:rsidP="00AA6B38">
            <w:pPr>
              <w:wordWrap w:val="0"/>
              <w:overflowPunct w:val="0"/>
              <w:jc w:val="left"/>
              <w:rPr>
                <w:rFonts w:ascii="新宋体" w:eastAsia="新宋体" w:hAnsi="新宋体"/>
                <w:szCs w:val="21"/>
              </w:rPr>
            </w:pPr>
          </w:p>
        </w:tc>
      </w:tr>
    </w:tbl>
    <w:p w:rsidR="00963304" w:rsidRDefault="00963304" w:rsidP="00AA6B38">
      <w:pPr>
        <w:wordWrap w:val="0"/>
        <w:overflowPunct w:val="0"/>
        <w:jc w:val="left"/>
        <w:rPr>
          <w:rFonts w:ascii="新宋体" w:eastAsia="新宋体" w:hAnsi="新宋体"/>
          <w:szCs w:val="21"/>
        </w:rPr>
      </w:pPr>
    </w:p>
    <w:p w:rsidR="00302B4D" w:rsidRDefault="00B335B8" w:rsidP="00AA6B38">
      <w:pPr>
        <w:wordWrap w:val="0"/>
        <w:overflowPunct w:val="0"/>
        <w:jc w:val="left"/>
        <w:rPr>
          <w:rFonts w:ascii="新宋体" w:eastAsia="新宋体" w:hAnsi="新宋体"/>
          <w:szCs w:val="21"/>
        </w:rPr>
      </w:pPr>
      <w:hyperlink r:id="rId35" w:history="1">
        <w:r w:rsidRPr="00691AD6">
          <w:rPr>
            <w:rStyle w:val="a4"/>
            <w:rFonts w:ascii="新宋体" w:eastAsia="新宋体" w:hAnsi="新宋体"/>
            <w:szCs w:val="21"/>
          </w:rPr>
          <w:t>https://stackoverflow.com/questions/213761/what-are-some-uses-of-template-template-parameters</w:t>
        </w:r>
      </w:hyperlink>
    </w:p>
    <w:p w:rsidR="00B335B8" w:rsidRDefault="00B335B8" w:rsidP="00AA6B38">
      <w:pPr>
        <w:wordWrap w:val="0"/>
        <w:overflowPunct w:val="0"/>
        <w:jc w:val="left"/>
        <w:rPr>
          <w:rFonts w:ascii="新宋体" w:eastAsia="新宋体" w:hAnsi="新宋体"/>
          <w:szCs w:val="21"/>
        </w:rPr>
      </w:pPr>
      <w:bookmarkStart w:id="3" w:name="_GoBack"/>
      <w:bookmarkEnd w:id="3"/>
    </w:p>
    <w:p w:rsidR="00302B4D" w:rsidRPr="00302B4D" w:rsidRDefault="00302B4D" w:rsidP="00AA6B38">
      <w:pPr>
        <w:wordWrap w:val="0"/>
        <w:overflowPunct w:val="0"/>
        <w:jc w:val="left"/>
        <w:rPr>
          <w:rFonts w:ascii="新宋体" w:eastAsia="新宋体" w:hAnsi="新宋体"/>
          <w:szCs w:val="21"/>
        </w:rPr>
      </w:pPr>
    </w:p>
    <w:sectPr w:rsidR="00302B4D" w:rsidRPr="00302B4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C42" w:rsidRDefault="00EE7C42" w:rsidP="00864A40">
      <w:r>
        <w:separator/>
      </w:r>
    </w:p>
  </w:endnote>
  <w:endnote w:type="continuationSeparator" w:id="0">
    <w:p w:rsidR="00EE7C42" w:rsidRDefault="00EE7C42"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C42" w:rsidRDefault="00EE7C42" w:rsidP="00864A40">
      <w:r>
        <w:separator/>
      </w:r>
    </w:p>
  </w:footnote>
  <w:footnote w:type="continuationSeparator" w:id="0">
    <w:p w:rsidR="00EE7C42" w:rsidRDefault="00EE7C42"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20844"/>
    <w:rsid w:val="00035A4F"/>
    <w:rsid w:val="00036694"/>
    <w:rsid w:val="000376DD"/>
    <w:rsid w:val="000400B8"/>
    <w:rsid w:val="000502DC"/>
    <w:rsid w:val="00053CE4"/>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23B3"/>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0524"/>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27C4"/>
    <w:rsid w:val="002F374E"/>
    <w:rsid w:val="002F693C"/>
    <w:rsid w:val="003001A8"/>
    <w:rsid w:val="00302B4D"/>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5666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E5061"/>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3304"/>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3266"/>
    <w:rsid w:val="00A950C1"/>
    <w:rsid w:val="00AA1631"/>
    <w:rsid w:val="00AA16BC"/>
    <w:rsid w:val="00AA6B38"/>
    <w:rsid w:val="00AA7408"/>
    <w:rsid w:val="00AB2F84"/>
    <w:rsid w:val="00AB511C"/>
    <w:rsid w:val="00AB7985"/>
    <w:rsid w:val="00AC017B"/>
    <w:rsid w:val="00AC27CF"/>
    <w:rsid w:val="00AC4AB6"/>
    <w:rsid w:val="00AD03E4"/>
    <w:rsid w:val="00AD2B5D"/>
    <w:rsid w:val="00AD4904"/>
    <w:rsid w:val="00AD7804"/>
    <w:rsid w:val="00AE1536"/>
    <w:rsid w:val="00AE1997"/>
    <w:rsid w:val="00AE3A41"/>
    <w:rsid w:val="00AE4CFC"/>
    <w:rsid w:val="00AF100C"/>
    <w:rsid w:val="00B10DF4"/>
    <w:rsid w:val="00B16920"/>
    <w:rsid w:val="00B16B08"/>
    <w:rsid w:val="00B176FD"/>
    <w:rsid w:val="00B17D46"/>
    <w:rsid w:val="00B21113"/>
    <w:rsid w:val="00B2203C"/>
    <w:rsid w:val="00B229A1"/>
    <w:rsid w:val="00B235AA"/>
    <w:rsid w:val="00B24336"/>
    <w:rsid w:val="00B25B87"/>
    <w:rsid w:val="00B30C97"/>
    <w:rsid w:val="00B335B8"/>
    <w:rsid w:val="00B339B2"/>
    <w:rsid w:val="00B34181"/>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8584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E561B"/>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137D"/>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EE7C42"/>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65183021">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89863179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21" Type="http://schemas.openxmlformats.org/officeDocument/2006/relationships/hyperlink" Target="https://download.csdn.net/download/sdwhfx/9939257" TargetMode="External"/><Relationship Id="rId34" Type="http://schemas.openxmlformats.org/officeDocument/2006/relationships/hyperlink" Target="https://blogs.msdn.microsoft.com/vcblog/2017/04/18/android-and-ios-development-with-c-in-visual-studio/" TargetMode="Externa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33" Type="http://schemas.openxmlformats.org/officeDocument/2006/relationships/hyperlink" Target="https://blogs.msdn.microsoft.com/vcblog/2017/04/21/getting-started-with-visual-studio-for-c-and-cpp-development/"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hyperlink" Target="https://stackoverflow.com/questions/39718268/why-do-const-references-extend-the-lifetime-of-r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32" Type="http://schemas.openxmlformats.org/officeDocument/2006/relationships/hyperlink" Target="https://stackoverflow.com/questions/6747987/writing-an-iterator-that-makes-several-containers-look-as-on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36" Type="http://schemas.openxmlformats.org/officeDocument/2006/relationships/fontTable" Target="fontTable.xm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hyperlink" Target="https://scottmeyers.blogspot.com/2013/05/lambdas-vs-closures.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hyperlink" Target="https://stackoverflow.com/questions/1565600/how-come-a-non-const-reference-cannot-bind-to-a-temporary-object" TargetMode="External"/><Relationship Id="rId35" Type="http://schemas.openxmlformats.org/officeDocument/2006/relationships/hyperlink" Target="https://stackoverflow.com/questions/213761/what-are-some-uses-of-template-template-parameters" TargetMode="External"/><Relationship Id="rId8" Type="http://schemas.openxmlformats.org/officeDocument/2006/relationships/hyperlink" Target="http://www.cplusplus.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AF94E-8FA3-4DB9-AF7A-469D3C2B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1</Pages>
  <Words>4812</Words>
  <Characters>27431</Characters>
  <Application>Microsoft Office Word</Application>
  <DocSecurity>0</DocSecurity>
  <Lines>228</Lines>
  <Paragraphs>64</Paragraphs>
  <ScaleCrop>false</ScaleCrop>
  <Company>mycomputer</Company>
  <LinksUpToDate>false</LinksUpToDate>
  <CharactersWithSpaces>32179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105</cp:revision>
  <dcterms:created xsi:type="dcterms:W3CDTF">2017-02-02T01:35:00Z</dcterms:created>
  <dcterms:modified xsi:type="dcterms:W3CDTF">2018-12-09T00:44:00Z</dcterms:modified>
</cp:coreProperties>
</file>