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2F27C4"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2F27C4"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2F27C4"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2F27C4"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2F27C4"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2F27C4"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2F27C4"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2F27C4"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2F27C4"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2F27C4"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2F27C4"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2F27C4"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2F27C4"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2F27C4"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2F27C4"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2F27C4"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lastRenderedPageBreak/>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lastRenderedPageBreak/>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lastRenderedPageBreak/>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lastRenderedPageBreak/>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lastRenderedPageBreak/>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w:t>
                  </w:r>
                  <w:r w:rsidRPr="004F281D">
                    <w:rPr>
                      <w:rFonts w:ascii="新宋体" w:eastAsia="新宋体" w:hAnsi="新宋体"/>
                      <w:szCs w:val="21"/>
                    </w:rPr>
                    <w:lastRenderedPageBreak/>
                    <w:t>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lastRenderedPageBreak/>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lastRenderedPageBreak/>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w:t>
            </w:r>
            <w:r w:rsidRPr="004F281D">
              <w:rPr>
                <w:rFonts w:ascii="新宋体" w:eastAsia="新宋体" w:hAnsi="新宋体" w:hint="eastAsia"/>
                <w:szCs w:val="21"/>
              </w:rPr>
              <w:lastRenderedPageBreak/>
              <w:t>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lastRenderedPageBreak/>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270524" w:rsidRDefault="002F27C4" w:rsidP="00AA6B38">
      <w:pPr>
        <w:wordWrap w:val="0"/>
        <w:overflowPunct w:val="0"/>
        <w:jc w:val="left"/>
        <w:rPr>
          <w:rFonts w:ascii="新宋体" w:eastAsia="新宋体" w:hAnsi="新宋体"/>
          <w:szCs w:val="21"/>
        </w:rPr>
      </w:pPr>
      <w:hyperlink r:id="rId29" w:history="1">
        <w:r w:rsidR="00270524" w:rsidRPr="000F5E87">
          <w:rPr>
            <w:rStyle w:val="a4"/>
            <w:rFonts w:ascii="新宋体" w:eastAsia="新宋体" w:hAnsi="新宋体"/>
            <w:szCs w:val="21"/>
          </w:rPr>
          <w:t>https://stackoverflow.com/questions/39718268/why-do-const-references-extend-the-lifetime-of-rvalues</w:t>
        </w:r>
      </w:hyperlink>
    </w:p>
    <w:p w:rsidR="00270524" w:rsidRDefault="002F27C4" w:rsidP="00AA6B38">
      <w:pPr>
        <w:wordWrap w:val="0"/>
        <w:overflowPunct w:val="0"/>
        <w:jc w:val="left"/>
        <w:rPr>
          <w:rFonts w:ascii="新宋体" w:eastAsia="新宋体" w:hAnsi="新宋体"/>
          <w:szCs w:val="21"/>
        </w:rPr>
      </w:pPr>
      <w:hyperlink r:id="rId30" w:history="1">
        <w:r w:rsidR="00270524" w:rsidRPr="000F5E87">
          <w:rPr>
            <w:rStyle w:val="a4"/>
            <w:rFonts w:ascii="新宋体" w:eastAsia="新宋体" w:hAnsi="新宋体"/>
            <w:szCs w:val="21"/>
          </w:rPr>
          <w:t>https://stackoverflow.com/questions/1565600/how-come-a-non-const-reference-cannot-bind-to-a-temporary-object</w:t>
        </w:r>
      </w:hyperlink>
    </w:p>
    <w:p w:rsidR="00270524" w:rsidRDefault="002F27C4" w:rsidP="00AA6B38">
      <w:pPr>
        <w:wordWrap w:val="0"/>
        <w:overflowPunct w:val="0"/>
        <w:jc w:val="left"/>
        <w:rPr>
          <w:rFonts w:ascii="新宋体" w:eastAsia="新宋体" w:hAnsi="新宋体"/>
          <w:szCs w:val="21"/>
        </w:rPr>
      </w:pPr>
      <w:hyperlink r:id="rId31" w:history="1">
        <w:r w:rsidR="00270524" w:rsidRPr="000F5E87">
          <w:rPr>
            <w:rStyle w:val="a4"/>
            <w:rFonts w:ascii="新宋体" w:eastAsia="新宋体" w:hAnsi="新宋体"/>
            <w:szCs w:val="21"/>
          </w:rPr>
          <w:t>https://blogs.msdn.microsoft.com/vcblog/2009/02/03/rvalue-references-c0x-features-in-vc10-part-2/</w:t>
        </w:r>
      </w:hyperlink>
      <w:r w:rsidR="00053CE4">
        <w:rPr>
          <w:rFonts w:ascii="新宋体" w:eastAsia="新宋体" w:hAnsi="新宋体" w:hint="eastAsia"/>
          <w:szCs w:val="21"/>
        </w:rPr>
        <w:t>（</w:t>
      </w:r>
      <w:hyperlink r:id="rId32" w:history="1">
        <w:r w:rsidR="00053CE4" w:rsidRPr="00775BB5">
          <w:rPr>
            <w:rStyle w:val="a4"/>
            <w:rFonts w:ascii="新宋体" w:eastAsia="新宋体" w:hAnsi="新宋体"/>
            <w:szCs w:val="21"/>
          </w:rPr>
          <w:t>https://www.ptt.cc/man/C_and_CPP/DD8B/M.1470851378.A.1B1.html</w:t>
        </w:r>
      </w:hyperlink>
      <w:r w:rsidR="00053CE4">
        <w:rPr>
          <w:rFonts w:ascii="新宋体" w:eastAsia="新宋体" w:hAnsi="新宋体" w:hint="eastAsia"/>
          <w:szCs w:val="21"/>
        </w:rPr>
        <w:t>、</w:t>
      </w:r>
      <w:hyperlink r:id="rId33" w:history="1">
        <w:r w:rsidR="00053CE4" w:rsidRPr="00775BB5">
          <w:rPr>
            <w:rStyle w:val="a4"/>
            <w:rFonts w:ascii="新宋体" w:eastAsia="新宋体" w:hAnsi="新宋体"/>
            <w:szCs w:val="21"/>
          </w:rPr>
          <w:t>http://peter.xiau.googlepages.com/rvalue_ch.pdf</w:t>
        </w:r>
      </w:hyperlink>
      <w:r w:rsidR="00053CE4">
        <w:rPr>
          <w:rFonts w:ascii="新宋体" w:eastAsia="新宋体" w:hAnsi="新宋体"/>
          <w:szCs w:val="21"/>
        </w:rPr>
        <w:t>）</w:t>
      </w:r>
    </w:p>
    <w:p w:rsidR="00053CE4" w:rsidRPr="00053CE4" w:rsidRDefault="00053CE4" w:rsidP="00AA6B38">
      <w:pPr>
        <w:wordWrap w:val="0"/>
        <w:overflowPunct w:val="0"/>
        <w:jc w:val="left"/>
        <w:rPr>
          <w:rFonts w:ascii="新宋体" w:eastAsia="新宋体" w:hAnsi="新宋体"/>
          <w:szCs w:val="21"/>
        </w:rPr>
      </w:pPr>
    </w:p>
    <w:p w:rsidR="00053CE4" w:rsidRDefault="002F27C4" w:rsidP="00053CE4">
      <w:pPr>
        <w:wordWrap w:val="0"/>
        <w:overflowPunct w:val="0"/>
        <w:jc w:val="left"/>
        <w:rPr>
          <w:rFonts w:ascii="新宋体" w:eastAsia="新宋体" w:hAnsi="新宋体"/>
          <w:szCs w:val="21"/>
        </w:rPr>
      </w:pPr>
      <w:hyperlink r:id="rId34" w:history="1">
        <w:r w:rsidR="00053CE4" w:rsidRPr="007D64F8">
          <w:rPr>
            <w:rStyle w:val="a4"/>
            <w:rFonts w:ascii="新宋体" w:eastAsia="新宋体" w:hAnsi="新宋体"/>
            <w:szCs w:val="21"/>
          </w:rPr>
          <w:t>https://scottmeyers.blogspot.com/2013/05/lambdas-vs-closures.html</w:t>
        </w:r>
      </w:hyperlink>
    </w:p>
    <w:p w:rsidR="00346627" w:rsidRDefault="00346627" w:rsidP="00AA6B38">
      <w:pPr>
        <w:wordWrap w:val="0"/>
        <w:overflowPunct w:val="0"/>
        <w:jc w:val="left"/>
        <w:rPr>
          <w:rFonts w:ascii="新宋体" w:eastAsia="新宋体" w:hAnsi="新宋体"/>
          <w:szCs w:val="21"/>
        </w:rPr>
      </w:pPr>
    </w:p>
    <w:p w:rsidR="00053CE4" w:rsidRPr="00053CE4" w:rsidRDefault="002F27C4" w:rsidP="00AA6B38">
      <w:pPr>
        <w:wordWrap w:val="0"/>
        <w:overflowPunct w:val="0"/>
        <w:jc w:val="left"/>
        <w:rPr>
          <w:rFonts w:ascii="新宋体" w:eastAsia="新宋体" w:hAnsi="新宋体"/>
          <w:szCs w:val="21"/>
        </w:rPr>
      </w:pPr>
      <w:hyperlink r:id="rId35" w:history="1">
        <w:r w:rsidR="00053CE4" w:rsidRPr="00775BB5">
          <w:rPr>
            <w:rStyle w:val="a4"/>
            <w:rFonts w:ascii="新宋体" w:eastAsia="新宋体" w:hAnsi="新宋体"/>
            <w:szCs w:val="21"/>
          </w:rPr>
          <w:t>http://thbecker.net/articles/rvalue_references/section_01.html</w:t>
        </w:r>
      </w:hyperlink>
    </w:p>
    <w:p w:rsidR="00AE1536" w:rsidRDefault="002F27C4" w:rsidP="00AA6B38">
      <w:pPr>
        <w:wordWrap w:val="0"/>
        <w:overflowPunct w:val="0"/>
        <w:jc w:val="left"/>
        <w:rPr>
          <w:rFonts w:ascii="新宋体" w:eastAsia="新宋体" w:hAnsi="新宋体"/>
          <w:szCs w:val="21"/>
        </w:rPr>
      </w:pPr>
      <w:hyperlink r:id="rId36" w:history="1">
        <w:r w:rsidR="00AE1536" w:rsidRPr="000F5E87">
          <w:rPr>
            <w:rStyle w:val="a4"/>
            <w:rFonts w:ascii="新宋体" w:eastAsia="新宋体" w:hAnsi="新宋体"/>
            <w:szCs w:val="21"/>
          </w:rPr>
          <w:t>https://scottmeyers.blogspot.com/2012/11/universal-references-in-c11-now-online.html</w:t>
        </w:r>
      </w:hyperlink>
      <w:r w:rsidR="00053CE4">
        <w:rPr>
          <w:rFonts w:ascii="新宋体" w:eastAsia="新宋体" w:hAnsi="新宋体" w:hint="eastAsia"/>
          <w:szCs w:val="21"/>
        </w:rPr>
        <w:t>（</w:t>
      </w:r>
      <w:hyperlink r:id="rId37" w:history="1">
        <w:r w:rsidR="00053CE4" w:rsidRPr="00775BB5">
          <w:rPr>
            <w:rStyle w:val="a4"/>
            <w:rFonts w:ascii="新宋体" w:eastAsia="新宋体" w:hAnsi="新宋体"/>
            <w:szCs w:val="21"/>
          </w:rPr>
          <w:t>https://accu.org/var/uploads/journals/Overload111.pdf</w:t>
        </w:r>
      </w:hyperlink>
      <w:r w:rsidR="00053CE4">
        <w:rPr>
          <w:rFonts w:ascii="新宋体" w:eastAsia="新宋体" w:hAnsi="新宋体" w:hint="eastAsia"/>
          <w:szCs w:val="21"/>
        </w:rPr>
        <w:t>、</w:t>
      </w:r>
      <w:hyperlink r:id="rId38" w:history="1">
        <w:r w:rsidR="00053CE4" w:rsidRPr="00775BB5">
          <w:rPr>
            <w:rStyle w:val="a4"/>
            <w:rFonts w:ascii="新宋体" w:eastAsia="新宋体" w:hAnsi="新宋体"/>
            <w:szCs w:val="21"/>
          </w:rPr>
          <w:t>https://channel9.msdn.com/Shows/Going+Deep/Cpp-and-Beyond-2012-Scott-Meyers-Universal-References-in-Cpp11</w:t>
        </w:r>
      </w:hyperlink>
      <w:r w:rsidR="00053CE4">
        <w:rPr>
          <w:rFonts w:ascii="新宋体" w:eastAsia="新宋体" w:hAnsi="新宋体"/>
          <w:szCs w:val="21"/>
        </w:rPr>
        <w:t>、</w:t>
      </w:r>
      <w:hyperlink r:id="rId39" w:history="1">
        <w:r w:rsidR="00053CE4" w:rsidRPr="00775BB5">
          <w:rPr>
            <w:rStyle w:val="a4"/>
            <w:rFonts w:ascii="新宋体" w:eastAsia="新宋体" w:hAnsi="新宋体"/>
            <w:szCs w:val="21"/>
          </w:rPr>
          <w:t>https://isocpp.org/blog/2012/11/universal-references-in-c11-scott-meyers</w:t>
        </w:r>
      </w:hyperlink>
      <w:r w:rsidR="00053CE4">
        <w:rPr>
          <w:rFonts w:ascii="新宋体" w:eastAsia="新宋体" w:hAnsi="新宋体" w:hint="eastAsia"/>
          <w:szCs w:val="21"/>
        </w:rPr>
        <w:t>）</w:t>
      </w:r>
    </w:p>
    <w:p w:rsidR="00053CE4" w:rsidRDefault="00053CE4" w:rsidP="00AA6B38">
      <w:pPr>
        <w:wordWrap w:val="0"/>
        <w:overflowPunct w:val="0"/>
        <w:jc w:val="left"/>
        <w:rPr>
          <w:rFonts w:ascii="新宋体" w:eastAsia="新宋体" w:hAnsi="新宋体"/>
          <w:szCs w:val="21"/>
        </w:rPr>
      </w:pPr>
    </w:p>
    <w:p w:rsidR="00053CE4" w:rsidRDefault="00053CE4" w:rsidP="00AA6B38">
      <w:pPr>
        <w:wordWrap w:val="0"/>
        <w:overflowPunct w:val="0"/>
        <w:jc w:val="left"/>
        <w:rPr>
          <w:rFonts w:ascii="新宋体" w:eastAsia="新宋体" w:hAnsi="新宋体"/>
          <w:szCs w:val="21"/>
        </w:rPr>
      </w:pPr>
    </w:p>
    <w:p w:rsidR="00053CE4" w:rsidRDefault="002F27C4" w:rsidP="00AA6B38">
      <w:pPr>
        <w:wordWrap w:val="0"/>
        <w:overflowPunct w:val="0"/>
        <w:jc w:val="left"/>
        <w:rPr>
          <w:rFonts w:ascii="新宋体" w:eastAsia="新宋体" w:hAnsi="新宋体"/>
          <w:szCs w:val="21"/>
        </w:rPr>
      </w:pPr>
      <w:hyperlink r:id="rId40" w:history="1">
        <w:r w:rsidR="00DE137D" w:rsidRPr="008F16D6">
          <w:rPr>
            <w:rStyle w:val="a4"/>
            <w:rFonts w:ascii="新宋体" w:eastAsia="新宋体" w:hAnsi="新宋体"/>
            <w:szCs w:val="21"/>
          </w:rPr>
          <w:t>https://akrzemi1.wordpress.com/2014/06/02/ref-qualifiers/</w:t>
        </w:r>
      </w:hyperlink>
    </w:p>
    <w:p w:rsidR="00DE137D" w:rsidRDefault="002F27C4" w:rsidP="00AA6B38">
      <w:pPr>
        <w:wordWrap w:val="0"/>
        <w:overflowPunct w:val="0"/>
        <w:jc w:val="left"/>
        <w:rPr>
          <w:rFonts w:ascii="新宋体" w:eastAsia="新宋体" w:hAnsi="新宋体"/>
          <w:szCs w:val="21"/>
        </w:rPr>
      </w:pPr>
      <w:hyperlink r:id="rId41" w:history="1">
        <w:r w:rsidR="00DE137D" w:rsidRPr="008F16D6">
          <w:rPr>
            <w:rStyle w:val="a4"/>
            <w:rFonts w:ascii="新宋体" w:eastAsia="新宋体" w:hAnsi="新宋体"/>
            <w:szCs w:val="21"/>
          </w:rPr>
          <w:t>http://blog.bitwigglers.org/introducing-ref-qualifiers-for-member-functions/</w:t>
        </w:r>
      </w:hyperlink>
    </w:p>
    <w:p w:rsidR="00DE137D" w:rsidRDefault="00DE137D" w:rsidP="00AA6B38">
      <w:pPr>
        <w:wordWrap w:val="0"/>
        <w:overflowPunct w:val="0"/>
        <w:jc w:val="left"/>
        <w:rPr>
          <w:rFonts w:ascii="新宋体" w:eastAsia="新宋体" w:hAnsi="新宋体"/>
          <w:szCs w:val="21"/>
        </w:rPr>
      </w:pPr>
    </w:p>
    <w:p w:rsidR="005175C7" w:rsidRDefault="002F27C4" w:rsidP="00AA6B38">
      <w:pPr>
        <w:wordWrap w:val="0"/>
        <w:overflowPunct w:val="0"/>
        <w:jc w:val="left"/>
        <w:rPr>
          <w:rFonts w:ascii="新宋体" w:eastAsia="新宋体" w:hAnsi="新宋体"/>
          <w:szCs w:val="21"/>
        </w:rPr>
      </w:pPr>
      <w:hyperlink r:id="rId42" w:history="1">
        <w:r w:rsidR="00456660" w:rsidRPr="00517915">
          <w:rPr>
            <w:rStyle w:val="a4"/>
            <w:rFonts w:ascii="新宋体" w:eastAsia="新宋体" w:hAnsi="新宋体"/>
            <w:szCs w:val="21"/>
          </w:rPr>
          <w:t>https://stackoverflow.com/questions/6747987/writing-an-iterator-that-makes-several-containers-look-as-one</w:t>
        </w:r>
      </w:hyperlink>
    </w:p>
    <w:p w:rsidR="00456660" w:rsidRDefault="00456660" w:rsidP="00AA6B38">
      <w:pPr>
        <w:wordWrap w:val="0"/>
        <w:overflowPunct w:val="0"/>
        <w:jc w:val="left"/>
        <w:rPr>
          <w:rFonts w:ascii="新宋体" w:eastAsia="新宋体" w:hAnsi="新宋体"/>
          <w:szCs w:val="21"/>
        </w:rPr>
      </w:pPr>
    </w:p>
    <w:p w:rsidR="00053CE4" w:rsidRDefault="00053CE4"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12156"/>
      </w:tblGrid>
      <w:tr w:rsidR="00963304" w:rsidTr="00963304">
        <w:tc>
          <w:tcPr>
            <w:tcW w:w="12156" w:type="dxa"/>
          </w:tcPr>
          <w:p w:rsidR="00963304" w:rsidRDefault="00963304" w:rsidP="00AA6B38">
            <w:pPr>
              <w:wordWrap w:val="0"/>
              <w:overflowPunct w:val="0"/>
              <w:jc w:val="left"/>
              <w:rPr>
                <w:rFonts w:ascii="新宋体" w:eastAsia="新宋体" w:hAnsi="新宋体"/>
                <w:szCs w:val="21"/>
              </w:rPr>
            </w:pPr>
            <w:hyperlink r:id="rId43" w:history="1">
              <w:r w:rsidRPr="00FE3635">
                <w:rPr>
                  <w:rStyle w:val="a4"/>
                  <w:rFonts w:ascii="新宋体" w:eastAsia="新宋体" w:hAnsi="新宋体"/>
                  <w:szCs w:val="21"/>
                </w:rPr>
                <w:t>https://blogs.msdn.microsoft.com/vcblog/2017/04/21/getting-started-with-visual-studio-for-c-and-cpp-development/</w:t>
              </w:r>
            </w:hyperlink>
          </w:p>
          <w:p w:rsidR="00963304" w:rsidRDefault="00963304" w:rsidP="00963304">
            <w:pPr>
              <w:wordWrap w:val="0"/>
              <w:overflowPunct w:val="0"/>
              <w:jc w:val="left"/>
              <w:rPr>
                <w:rFonts w:ascii="新宋体" w:eastAsia="新宋体" w:hAnsi="新宋体"/>
                <w:szCs w:val="21"/>
              </w:rPr>
            </w:pPr>
            <w:hyperlink r:id="rId44" w:history="1">
              <w:r w:rsidRPr="00FE3635">
                <w:rPr>
                  <w:rStyle w:val="a4"/>
                  <w:rFonts w:ascii="新宋体" w:eastAsia="新宋体" w:hAnsi="新宋体"/>
                  <w:szCs w:val="21"/>
                </w:rPr>
                <w:t>https://blogs.msdn.microsoft.com/vcblog/2017/04/18/android-and-ios-development-with-c-in-visual-studio/</w:t>
              </w:r>
            </w:hyperlink>
            <w:bookmarkStart w:id="3" w:name="_GoBack"/>
            <w:bookmarkEnd w:id="3"/>
          </w:p>
        </w:tc>
      </w:tr>
    </w:tbl>
    <w:p w:rsidR="00963304" w:rsidRDefault="00963304" w:rsidP="00AA6B38">
      <w:pPr>
        <w:wordWrap w:val="0"/>
        <w:overflowPunct w:val="0"/>
        <w:jc w:val="left"/>
        <w:rPr>
          <w:rFonts w:ascii="新宋体" w:eastAsia="新宋体" w:hAnsi="新宋体"/>
          <w:szCs w:val="21"/>
        </w:rPr>
      </w:pPr>
    </w:p>
    <w:p w:rsidR="00963304" w:rsidRPr="00963304" w:rsidRDefault="00963304" w:rsidP="00AA6B38">
      <w:pPr>
        <w:wordWrap w:val="0"/>
        <w:overflowPunct w:val="0"/>
        <w:jc w:val="left"/>
        <w:rPr>
          <w:rFonts w:ascii="新宋体" w:eastAsia="新宋体" w:hAnsi="新宋体" w:hint="eastAsia"/>
          <w:szCs w:val="21"/>
        </w:rPr>
      </w:pPr>
    </w:p>
    <w:sectPr w:rsidR="00963304" w:rsidRPr="00963304"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7C4" w:rsidRDefault="002F27C4" w:rsidP="00864A40">
      <w:r>
        <w:separator/>
      </w:r>
    </w:p>
  </w:endnote>
  <w:endnote w:type="continuationSeparator" w:id="0">
    <w:p w:rsidR="002F27C4" w:rsidRDefault="002F27C4"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7C4" w:rsidRDefault="002F27C4" w:rsidP="00864A40">
      <w:r>
        <w:separator/>
      </w:r>
    </w:p>
  </w:footnote>
  <w:footnote w:type="continuationSeparator" w:id="0">
    <w:p w:rsidR="002F27C4" w:rsidRDefault="002F27C4"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3CE4"/>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23B3"/>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0524"/>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27C4"/>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5666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3304"/>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3266"/>
    <w:rsid w:val="00A950C1"/>
    <w:rsid w:val="00AA1631"/>
    <w:rsid w:val="00AA16BC"/>
    <w:rsid w:val="00AA6B38"/>
    <w:rsid w:val="00AA7408"/>
    <w:rsid w:val="00AB2F84"/>
    <w:rsid w:val="00AB511C"/>
    <w:rsid w:val="00AB7985"/>
    <w:rsid w:val="00AC017B"/>
    <w:rsid w:val="00AC27CF"/>
    <w:rsid w:val="00AC4AB6"/>
    <w:rsid w:val="00AD03E4"/>
    <w:rsid w:val="00AD2B5D"/>
    <w:rsid w:val="00AD4904"/>
    <w:rsid w:val="00AD7804"/>
    <w:rsid w:val="00AE1536"/>
    <w:rsid w:val="00AE1997"/>
    <w:rsid w:val="00AE3A41"/>
    <w:rsid w:val="00AE4CFC"/>
    <w:rsid w:val="00AF100C"/>
    <w:rsid w:val="00B10DF4"/>
    <w:rsid w:val="00B16920"/>
    <w:rsid w:val="00B16B08"/>
    <w:rsid w:val="00B176FD"/>
    <w:rsid w:val="00B17D46"/>
    <w:rsid w:val="00B21113"/>
    <w:rsid w:val="00B2203C"/>
    <w:rsid w:val="00B229A1"/>
    <w:rsid w:val="00B24336"/>
    <w:rsid w:val="00B25B87"/>
    <w:rsid w:val="00B30C97"/>
    <w:rsid w:val="00B339B2"/>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E561B"/>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137D"/>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9" Type="http://schemas.openxmlformats.org/officeDocument/2006/relationships/hyperlink" Target="https://isocpp.org/blog/2012/11/universal-references-in-c11-scott-meyers" TargetMode="External"/><Relationship Id="rId21" Type="http://schemas.openxmlformats.org/officeDocument/2006/relationships/hyperlink" Target="https://download.csdn.net/download/sdwhfx/9939257" TargetMode="External"/><Relationship Id="rId34" Type="http://schemas.openxmlformats.org/officeDocument/2006/relationships/hyperlink" Target="https://scottmeyers.blogspot.com/2013/05/lambdas-vs-closures.html" TargetMode="External"/><Relationship Id="rId42" Type="http://schemas.openxmlformats.org/officeDocument/2006/relationships/hyperlink" Target="https://stackoverflow.com/questions/6747987/writing-an-iterator-that-makes-several-containers-look-as-o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9" Type="http://schemas.openxmlformats.org/officeDocument/2006/relationships/hyperlink" Target="https://stackoverflow.com/questions/39718268/why-do-const-references-extend-the-lifetime-of-r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32" Type="http://schemas.openxmlformats.org/officeDocument/2006/relationships/hyperlink" Target="https://www.ptt.cc/man/C_and_CPP/DD8B/M.1470851378.A.1B1.html" TargetMode="External"/><Relationship Id="rId37" Type="http://schemas.openxmlformats.org/officeDocument/2006/relationships/hyperlink" Target="https://accu.org/var/uploads/journals/Overload111.pdf" TargetMode="External"/><Relationship Id="rId40" Type="http://schemas.openxmlformats.org/officeDocument/2006/relationships/hyperlink" Target="https://akrzemi1.wordpress.com/2014/06/02/ref-qualifier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36" Type="http://schemas.openxmlformats.org/officeDocument/2006/relationships/hyperlink" Target="https://scottmeyers.blogspot.com/2012/11/universal-references-in-c11-now-online.html" TargetMode="Externa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hyperlink" Target="https://blogs.msdn.microsoft.com/vcblog/2009/02/03/rvalue-references-c0x-features-in-vc10-part-2/" TargetMode="External"/><Relationship Id="rId44" Type="http://schemas.openxmlformats.org/officeDocument/2006/relationships/hyperlink" Target="https://blogs.msdn.microsoft.com/vcblog/2017/04/18/android-and-ios-development-with-c-in-visual-studio/"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hyperlink" Target="https://stackoverflow.com/questions/1565600/how-come-a-non-const-reference-cannot-bind-to-a-temporary-object" TargetMode="External"/><Relationship Id="rId35" Type="http://schemas.openxmlformats.org/officeDocument/2006/relationships/hyperlink" Target="http://thbecker.net/articles/rvalue_references/section_01.html" TargetMode="External"/><Relationship Id="rId43" Type="http://schemas.openxmlformats.org/officeDocument/2006/relationships/hyperlink" Target="https://blogs.msdn.microsoft.com/vcblog/2017/04/21/getting-started-with-visual-studio-for-c-and-cpp-development/" TargetMode="External"/><Relationship Id="rId8" Type="http://schemas.openxmlformats.org/officeDocument/2006/relationships/hyperlink" Target="http://www.cplusplus.com/"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33" Type="http://schemas.openxmlformats.org/officeDocument/2006/relationships/hyperlink" Target="http://peter.xiau.googlepages.com/rvalue_ch.pdf" TargetMode="External"/><Relationship Id="rId38" Type="http://schemas.openxmlformats.org/officeDocument/2006/relationships/hyperlink" Target="https://channel9.msdn.com/Shows/Going+Deep/Cpp-and-Beyond-2012-Scott-Meyers-Universal-References-in-Cpp11" TargetMode="External"/><Relationship Id="rId46" Type="http://schemas.openxmlformats.org/officeDocument/2006/relationships/theme" Target="theme/theme1.xml"/><Relationship Id="rId20" Type="http://schemas.openxmlformats.org/officeDocument/2006/relationships/hyperlink" Target="http://download.csdn.net/download/sirenxiaohuayuan/9410281" TargetMode="External"/><Relationship Id="rId41" Type="http://schemas.openxmlformats.org/officeDocument/2006/relationships/hyperlink" Target="http://blog.bitwigglers.org/introducing-ref-qualifiers-for-member-fun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D9C6E-D9E9-4393-9E1A-69B3359C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49</Pages>
  <Words>4966</Words>
  <Characters>28308</Characters>
  <Application>Microsoft Office Word</Application>
  <DocSecurity>0</DocSecurity>
  <Lines>235</Lines>
  <Paragraphs>66</Paragraphs>
  <ScaleCrop>false</ScaleCrop>
  <Company>mycomputer</Company>
  <LinksUpToDate>false</LinksUpToDate>
  <CharactersWithSpaces>33208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99</cp:revision>
  <dcterms:created xsi:type="dcterms:W3CDTF">2017-02-02T01:35:00Z</dcterms:created>
  <dcterms:modified xsi:type="dcterms:W3CDTF">2018-10-02T02:36:00Z</dcterms:modified>
</cp:coreProperties>
</file>