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846666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27" w:name="OLE_LINK42"/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  <w:bookmarkEnd w:id="27"/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8" w:name="OLE_LINK38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8"/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28"/>
            <w:bookmarkStart w:id="30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9"/>
            <w:bookmarkEnd w:id="30"/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1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31"/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 xml:space="preserve">so declared) and it overrides 112 Base::vf. For convenience we say that any virtual function overrides itself.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2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2"/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3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3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lastRenderedPageBreak/>
              <w:t>11 Member access control</w:t>
            </w:r>
          </w:p>
        </w:tc>
        <w:tc>
          <w:tcPr>
            <w:tcW w:w="2126" w:type="dxa"/>
          </w:tcPr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private</w:t>
            </w:r>
          </w:p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public</w:t>
            </w:r>
          </w:p>
        </w:tc>
        <w:tc>
          <w:tcPr>
            <w:tcW w:w="11907" w:type="dxa"/>
          </w:tcPr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A member of a class can be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private; that is, its name can be used only by members and friends of the class in which it is declared.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protected; that is, its name can be used only by members and friends of the class in which it is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declared, by classes derived from that class, and by their friends (see 11.4).</w:t>
            </w:r>
          </w:p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public; that is, its name can be used anywhere without access restriction.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4" w:name="OLE_LINK33"/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  <w:bookmarkEnd w:id="34"/>
          </w:p>
        </w:tc>
        <w:tc>
          <w:tcPr>
            <w:tcW w:w="2126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 base class B of N is accessible at R, if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an invented public member of B would be a public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class N, and an invented public member of B would be a private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protected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a class P derived from N, and an invented public member of B would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be a private or protected member of P,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there exists a class S such that B is a base class of S accessible at R and S is a base class of N accessible</w:t>
            </w:r>
          </w:p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at 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member m is accessible at the point R when named in class N if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public,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private, and R occurs in a member or friend of class N,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protected, and R occurs in a member or friend of class N, or in a member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of a class P derived from N, where m as a member of P is public, private, or protected, or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there exists a base class B of N that is accessible at R, and m is accessible at R when named in class B.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5" w:name="OLE_LINK34"/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  <w:bookmarkEnd w:id="35"/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of a class is a function or class that is given permission to use the private and protected member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names from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declaration that does not declare a function shall have one of the following forms: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elaborated-type-specifier ;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simple-type-specifier ;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lastRenderedPageBreak/>
              <w:t>friend typename-specifier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6" w:name="OLE_LINK36"/>
            <w:r w:rsidRPr="00165F8C">
              <w:rPr>
                <w:rFonts w:ascii="新宋体" w:eastAsia="新宋体" w:hAnsi="新宋体"/>
                <w:szCs w:val="21"/>
              </w:rPr>
              <w:lastRenderedPageBreak/>
              <w:t>12 Special member functions</w:t>
            </w:r>
            <w:bookmarkEnd w:id="36"/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The default constructor (12.1), copy constructor and copy assignment operator (12.8), move constructor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 xml:space="preserve">and move assignment operator (12.8), and destructor (12.4) are </w:t>
            </w:r>
            <w:bookmarkStart w:id="37" w:name="OLE_LINK35"/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  <w:bookmarkEnd w:id="37"/>
            <w:r w:rsidRPr="00165F8C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12 Special member functions</w:t>
            </w:r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potentially constructed subobject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For a class, its non-static data members, its non-virtual direct base classes, and, if the class is not ab-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stract (10.4), its virtual base classes are called its potentially constructed subobjects.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declaration of a constructor uses a function declarator (8.3.5) of the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form</w:t>
            </w:r>
          </w:p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default constructor</w:t>
            </w:r>
          </w:p>
        </w:tc>
        <w:tc>
          <w:tcPr>
            <w:tcW w:w="11907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for a class X is a constructor of class X that can be called without an 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8" w:name="OLE_LINK37"/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End w:id="38"/>
          </w:p>
        </w:tc>
        <w:tc>
          <w:tcPr>
            <w:tcW w:w="2126" w:type="dxa"/>
          </w:tcPr>
          <w:p w:rsidR="00F343FF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trivial</w:t>
            </w:r>
          </w:p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is trivial if it is not user-provided and if: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its class has no virtual functions (10.3) and no virtual base classes (10.1),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no non-static data member of its class has a brace-or-equal-initializer,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all the direct base classes of its class have trivial default constructors,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for all the non-static data members of its class that are of class type (or array thereof), each such class</w:t>
            </w:r>
          </w:p>
          <w:p w:rsidR="00C82A77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has a trivial default constructor.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Otherwise, the default constructor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AA662C" w:rsidRP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A default constructor that is defaulted and not defined as deleted is implicitly defined when it is odr-</w:t>
            </w:r>
          </w:p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used (3.2) to create an object of its class type (1.8)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unnamed</w:t>
            </w:r>
          </w:p>
        </w:tc>
        <w:tc>
          <w:tcPr>
            <w:tcW w:w="11907" w:type="dxa"/>
          </w:tcPr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 functional notation type conversion (5.2.3) can be used to create new objects of its type. [Note: The</w:t>
            </w:r>
          </w:p>
          <w:p w:rsidR="00C82A77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syntax looks like an explicit call of the constructor. —end note ]</w:t>
            </w:r>
          </w:p>
          <w:p w:rsid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An object created in this way is unnamed. [Note: 12.2 describes the lifetime of temporary objects. —end</w:t>
            </w:r>
          </w:p>
          <w:p w:rsidR="00E22E09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note ] [Note: Explicit constructor calls do not yield lvalues, see 3.10.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12.3 Conversion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user-defined conve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rsion</w:t>
            </w:r>
          </w:p>
        </w:tc>
        <w:tc>
          <w:tcPr>
            <w:tcW w:w="11907" w:type="dxa"/>
          </w:tcPr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Type conversions of class objects can be specified by constructors and by conversion functions. These</w:t>
            </w:r>
          </w:p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conversions are called user-defined conversions and are used for implicit type conversions (Clause 4), for</w:t>
            </w:r>
          </w:p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initialization (8.5), and for explicit type conversions (5.4, 5.2.9).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lastRenderedPageBreak/>
              <w:t>12.3.1 Conversion by constructor</w:t>
            </w:r>
          </w:p>
        </w:tc>
        <w:tc>
          <w:tcPr>
            <w:tcW w:w="2126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converting constructor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constructor declared without the function-specifier explicit specifies a conversion from the types of its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parameters to the type of its class. Such a constructor is called a converting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12.3.2 Conversion functions</w:t>
            </w:r>
          </w:p>
        </w:tc>
        <w:tc>
          <w:tcPr>
            <w:tcW w:w="2126" w:type="dxa"/>
          </w:tcPr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conversion-function-id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conversion-type-id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conversion-declarator</w:t>
            </w:r>
          </w:p>
          <w:p w:rsidR="00846666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member function of a class X having no parameters with a name of the form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conversion-function-id: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operator conversion-type-id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conversion-type-id: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type-spec</w:t>
            </w:r>
            <w:r>
              <w:rPr>
                <w:rFonts w:ascii="新宋体" w:eastAsia="新宋体" w:hAnsi="新宋体"/>
                <w:szCs w:val="21"/>
              </w:rPr>
              <w:t>ifier-seq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conversion-declarator: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9" w:name="OLE_LINK41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39"/>
            <w:r w:rsidRPr="00846666">
              <w:rPr>
                <w:rFonts w:ascii="新宋体" w:eastAsia="新宋体" w:hAnsi="新宋体"/>
                <w:szCs w:val="21"/>
              </w:rPr>
              <w:t>ptr</w:t>
            </w:r>
            <w:r>
              <w:rPr>
                <w:rFonts w:ascii="新宋体" w:eastAsia="新宋体" w:hAnsi="新宋体"/>
                <w:szCs w:val="21"/>
              </w:rPr>
              <w:t>-operator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specifies a conversion from X to the type specified by the conversion-type-id. Such functions are called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0" w:name="OLE_LINK39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0"/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declaration of a destructor uses a function declarator (8.3.5) of the form</w:t>
            </w:r>
          </w:p>
          <w:p w:rsidR="00C82A77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trivial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destructor is trivial if it is not user-provided and if: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the destructor is not virtual,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all of the direct base classes of its class have trivial destructors, and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for all of the non-static data members of its class that are of class type (or array thereof), each such</w:t>
            </w:r>
          </w:p>
          <w:p w:rsidR="00C82A77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class has a trivial destructor.</w:t>
            </w:r>
          </w:p>
          <w:p w:rsidR="00F343FF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Otherwise, the destructor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1" w:name="OLE_LINK40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1"/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F41942" w:rsidRPr="00F41942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that is defaulted and not defined as deleted is implicitly defined when it is odr-used (3.2) to</w:t>
            </w:r>
          </w:p>
          <w:p w:rsidR="00C82A77" w:rsidRPr="001852D3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destroy an object of its class type (3.7)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potentially invoked</w:t>
            </w:r>
          </w:p>
        </w:tc>
        <w:tc>
          <w:tcPr>
            <w:tcW w:w="11907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is potentially invoked if it is invoked or as specified in 5.3.4 and 12.6.2.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lastRenderedPageBreak/>
              <w:t>12.6.2 Initializing bases and members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ctor-initializer: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: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mem-initializer-list: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,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 xml:space="preserve">mem-initializer-id </w:t>
            </w:r>
            <w:r>
              <w:rPr>
                <w:rFonts w:ascii="新宋体" w:eastAsia="新宋体" w:hAnsi="新宋体"/>
                <w:szCs w:val="21"/>
              </w:rPr>
              <w:t>( expression-list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mem-initializer-id braced-init-list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mem-initializer-id: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C82A77" w:rsidRPr="001852D3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identifier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delegating constructor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If a mem-initializer-id designates the constructor’s class,</w:t>
            </w:r>
          </w:p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it shall be the only mem-initializer ; the constructor is a delegating constructor, and the constructor selected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 xml:space="preserve">by the mem-initializer is the </w:t>
            </w:r>
            <w:bookmarkStart w:id="42" w:name="OLE_LINK43"/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  <w:bookmarkEnd w:id="42"/>
            <w:r w:rsidRPr="002C63BE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3" w:name="OLE_LINK44"/>
            <w:r w:rsidRPr="002C63BE">
              <w:rPr>
                <w:rFonts w:ascii="新宋体" w:eastAsia="新宋体" w:hAnsi="新宋体"/>
                <w:szCs w:val="21"/>
              </w:rPr>
              <w:t>principal constructor</w:t>
            </w:r>
            <w:bookmarkEnd w:id="43"/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The principal constructor is the first constructor invoked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in the construction of an object (that is, not a target constructor for that object’s construction).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995118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polymorphic behavior</w:t>
            </w:r>
          </w:p>
        </w:tc>
        <w:tc>
          <w:tcPr>
            <w:tcW w:w="11907" w:type="dxa"/>
          </w:tcPr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[Note: 12.7 describes the result of virtual function calls, typeid and dynamic_casts during construction for</w:t>
            </w:r>
          </w:p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the well-defined cases; that is, describes the polymorphic behavior of an object under construction. —end</w:t>
            </w:r>
          </w:p>
          <w:p w:rsidR="002C63BE" w:rsidRPr="001852D3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4" w:name="OLE_LINK45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4"/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If the class definition does not explicitly declare a copy constructor,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5" w:name="OLE_LINK46"/>
            <w:r w:rsidRPr="003E5B89">
              <w:rPr>
                <w:rFonts w:ascii="新宋体" w:eastAsia="新宋体" w:hAnsi="新宋体"/>
                <w:szCs w:val="21"/>
              </w:rPr>
              <w:t xml:space="preserve">12.8 Copying and moving class </w:t>
            </w:r>
            <w:r w:rsidRPr="003E5B89">
              <w:rPr>
                <w:rFonts w:ascii="新宋体" w:eastAsia="新宋体" w:hAnsi="新宋体"/>
                <w:szCs w:val="21"/>
              </w:rPr>
              <w:lastRenderedPageBreak/>
              <w:t>objects</w:t>
            </w:r>
            <w:bookmarkEnd w:id="45"/>
          </w:p>
        </w:tc>
        <w:tc>
          <w:tcPr>
            <w:tcW w:w="2126" w:type="dxa"/>
          </w:tcPr>
          <w:p w:rsidR="002C63BE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trivial</w:t>
            </w:r>
          </w:p>
          <w:p w:rsidR="003E5B89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for class X is trivial if it is not user-provided, its parameter-type-list is equivalent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to the parameter-type-list of an implicit declaration, and if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virtual functions (10.3) and no virtual base classes (10.1),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non-static data members of volatile-qualified type,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the constructor selected to copy/move each direct base class subobject is trivial,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for each non-static data member of X that is of class type (or array thereof), the constructor selected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to copy/move that member is trivial;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otherwise the copy/move constructor is non-trivial.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that is defaulted and not defined as deleted is implicitly defined if it is odr-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used (3.2) or when it is explicitly defaulted after its first declaration. [Note: The copy/move constructor is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 even if the implementation elided its odr-use (3.2, 12.2).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6" w:name="OLE_LINK47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6"/>
          </w:p>
        </w:tc>
        <w:tc>
          <w:tcPr>
            <w:tcW w:w="2126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If the class definition does not explicitly declare a copy assignment operator,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implicitly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C7D50">
              <w:rPr>
                <w:rFonts w:ascii="新宋体" w:eastAsia="新宋体" w:hAnsi="新宋体"/>
                <w:szCs w:val="21"/>
              </w:rPr>
              <w:t>defined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A copy/move assignment operator for a class X that is defaulted and not defined as deleted is implicitly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defined when it is odr-used (3.2) (e.g., when it is selected by overload resolution to assign to an object of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its class type) or when it is explicitly defaulted after its first declaration.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copy elision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This elision of copy/move operations, called copy elision, is permitted in the following circumstances (which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may be combined to eliminate multiple copies):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return statement in a function with a class return type, when the expression is the name of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non-volatile automatic object (other than a function or catch-clause parameter) with the same cv-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unqualified type as the function return type, the copy/move operation can be omitted by constructing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the automatic object directly into the function’s return value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throw-expression , when the operand is the name of a non-volatile automatic object (other than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function or catch-clause parameter) whose scope does not extend beyond the end of the innermost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enclosing try-block (if there is one), the copy/move operation from the operand to the exception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object (15.1) can be omitted by constructing the automatic object directly into the exception object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a temporary class object that has not been bound to a reference (12.2) would be copied/moved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to a class object with the same cv-unqualified type, the copy/move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constructing the temporary object directly into the target of the omitted copy/move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the exception-declaration of an exception handler (Clause 15) declares an object of the same type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(except for cv-qualification) as the exception object (15.1), the copy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treating the exception-declaration as an alias for the exception object if the meaning of the program will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be unchanged except for the execution of constructors and destructors for the object declared by the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exception-declaration . [Note: There cannot be a move from the exception object because it is always an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lvalue.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7" w:name="OLE_LINK48"/>
            <w:r w:rsidRPr="000A53BB">
              <w:rPr>
                <w:rFonts w:ascii="新宋体" w:eastAsia="新宋体" w:hAnsi="新宋体"/>
                <w:szCs w:val="21"/>
              </w:rPr>
              <w:lastRenderedPageBreak/>
              <w:t>12.9 Inheriting constructors</w:t>
            </w:r>
            <w:bookmarkEnd w:id="47"/>
          </w:p>
        </w:tc>
        <w:tc>
          <w:tcPr>
            <w:tcW w:w="2126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inheriting constructor</w:t>
            </w:r>
          </w:p>
        </w:tc>
        <w:tc>
          <w:tcPr>
            <w:tcW w:w="11907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A using-declaration (7.3.3) that names a constructor implicitly declares a set of inheriting constructors.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</w:p>
        </w:tc>
        <w:tc>
          <w:tcPr>
            <w:tcW w:w="2126" w:type="dxa"/>
          </w:tcPr>
          <w:p w:rsidR="002C63BE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</w:t>
            </w:r>
          </w:p>
          <w:p w:rsid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actual</w:t>
            </w:r>
            <w:r>
              <w:rPr>
                <w:rFonts w:ascii="新宋体" w:eastAsia="新宋体" w:hAnsi="新宋体"/>
                <w:szCs w:val="21"/>
              </w:rPr>
              <w:t xml:space="preserve"> constructor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notional constructor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constructors from the class X named in the using-declaration consists of actual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constructors and notional constructors that result from the transformation of defaulted parameters as follows: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non-template constructors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non-template constructor of X that has at least one parameter with a default argument, the set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of constructors that results from omitting any ellipsis parameter specification and successively omitting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parameters with a default argument from the end of the parameter-type-list,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constructor templates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constructor template of X that has at least one parameter with a default argument, the set of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templates that results from omitting any ellipsis parameter specification and successively</w:t>
            </w:r>
          </w:p>
          <w:p w:rsidR="002C63BE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omitting parameters with a default argument from the end of the parameter-type-list.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</w:p>
        </w:tc>
        <w:tc>
          <w:tcPr>
            <w:tcW w:w="2126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characteristic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 constructor characteristics of a constructor or constructor template are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template parameter list (14.1), if any,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parameter-type-list (8.3.5),</w:t>
            </w:r>
          </w:p>
          <w:p w:rsidR="002C63BE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explicit (12.3.1), and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constexpr (7.1.5).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8" w:name="OLE_LINK49"/>
            <w:r w:rsidRPr="00464DB2">
              <w:rPr>
                <w:rFonts w:ascii="新宋体" w:eastAsia="新宋体" w:hAnsi="新宋体"/>
                <w:szCs w:val="21"/>
              </w:rPr>
              <w:lastRenderedPageBreak/>
              <w:t>13 Overloading</w:t>
            </w:r>
            <w:bookmarkEnd w:id="48"/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overloaded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When two or more different declarations are specified for a single name in the same scope, that name is said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to be overloaded.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13 Overloading</w:t>
            </w:r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overloaded declaration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By extension, two declarations in the same scope that declare the same name but with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different types are called overloaded declarations.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13 Overloading</w:t>
            </w:r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 resolution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When an overloaded function name is used in a call, which overloaded function declaration is being referenced</w:t>
            </w:r>
          </w:p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is determined by comparing the types of the arguments at the point of use with the types of the parameters</w:t>
            </w:r>
          </w:p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in the overloaded declarations that are visible at the point of use. This function selection process is called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 resolution and is defined in 13.3.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E2F4F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13.3 Overload resolution</w:t>
            </w:r>
          </w:p>
        </w:tc>
        <w:tc>
          <w:tcPr>
            <w:tcW w:w="2126" w:type="dxa"/>
          </w:tcPr>
          <w:p w:rsidR="002C63BE" w:rsidRPr="001852D3" w:rsidRDefault="008E2F4F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candidate function</w:t>
            </w:r>
          </w:p>
        </w:tc>
        <w:tc>
          <w:tcPr>
            <w:tcW w:w="11907" w:type="dxa"/>
          </w:tcPr>
          <w:p w:rsidR="008E2F4F" w:rsidRPr="008E2F4F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Overload resolution is a mechanism for selecting the best function to call given a list of expressions that are</w:t>
            </w:r>
          </w:p>
          <w:p w:rsidR="008E2F4F" w:rsidRPr="008E2F4F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to be the arguments of the call and a set of candidate functions that can be called based on the context of</w:t>
            </w:r>
          </w:p>
          <w:p w:rsidR="002C63BE" w:rsidRPr="001852D3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the call.</w:t>
            </w:r>
          </w:p>
        </w:tc>
      </w:tr>
      <w:tr w:rsidR="00C06955" w:rsidRPr="001852D3" w:rsidTr="002819C7">
        <w:tc>
          <w:tcPr>
            <w:tcW w:w="1844" w:type="dxa"/>
          </w:tcPr>
          <w:p w:rsidR="00C06955" w:rsidRPr="008E2F4F" w:rsidRDefault="00C0695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13.3 Overload resolution</w:t>
            </w:r>
          </w:p>
        </w:tc>
        <w:tc>
          <w:tcPr>
            <w:tcW w:w="2126" w:type="dxa"/>
          </w:tcPr>
          <w:p w:rsidR="00C06955" w:rsidRDefault="00C0695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/>
                <w:szCs w:val="21"/>
              </w:rPr>
              <w:t>viable function</w:t>
            </w:r>
          </w:p>
          <w:p w:rsidR="00BB6F29" w:rsidRPr="008E2F4F" w:rsidRDefault="00BB6F2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B6F29">
              <w:rPr>
                <w:rFonts w:ascii="新宋体" w:eastAsia="新宋体" w:hAnsi="新宋体"/>
                <w:szCs w:val="21"/>
              </w:rPr>
              <w:t>best viable function</w:t>
            </w:r>
          </w:p>
        </w:tc>
        <w:tc>
          <w:tcPr>
            <w:tcW w:w="11907" w:type="dxa"/>
          </w:tcPr>
          <w:p w:rsidR="00C06955" w:rsidRPr="00C06955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/>
                <w:szCs w:val="21"/>
              </w:rPr>
              <w:t>But, once the candidate functions and argument lists have been identified, the selection of the best</w:t>
            </w:r>
          </w:p>
          <w:p w:rsidR="00C06955" w:rsidRPr="00C06955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/>
                <w:szCs w:val="21"/>
              </w:rPr>
              <w:t>function is the same in all cases:</w:t>
            </w:r>
          </w:p>
          <w:p w:rsidR="00C06955" w:rsidRPr="00C06955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 w:hint="eastAsia"/>
                <w:szCs w:val="21"/>
              </w:rPr>
              <w:t>—</w:t>
            </w:r>
            <w:r w:rsidRPr="00C06955">
              <w:rPr>
                <w:rFonts w:ascii="新宋体" w:eastAsia="新宋体" w:hAnsi="新宋体"/>
                <w:szCs w:val="21"/>
              </w:rPr>
              <w:t xml:space="preserve"> First, a subset of the candidate functions (those that have the proper number of arguments and meet</w:t>
            </w:r>
          </w:p>
          <w:p w:rsidR="00C06955" w:rsidRPr="00C06955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/>
                <w:szCs w:val="21"/>
              </w:rPr>
              <w:t>certain other conditions) is selected to form a set of viable functions (13.3.2).</w:t>
            </w:r>
          </w:p>
          <w:p w:rsidR="00C06955" w:rsidRPr="00C06955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 w:hint="eastAsia"/>
                <w:szCs w:val="21"/>
              </w:rPr>
              <w:t>—</w:t>
            </w:r>
            <w:r w:rsidRPr="00C06955">
              <w:rPr>
                <w:rFonts w:ascii="新宋体" w:eastAsia="新宋体" w:hAnsi="新宋体"/>
                <w:szCs w:val="21"/>
              </w:rPr>
              <w:t xml:space="preserve"> Then the best viable function is selected based on the implicit conversion sequences (13.3.3.1) needed</w:t>
            </w:r>
          </w:p>
          <w:p w:rsidR="00C06955" w:rsidRPr="008E2F4F" w:rsidRDefault="00C06955" w:rsidP="00C0695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6955">
              <w:rPr>
                <w:rFonts w:ascii="新宋体" w:eastAsia="新宋体" w:hAnsi="新宋体"/>
                <w:szCs w:val="21"/>
              </w:rPr>
              <w:t>to match each argument to the corresponding parameter of each viable function.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FA579D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13.3.1 Candidate functions and argument lists</w:t>
            </w:r>
          </w:p>
        </w:tc>
        <w:tc>
          <w:tcPr>
            <w:tcW w:w="2126" w:type="dxa"/>
          </w:tcPr>
          <w:p w:rsidR="002C63BE" w:rsidRPr="001852D3" w:rsidRDefault="00FA579D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implicit object parameter</w:t>
            </w:r>
          </w:p>
        </w:tc>
        <w:tc>
          <w:tcPr>
            <w:tcW w:w="11907" w:type="dxa"/>
          </w:tcPr>
          <w:p w:rsidR="00FA579D" w:rsidRPr="00FA579D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So that argument and parameter lists are comparable within this heterogeneous</w:t>
            </w:r>
          </w:p>
          <w:p w:rsidR="00FA579D" w:rsidRPr="00FA579D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set, a member function is considered to have an extra parameter, called the implicit object parameter, which</w:t>
            </w:r>
          </w:p>
          <w:p w:rsidR="002C63BE" w:rsidRPr="001852D3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represents the object for which the member function has been called.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6C318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13.3.1 Candidate functions and argument lists</w:t>
            </w:r>
          </w:p>
        </w:tc>
        <w:tc>
          <w:tcPr>
            <w:tcW w:w="2126" w:type="dxa"/>
          </w:tcPr>
          <w:p w:rsidR="002C63BE" w:rsidRPr="001852D3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implied object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C3186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6C3186" w:rsidRPr="006C3186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Similarly, when appropriate, the context can construct an argument list that contains an implied object</w:t>
            </w:r>
          </w:p>
          <w:p w:rsidR="002C63BE" w:rsidRPr="001852D3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argument to denote the object to be operated 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13.3.1.1.2 Call to object of c</w:t>
            </w:r>
            <w:r w:rsidRPr="00152A9B">
              <w:rPr>
                <w:rFonts w:ascii="新宋体" w:eastAsia="新宋体" w:hAnsi="新宋体"/>
                <w:szCs w:val="21"/>
              </w:rPr>
              <w:lastRenderedPageBreak/>
              <w:t>lass type</w:t>
            </w:r>
          </w:p>
        </w:tc>
        <w:tc>
          <w:tcPr>
            <w:tcW w:w="2126" w:type="dxa"/>
          </w:tcPr>
          <w:p w:rsidR="002C63BE" w:rsidRPr="001852D3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lastRenderedPageBreak/>
              <w:t>surrogate call function</w:t>
            </w:r>
          </w:p>
        </w:tc>
        <w:tc>
          <w:tcPr>
            <w:tcW w:w="11907" w:type="dxa"/>
          </w:tcPr>
          <w:p w:rsidR="002C63BE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In addition, for each non-explicit conversion function declared in T of the form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operator conversion-type-i</w:t>
            </w:r>
            <w:r>
              <w:rPr>
                <w:rFonts w:ascii="新宋体" w:eastAsia="新宋体" w:hAnsi="新宋体"/>
                <w:szCs w:val="21"/>
              </w:rPr>
              <w:t>d () cv-qualifier ref-qualifier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52A9B">
              <w:rPr>
                <w:rFonts w:ascii="新宋体" w:eastAsia="新宋体" w:hAnsi="新宋体"/>
                <w:szCs w:val="21"/>
              </w:rPr>
              <w:t xml:space="preserve"> attribute-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specifier-seq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52A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where cv-qualifier is the same cv-qualification as, or a greater cv-qualification than, cv, and where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conversion-type-id denotes the type “pointer to function of (P1,...,Pn) returning R”, or the type “reference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to pointer to function of (P1,...,Pn) returning R”, or the type “reference to function of (P1,...,Pn) returning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R”, a surrogate call function with the unique name call-function and having the form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R call-function ( conversion-type-id F, P1 a1, ... ,Pn an) { return F (a1,... ,an); }</w:t>
            </w:r>
          </w:p>
          <w:p w:rsidR="00152A9B" w:rsidRPr="001852D3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is also considered as a candidate function.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4497D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lastRenderedPageBreak/>
              <w:t>13.3.1.2 Operators in expressions</w:t>
            </w:r>
          </w:p>
        </w:tc>
        <w:tc>
          <w:tcPr>
            <w:tcW w:w="2126" w:type="dxa"/>
          </w:tcPr>
          <w:p w:rsidR="0034497D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member candidates</w:t>
            </w:r>
          </w:p>
          <w:p w:rsidR="0034497D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non-member candidates</w:t>
            </w:r>
          </w:p>
          <w:p w:rsidR="002C63BE" w:rsidRPr="001852D3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built-in candidates</w:t>
            </w:r>
          </w:p>
        </w:tc>
        <w:tc>
          <w:tcPr>
            <w:tcW w:w="11907" w:type="dxa"/>
          </w:tcPr>
          <w:p w:rsidR="0034497D" w:rsidRPr="0034497D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For a unary operator @ with an operand of a type whose cv-unqualified version is T1, and for a binary</w:t>
            </w:r>
          </w:p>
          <w:p w:rsidR="0034497D" w:rsidRPr="0034497D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operator @ with a left operand of a type whose cv-unqualified version is T1 and a right operand of a type</w:t>
            </w:r>
          </w:p>
          <w:p w:rsidR="0034497D" w:rsidRPr="0034497D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whose cv-unqualified version is T2, three sets of candidate functions, designated member candidates, non-</w:t>
            </w:r>
          </w:p>
          <w:p w:rsidR="002C63BE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4497D">
              <w:rPr>
                <w:rFonts w:ascii="新宋体" w:eastAsia="新宋体" w:hAnsi="新宋体"/>
                <w:szCs w:val="21"/>
              </w:rPr>
              <w:t>member candidates and built-in candidates, are constructed as follows:</w:t>
            </w:r>
          </w:p>
          <w:p w:rsidR="0034497D" w:rsidRPr="001852D3" w:rsidRDefault="0034497D" w:rsidP="0034497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</w:t>
            </w:r>
            <w:r w:rsidR="000D0B9C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07248A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13.3.2 Viable functions</w:t>
            </w:r>
          </w:p>
        </w:tc>
        <w:tc>
          <w:tcPr>
            <w:tcW w:w="2126" w:type="dxa"/>
          </w:tcPr>
          <w:p w:rsidR="002C63BE" w:rsidRPr="001852D3" w:rsidRDefault="0007248A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match the ellipsis</w:t>
            </w:r>
          </w:p>
        </w:tc>
        <w:tc>
          <w:tcPr>
            <w:tcW w:w="11907" w:type="dxa"/>
          </w:tcPr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A candidate function having fewer than m parameters is viable only if it has an ellipsis in its parameter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list (8.3.5). For the purposes of overload resolution, any argument for which there is no corresponding</w:t>
            </w:r>
          </w:p>
          <w:p w:rsidR="002C63BE" w:rsidRPr="001852D3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parameter is considered to “match the ellipsis” (13.3.3.1.3) 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07248A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13.3.3 Best viable function</w:t>
            </w:r>
          </w:p>
        </w:tc>
        <w:tc>
          <w:tcPr>
            <w:tcW w:w="2126" w:type="dxa"/>
          </w:tcPr>
          <w:p w:rsidR="002C63BE" w:rsidRPr="001852D3" w:rsidRDefault="0007248A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ICSi(F)</w:t>
            </w:r>
          </w:p>
        </w:tc>
        <w:tc>
          <w:tcPr>
            <w:tcW w:w="11907" w:type="dxa"/>
          </w:tcPr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Define ICSi(F) as follows: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if F is a static member function, ICS1(F) is defined such that ICS1(F) is neither better nor worse than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ICS1(G) for any function G, and, symmetrically, ICS1(G) is neither better nor worse than ICS1(F) 132 ;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otherwise,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let ICSi(F) denote the implicit conversion sequence that converts the i-th argument in the list to the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type of the i-th parameter of viable function F. 13.3.3.1 defines the implicit conversion sequences and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13.3.3.2 defines what it means for one implicit conversion sequence to be a better conversion sequence</w:t>
            </w:r>
          </w:p>
          <w:p w:rsidR="002C63BE" w:rsidRPr="001852D3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or worse conversion sequence than another.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6C3368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368">
              <w:rPr>
                <w:rFonts w:ascii="新宋体" w:eastAsia="新宋体" w:hAnsi="新宋体"/>
                <w:szCs w:val="21"/>
              </w:rPr>
              <w:t>13.3.3 Best viable function</w:t>
            </w:r>
          </w:p>
        </w:tc>
        <w:tc>
          <w:tcPr>
            <w:tcW w:w="2126" w:type="dxa"/>
          </w:tcPr>
          <w:p w:rsidR="002C63BE" w:rsidRPr="001852D3" w:rsidRDefault="0007248A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9" w:name="OLE_LINK50"/>
            <w:r w:rsidRPr="0007248A">
              <w:rPr>
                <w:rFonts w:ascii="新宋体" w:eastAsia="新宋体" w:hAnsi="新宋体"/>
                <w:szCs w:val="21"/>
              </w:rPr>
              <w:t>better</w:t>
            </w:r>
            <w:bookmarkEnd w:id="49"/>
          </w:p>
        </w:tc>
        <w:tc>
          <w:tcPr>
            <w:tcW w:w="11907" w:type="dxa"/>
          </w:tcPr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Given these definitions, a viable function F1 is defined to be a better function than another viable function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F2 if for all arguments i, ICSi(F1) is not a worse conversion sequence than ICSi(F2), and then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for some argument j, ICSj(F1) is a better conversion sequence than ICSj(F2), or, if not that,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the context is an initialization by user-defined conversion (see 8.5, 13.3.1.5, and 13.3.1.6) and the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standard conversion sequence from the return type of F1 to the destination type (i.e., the type of the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entity being initialized) is a better conversion sequence than the standard conversion sequence from</w:t>
            </w:r>
          </w:p>
          <w:p w:rsidR="002C63BE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the return type of F2 to the destination type. or, if not that,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the context is an initialization by conversion function for direct reference binding (13.3.1.6) of a refer-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ence to function type, the return type of F1 is the same kind of reference (i.e. lvalue or rvalue) as the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reference being initialized, and the return type of F2 is not or, if not that,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F1 is not a function template specialization and F2 is a function template specialization, or, if not that,</w:t>
            </w:r>
          </w:p>
          <w:p w:rsidR="0007248A" w:rsidRPr="0007248A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 w:hint="eastAsia"/>
                <w:szCs w:val="21"/>
              </w:rPr>
              <w:t>—</w:t>
            </w:r>
            <w:r w:rsidRPr="0007248A">
              <w:rPr>
                <w:rFonts w:ascii="新宋体" w:eastAsia="新宋体" w:hAnsi="新宋体"/>
                <w:szCs w:val="21"/>
              </w:rPr>
              <w:t xml:space="preserve"> F1 and F2 are function template specializations, and the function template for F1 is more specialized</w:t>
            </w:r>
          </w:p>
          <w:p w:rsidR="0007248A" w:rsidRPr="001852D3" w:rsidRDefault="0007248A" w:rsidP="000724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7248A">
              <w:rPr>
                <w:rFonts w:ascii="新宋体" w:eastAsia="新宋体" w:hAnsi="新宋体"/>
                <w:szCs w:val="21"/>
              </w:rPr>
              <w:t>than the template for F2 according to the partial ordering rules described in 14.5.6.2.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6C3368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50" w:name="OLE_LINK51"/>
            <w:r w:rsidRPr="006C3368">
              <w:rPr>
                <w:rFonts w:ascii="新宋体" w:eastAsia="新宋体" w:hAnsi="新宋体"/>
                <w:szCs w:val="21"/>
              </w:rPr>
              <w:lastRenderedPageBreak/>
              <w:t>13.3.3.1 Implicit conversion sequences</w:t>
            </w:r>
            <w:bookmarkEnd w:id="50"/>
          </w:p>
        </w:tc>
        <w:tc>
          <w:tcPr>
            <w:tcW w:w="2126" w:type="dxa"/>
          </w:tcPr>
          <w:p w:rsidR="002C63BE" w:rsidRPr="001852D3" w:rsidRDefault="006C3368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368">
              <w:rPr>
                <w:rFonts w:ascii="新宋体" w:eastAsia="新宋体" w:hAnsi="新宋体"/>
                <w:szCs w:val="21"/>
              </w:rPr>
              <w:t>implicit conversion sequence</w:t>
            </w:r>
          </w:p>
        </w:tc>
        <w:tc>
          <w:tcPr>
            <w:tcW w:w="11907" w:type="dxa"/>
          </w:tcPr>
          <w:p w:rsidR="006C3368" w:rsidRPr="006C3368" w:rsidRDefault="006C3368" w:rsidP="006C336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368">
              <w:rPr>
                <w:rFonts w:ascii="新宋体" w:eastAsia="新宋体" w:hAnsi="新宋体"/>
                <w:szCs w:val="21"/>
              </w:rPr>
              <w:t>An implicit conversion sequence is a sequence of conversions used to convert an argument in a function call</w:t>
            </w:r>
          </w:p>
          <w:p w:rsidR="002C63BE" w:rsidRPr="001852D3" w:rsidRDefault="006C3368" w:rsidP="006C336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368">
              <w:rPr>
                <w:rFonts w:ascii="新宋体" w:eastAsia="新宋体" w:hAnsi="新宋体"/>
                <w:szCs w:val="21"/>
              </w:rPr>
              <w:t>to the type of the corresponding parameter of the function being called.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FB0A67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368">
              <w:rPr>
                <w:rFonts w:ascii="新宋体" w:eastAsia="新宋体" w:hAnsi="新宋体"/>
                <w:szCs w:val="21"/>
              </w:rPr>
              <w:t>13.3.3.1 Implicit conversion sequences</w:t>
            </w:r>
          </w:p>
        </w:tc>
        <w:tc>
          <w:tcPr>
            <w:tcW w:w="2126" w:type="dxa"/>
          </w:tcPr>
          <w:p w:rsidR="002C63BE" w:rsidRPr="001852D3" w:rsidRDefault="00FB0A67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0A67">
              <w:rPr>
                <w:rFonts w:ascii="新宋体" w:eastAsia="新宋体" w:hAnsi="新宋体"/>
                <w:szCs w:val="21"/>
              </w:rPr>
              <w:t>derived-to-base Conversion</w:t>
            </w:r>
          </w:p>
        </w:tc>
        <w:tc>
          <w:tcPr>
            <w:tcW w:w="11907" w:type="dxa"/>
          </w:tcPr>
          <w:p w:rsidR="00FB0A67" w:rsidRPr="00FB0A67" w:rsidRDefault="00FB0A67" w:rsidP="00FB0A6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0A67">
              <w:rPr>
                <w:rFonts w:ascii="新宋体" w:eastAsia="新宋体" w:hAnsi="新宋体"/>
                <w:szCs w:val="21"/>
              </w:rPr>
              <w:t>When the parameter has a class type and the argument expression has a derived class type,</w:t>
            </w:r>
          </w:p>
          <w:p w:rsidR="002C63BE" w:rsidRPr="001852D3" w:rsidRDefault="00FB0A67" w:rsidP="00FB0A67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0A67">
              <w:rPr>
                <w:rFonts w:ascii="新宋体" w:eastAsia="新宋体" w:hAnsi="新宋体"/>
                <w:szCs w:val="21"/>
              </w:rPr>
              <w:t>the implicit conversion sequence is a derived-to-base Conversion from the derived class to the base class.</w:t>
            </w:r>
            <w:bookmarkStart w:id="51" w:name="_GoBack"/>
            <w:bookmarkEnd w:id="51"/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F61E7D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ambig</w:t>
      </w:r>
      <w:r>
        <w:rPr>
          <w:rFonts w:ascii="新宋体" w:eastAsia="新宋体" w:hAnsi="新宋体"/>
          <w:szCs w:val="21"/>
        </w:rPr>
        <w:t>uity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12.1 Constructors</w:t>
            </w:r>
          </w:p>
        </w:tc>
      </w:tr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Before the defaulted default constructor for a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AA662C">
              <w:rPr>
                <w:rFonts w:ascii="新宋体" w:eastAsia="新宋体" w:hAnsi="新宋体"/>
                <w:szCs w:val="21"/>
              </w:rPr>
              <w:t xml:space="preserve">class is implicitly defined, all the non-user-provided default constructors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for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base classes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and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non-static data members shall have been implicitly defined.</w:t>
            </w:r>
          </w:p>
        </w:tc>
      </w:tr>
    </w:tbl>
    <w:p w:rsidR="00AA662C" w:rsidRPr="001852D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248A"/>
    <w:rsid w:val="000777B5"/>
    <w:rsid w:val="00095874"/>
    <w:rsid w:val="000A53BB"/>
    <w:rsid w:val="000A7016"/>
    <w:rsid w:val="000B4F2B"/>
    <w:rsid w:val="000B590A"/>
    <w:rsid w:val="000C68AF"/>
    <w:rsid w:val="000D0B9C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2A9B"/>
    <w:rsid w:val="00156D56"/>
    <w:rsid w:val="00165F8C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C63BE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4497D"/>
    <w:rsid w:val="00354F43"/>
    <w:rsid w:val="00361DB2"/>
    <w:rsid w:val="003834B7"/>
    <w:rsid w:val="00384DC7"/>
    <w:rsid w:val="003C4909"/>
    <w:rsid w:val="003C7D50"/>
    <w:rsid w:val="003D3103"/>
    <w:rsid w:val="003E5B89"/>
    <w:rsid w:val="003F19F7"/>
    <w:rsid w:val="00405A16"/>
    <w:rsid w:val="004355E4"/>
    <w:rsid w:val="00441339"/>
    <w:rsid w:val="00464DB2"/>
    <w:rsid w:val="00471F8D"/>
    <w:rsid w:val="0049065A"/>
    <w:rsid w:val="004A1B2B"/>
    <w:rsid w:val="004A1EDA"/>
    <w:rsid w:val="004B5E88"/>
    <w:rsid w:val="004C70D5"/>
    <w:rsid w:val="004D2AAB"/>
    <w:rsid w:val="004E437E"/>
    <w:rsid w:val="004E567A"/>
    <w:rsid w:val="004E5789"/>
    <w:rsid w:val="004E74C4"/>
    <w:rsid w:val="004F3A7A"/>
    <w:rsid w:val="00506775"/>
    <w:rsid w:val="00511570"/>
    <w:rsid w:val="005154AC"/>
    <w:rsid w:val="0054333F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6C3186"/>
    <w:rsid w:val="006C3368"/>
    <w:rsid w:val="00702100"/>
    <w:rsid w:val="00715096"/>
    <w:rsid w:val="00720C32"/>
    <w:rsid w:val="00720F2A"/>
    <w:rsid w:val="00752224"/>
    <w:rsid w:val="0075231A"/>
    <w:rsid w:val="00752DEE"/>
    <w:rsid w:val="007D2836"/>
    <w:rsid w:val="00803401"/>
    <w:rsid w:val="008148BA"/>
    <w:rsid w:val="00826C7A"/>
    <w:rsid w:val="00835366"/>
    <w:rsid w:val="0083575C"/>
    <w:rsid w:val="00836B53"/>
    <w:rsid w:val="00846666"/>
    <w:rsid w:val="0088098D"/>
    <w:rsid w:val="008908A2"/>
    <w:rsid w:val="0089192D"/>
    <w:rsid w:val="008A1163"/>
    <w:rsid w:val="008D7F39"/>
    <w:rsid w:val="008E2F4F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C484D"/>
    <w:rsid w:val="009F5EE0"/>
    <w:rsid w:val="00A11172"/>
    <w:rsid w:val="00A23895"/>
    <w:rsid w:val="00A3355E"/>
    <w:rsid w:val="00A62E9B"/>
    <w:rsid w:val="00A71BBB"/>
    <w:rsid w:val="00A87844"/>
    <w:rsid w:val="00A92BA6"/>
    <w:rsid w:val="00AA662C"/>
    <w:rsid w:val="00AC0446"/>
    <w:rsid w:val="00AC3E02"/>
    <w:rsid w:val="00AE1959"/>
    <w:rsid w:val="00AF0AA4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B6F29"/>
    <w:rsid w:val="00BD2DE8"/>
    <w:rsid w:val="00BF3274"/>
    <w:rsid w:val="00C00915"/>
    <w:rsid w:val="00C06955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3249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22E09"/>
    <w:rsid w:val="00E36D81"/>
    <w:rsid w:val="00E50DFA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343FF"/>
    <w:rsid w:val="00F41942"/>
    <w:rsid w:val="00F5483E"/>
    <w:rsid w:val="00F61E7D"/>
    <w:rsid w:val="00F62D52"/>
    <w:rsid w:val="00F71C31"/>
    <w:rsid w:val="00FA579D"/>
    <w:rsid w:val="00FB0A67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1</Pages>
  <Words>26096</Words>
  <Characters>148753</Characters>
  <Application>Microsoft Office Word</Application>
  <DocSecurity>0</DocSecurity>
  <Lines>1239</Lines>
  <Paragraphs>348</Paragraphs>
  <ScaleCrop>false</ScaleCrop>
  <Company>China</Company>
  <LinksUpToDate>false</LinksUpToDate>
  <CharactersWithSpaces>174501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2018-07-25T22:31:00Z</dcterms:created>
  <dcterms:modified xsi:type="dcterms:W3CDTF">2018-09-14T13:34:00Z</dcterms:modified>
</cp:coreProperties>
</file>