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560"/>
        <w:gridCol w:w="3261"/>
        <w:gridCol w:w="11056"/>
      </w:tblGrid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E5136A">
        <w:trPr>
          <w:trHeight w:val="84"/>
        </w:trPr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3261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E5136A">
        <w:tc>
          <w:tcPr>
            <w:tcW w:w="1560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3261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3261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characters other than the 26 lowercase Latin letters.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3261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The extended character set is a superset of the basic character set.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3261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EB734F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3261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3261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19723A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3261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3261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3261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3261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NOTE An unspecified value cannot be a trap representation.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3.19.4</w:t>
            </w:r>
          </w:p>
        </w:tc>
        <w:tc>
          <w:tcPr>
            <w:tcW w:w="3261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3261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lastRenderedPageBreak/>
              <w:t>3.20</w:t>
            </w:r>
          </w:p>
        </w:tc>
        <w:tc>
          <w:tcPr>
            <w:tcW w:w="3261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3261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E5136A">
        <w:tc>
          <w:tcPr>
            <w:tcW w:w="1560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3261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E5136A">
        <w:tc>
          <w:tcPr>
            <w:tcW w:w="1560" w:type="dxa"/>
          </w:tcPr>
          <w:p w:rsidR="00F517DF" w:rsidRPr="003E624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 Environme</w:t>
            </w:r>
            <w:r w:rsidRPr="00CB7EB0">
              <w:rPr>
                <w:rFonts w:ascii="新宋体" w:eastAsia="新宋体" w:hAnsi="新宋体"/>
              </w:rPr>
              <w:lastRenderedPageBreak/>
              <w:t>nt</w:t>
            </w:r>
          </w:p>
        </w:tc>
        <w:tc>
          <w:tcPr>
            <w:tcW w:w="3261" w:type="dxa"/>
          </w:tcPr>
          <w:p w:rsidR="00F517DF" w:rsidRPr="003E6247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An implementation translates C source files and executes C programs in two data-processing-system envir</w:t>
            </w:r>
            <w:r w:rsidRPr="00CB7EB0">
              <w:rPr>
                <w:rFonts w:ascii="新宋体" w:eastAsia="新宋体" w:hAnsi="新宋体"/>
              </w:rPr>
              <w:lastRenderedPageBreak/>
              <w:t xml:space="preserve">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E5136A">
        <w:tc>
          <w:tcPr>
            <w:tcW w:w="1560" w:type="dxa"/>
          </w:tcPr>
          <w:p w:rsidR="00F517DF" w:rsidRPr="00443BB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5.1.1.1 Program structure</w:t>
            </w:r>
          </w:p>
        </w:tc>
        <w:tc>
          <w:tcPr>
            <w:tcW w:w="3261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3261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3261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program startup.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3261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3261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E5136A">
        <w:tc>
          <w:tcPr>
            <w:tcW w:w="1560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3261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</w:t>
            </w:r>
            <w:r w:rsidRPr="00D37D91">
              <w:rPr>
                <w:rFonts w:ascii="新宋体" w:eastAsia="新宋体" w:hAnsi="新宋体"/>
              </w:rPr>
              <w:lastRenderedPageBreak/>
              <w:t>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lastRenderedPageBreak/>
              <w:t>5.1.2.3 Program execution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3261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</w:t>
            </w:r>
            <w:r w:rsidRPr="006761F2">
              <w:rPr>
                <w:rFonts w:ascii="新宋体" w:eastAsia="新宋体" w:hAnsi="新宋体"/>
              </w:rPr>
              <w:lastRenderedPageBreak/>
              <w:t>d data races</w:t>
            </w:r>
          </w:p>
        </w:tc>
        <w:tc>
          <w:tcPr>
            <w:tcW w:w="3261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3261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source character set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3E624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E94919" w:rsidRPr="00E94919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3E6247" w:rsidTr="00E5136A">
        <w:tc>
          <w:tcPr>
            <w:tcW w:w="1560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3261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basic character set</w:t>
            </w:r>
          </w:p>
          <w:p w:rsidR="00E94919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characters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3E6247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Each set is further divided into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3261" w:type="dxa"/>
          </w:tcPr>
          <w:p w:rsidR="00E94919" w:rsidRPr="00443BB7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escape</w:t>
            </w:r>
            <w:r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sequences consisting of the backslash</w:t>
            </w:r>
            <w:r w:rsidRPr="00816488">
              <w:rPr>
                <w:rFonts w:ascii="新宋体" w:eastAsia="新宋体" w:hAnsi="新宋体"/>
              </w:rPr>
              <w:lastRenderedPageBreak/>
              <w:t xml:space="preserve"> \ followed by one or more characters.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lastRenderedPageBreak/>
              <w:t>5.2.1 Character sets</w:t>
            </w:r>
          </w:p>
        </w:tc>
        <w:tc>
          <w:tcPr>
            <w:tcW w:w="3261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A byte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3261" w:type="dxa"/>
          </w:tcPr>
          <w:p w:rsidR="00E94919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uppercase letter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lowercase letters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digit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graphic character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51649E">
        <w:tc>
          <w:tcPr>
            <w:tcW w:w="1560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3261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3261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corresponding single character.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??= #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??( [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??/ \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??) ]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??' ^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??&lt; {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??! |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??&gt; }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??- ~</w:t>
            </w:r>
          </w:p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3261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51649E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51649E">
              <w:rPr>
                <w:rFonts w:ascii="新宋体" w:eastAsia="新宋体" w:hAnsi="新宋体"/>
              </w:rPr>
              <w:t>s, used to represent members of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3261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state-dependent encoding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initial shift state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3261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3261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alert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backspace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form feed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new line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carriage return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horizontal tab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vertical tab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5.2.3 Signals and interrupts</w:t>
            </w:r>
          </w:p>
        </w:tc>
        <w:tc>
          <w:tcPr>
            <w:tcW w:w="3261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invocations</w:t>
            </w:r>
            <w:r w:rsidR="00C814FA">
              <w:rPr>
                <w:rFonts w:ascii="新宋体" w:eastAsia="新宋体" w:hAnsi="新宋体"/>
              </w:rPr>
              <w:t>'</w:t>
            </w:r>
            <w:r w:rsidRPr="0051649E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3261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3E624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Their implementation-defined values shall be equal or greater in magnitude</w:t>
            </w:r>
            <w:r>
              <w:rPr>
                <w:rFonts w:ascii="新宋体" w:eastAsia="新宋体" w:hAnsi="新宋体"/>
              </w:rPr>
              <w:t xml:space="preserve"> </w:t>
            </w:r>
            <w:r w:rsidRPr="00EF296A">
              <w:rPr>
                <w:rFonts w:ascii="新宋体" w:eastAsia="新宋体" w:hAnsi="新宋体"/>
              </w:rPr>
              <w:t>(absolute value) to those shown, with the same sign.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5.2.4.2.2 Characteristics of floatin</w:t>
            </w:r>
            <w:r w:rsidRPr="00EF296A">
              <w:rPr>
                <w:rFonts w:ascii="新宋体" w:eastAsia="新宋体" w:hAnsi="新宋体"/>
              </w:rPr>
              <w:lastRenderedPageBreak/>
              <w:t>g types &lt;float.h&gt;</w:t>
            </w:r>
          </w:p>
        </w:tc>
        <w:tc>
          <w:tcPr>
            <w:tcW w:w="3261" w:type="dxa"/>
          </w:tcPr>
          <w:p w:rsidR="00E94919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lastRenderedPageBreak/>
              <w:t>sign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base or radix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exponent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lastRenderedPageBreak/>
              <w:t>precision</w:t>
            </w:r>
          </w:p>
          <w:p w:rsidR="00EF296A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3261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3261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subnormal floating-point</w:t>
            </w:r>
          </w:p>
          <w:p w:rsid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number</w:t>
            </w:r>
          </w:p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3E6247" w:rsidTr="0051649E">
        <w:tc>
          <w:tcPr>
            <w:tcW w:w="1560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3261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NaN</w:t>
            </w:r>
          </w:p>
          <w:p w:rsidR="006C4F3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quiet NaN</w:t>
            </w:r>
          </w:p>
          <w:p w:rsidR="006C4F37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signaling NaN</w:t>
            </w:r>
          </w:p>
        </w:tc>
        <w:tc>
          <w:tcPr>
            <w:tcW w:w="11056" w:type="dxa"/>
          </w:tcPr>
          <w:p w:rsidR="00E94919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A NaN is an encoding signifying Not-a-Number. A quiet NaN propagates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signaling NaN generally raises a floating-point exception when occurring as an</w:t>
            </w:r>
            <w:r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arithmetic operand. 22)</w:t>
            </w:r>
          </w:p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  <w:bookmarkStart w:id="2" w:name="_GoBack"/>
            <w:bookmarkEnd w:id="2"/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</w:t>
            </w:r>
            <w:r w:rsidRPr="006C4F37">
              <w:rPr>
                <w:rFonts w:ascii="新宋体" w:eastAsia="新宋体" w:hAnsi="新宋体"/>
              </w:rPr>
              <w:lastRenderedPageBreak/>
              <w:t>g types &lt;float.h&gt;</w:t>
            </w:r>
          </w:p>
        </w:tc>
        <w:tc>
          <w:tcPr>
            <w:tcW w:w="3261" w:type="dxa"/>
          </w:tcPr>
          <w:p w:rsidR="00C814FA" w:rsidRPr="00C814FA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minimal-width IEC 60559 double-extended format</w:t>
            </w:r>
            <w:r w:rsidR="00C814FA" w:rsidRPr="00C814FA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443BB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814FA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51649E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E5136A">
        <w:tc>
          <w:tcPr>
            <w:tcW w:w="1560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61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17018A"/>
    <w:rsid w:val="0019723A"/>
    <w:rsid w:val="002F743D"/>
    <w:rsid w:val="00392052"/>
    <w:rsid w:val="003B249F"/>
    <w:rsid w:val="003E6247"/>
    <w:rsid w:val="00443BB7"/>
    <w:rsid w:val="00464DFD"/>
    <w:rsid w:val="0051649E"/>
    <w:rsid w:val="006761F2"/>
    <w:rsid w:val="006C4F37"/>
    <w:rsid w:val="00733F84"/>
    <w:rsid w:val="007A71C1"/>
    <w:rsid w:val="00816488"/>
    <w:rsid w:val="00901243"/>
    <w:rsid w:val="00934FAA"/>
    <w:rsid w:val="009F79F3"/>
    <w:rsid w:val="00AD53F1"/>
    <w:rsid w:val="00B27BFE"/>
    <w:rsid w:val="00BE43D4"/>
    <w:rsid w:val="00C814FA"/>
    <w:rsid w:val="00CB7EB0"/>
    <w:rsid w:val="00D37D91"/>
    <w:rsid w:val="00E23A8E"/>
    <w:rsid w:val="00E5136A"/>
    <w:rsid w:val="00E94919"/>
    <w:rsid w:val="00EB734F"/>
    <w:rsid w:val="00EF296A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18</Pages>
  <Words>3155</Words>
  <Characters>17990</Characters>
  <Application>Microsoft Office Word</Application>
  <DocSecurity>0</DocSecurity>
  <Lines>149</Lines>
  <Paragraphs>42</Paragraphs>
  <ScaleCrop>false</ScaleCrop>
  <Company>China</Company>
  <LinksUpToDate>false</LinksUpToDate>
  <CharactersWithSpaces>21103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2018-07-04T10:41:00Z</dcterms:created>
  <dcterms:modified xsi:type="dcterms:W3CDTF">2018-07-08T12:00:00Z</dcterms:modified>
</cp:coreProperties>
</file>