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</w:t>
            </w:r>
            <w:bookmarkStart w:id="2" w:name="_GoBack"/>
            <w:bookmarkEnd w:id="2"/>
            <w:r w:rsidRPr="009B2283">
              <w:rPr>
                <w:rFonts w:ascii="新宋体" w:eastAsia="新宋体" w:hAnsi="新宋体"/>
              </w:rPr>
              <w:t>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3"/>
            <w:bookmarkStart w:id="4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3"/>
            <w:bookmarkEnd w:id="4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name may be used in forming valid external identifiers. For example, some otherwise unused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 is explicitly declar</w:t>
            </w:r>
            <w:r w:rsidR="00A77320" w:rsidRPr="009B2283">
              <w:rPr>
                <w:rFonts w:ascii="新宋体" w:eastAsia="新宋体" w:hAnsi="新宋体"/>
              </w:rPr>
              <w:t>ed using the name __func_</w:t>
            </w:r>
            <w:r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introduce a comment. The contents of such a comment are examined only to identify</w:t>
            </w:r>
          </w:p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</w:p>
          <w:p w:rsidR="00671B3E" w:rsidRP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</w:p>
          <w:p w:rsidR="00671B3E" w:rsidRPr="009B2283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</w:p>
          <w:p w:rsidR="00A727A6" w:rsidRPr="00A727A6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</w:p>
          <w:p w:rsidR="001D4D88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lastRenderedPageBreak/>
              <w:t>value is the effective type of the object from which the value is copied, if it has one. For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</w:p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</w:p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</w:p>
          <w:p w:rsidR="00776154" w:rsidRPr="00776154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precision, while the final operation is rounded to the format determined by the expression evaluation</w:t>
            </w:r>
          </w:p>
          <w:p w:rsidR="00776154" w:rsidRPr="009B2283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lastRenderedPageBreak/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1F4EEC" w:rsidRPr="001F4EEC" w:rsidRDefault="001F4EEC" w:rsidP="001F4E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</w:p>
          <w:p w:rsidR="00CF595B" w:rsidRPr="009B2283" w:rsidRDefault="001F4EEC" w:rsidP="001F4E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5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</w:p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</w:p>
          <w:p w:rsidR="00D80881" w:rsidRPr="00D80881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</w:p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</w:t>
            </w:r>
            <w:r w:rsidRPr="000C3DDD">
              <w:rPr>
                <w:rFonts w:ascii="新宋体" w:eastAsia="新宋体" w:hAnsi="新宋体"/>
              </w:rPr>
              <w:lastRenderedPageBreak/>
              <w:t>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lastRenderedPageBreak/>
              <w:t>common initial sequence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have compatible types (and, for bit-fields, the same widths) for a sequence of one or more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</w:p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67038D" w:rsidRPr="0067038D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</w:t>
            </w:r>
          </w:p>
          <w:p w:rsidR="00CF595B" w:rsidRPr="009B2283" w:rsidRDefault="0067038D" w:rsidP="006703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lastRenderedPageBreak/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</w:p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 the</w:t>
            </w:r>
          </w:p>
          <w:p w:rsidR="0028792F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lastRenderedPageBreak/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and second operands. If the first operand compares unequal to 0, the second operand is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</w:t>
            </w:r>
            <w:r w:rsidRPr="004F0131">
              <w:rPr>
                <w:rFonts w:ascii="新宋体" w:eastAsia="新宋体" w:hAnsi="新宋体"/>
              </w:rPr>
              <w:lastRenderedPageBreak/>
              <w:t>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A compound assignment of the form E1 op= E2 is equivalent to the simple assignment</w:t>
            </w:r>
          </w:p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expression E1 = E1 op (E2), except that the lvalue E1 is evaluated only once, and with</w:t>
            </w:r>
          </w:p>
          <w:p w:rsidR="003A045F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</w:p>
          <w:p w:rsidR="004F0131" w:rsidRPr="009B2283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lastRenderedPageBreak/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6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</w:p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array. Further constraints that apply to the integer constant expressions used in conditional-inclusion</w:t>
            </w:r>
          </w:p>
          <w:p w:rsidR="00994B89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</w:p>
          <w:p w:rsidR="003A045F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lastRenderedPageBreak/>
              <w:t>the unary &amp; operator or an integer constant cast to pointer type, or implicitly by the use of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</w:p>
          <w:p w:rsidR="00994B89" w:rsidRPr="00994B89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</w:p>
          <w:p w:rsidR="003A045F" w:rsidRPr="009B2283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A045F" w:rsidRPr="009B2283" w:rsidTr="00107DE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</w:p>
          <w:p w:rsid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object (and is no longer an lvalue); this is called lvalue conversion.</w:t>
            </w:r>
          </w:p>
        </w:tc>
        <w:tc>
          <w:tcPr>
            <w:tcW w:w="6974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</w:p>
          <w:p w:rsid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Pr="00007DDB" w:rsidRDefault="00007DDB" w:rsidP="00007D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A full declarator is a declarator that is not part of another declarator. The end of a full</w:t>
            </w:r>
          </w:p>
          <w:p w:rsidR="00007DDB" w:rsidRPr="00007DDB" w:rsidRDefault="00007DDB" w:rsidP="00007D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declarator is a sequence point. If, in the nested sequence of declarators in a full</w:t>
            </w:r>
          </w:p>
          <w:p w:rsidR="00007DDB" w:rsidRPr="00007DDB" w:rsidRDefault="00007DDB" w:rsidP="00007D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</w:p>
          <w:p w:rsidR="00007DDB" w:rsidRPr="00007DDB" w:rsidRDefault="00007DDB" w:rsidP="00007D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</w:p>
          <w:p w:rsidR="00007DDB" w:rsidRDefault="00007DDB" w:rsidP="00007D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646F4"/>
    <w:rsid w:val="0008745A"/>
    <w:rsid w:val="00092731"/>
    <w:rsid w:val="000B3897"/>
    <w:rsid w:val="000C3DDD"/>
    <w:rsid w:val="000C7BDA"/>
    <w:rsid w:val="00107DE9"/>
    <w:rsid w:val="0011346B"/>
    <w:rsid w:val="0017018A"/>
    <w:rsid w:val="0019723A"/>
    <w:rsid w:val="001D4D88"/>
    <w:rsid w:val="001E7CA8"/>
    <w:rsid w:val="001F4EEC"/>
    <w:rsid w:val="002109A0"/>
    <w:rsid w:val="00253510"/>
    <w:rsid w:val="00260D19"/>
    <w:rsid w:val="0028792F"/>
    <w:rsid w:val="002D3DBA"/>
    <w:rsid w:val="002F743D"/>
    <w:rsid w:val="0030490B"/>
    <w:rsid w:val="00313994"/>
    <w:rsid w:val="0035673B"/>
    <w:rsid w:val="003865D2"/>
    <w:rsid w:val="00392052"/>
    <w:rsid w:val="003A045F"/>
    <w:rsid w:val="003B249F"/>
    <w:rsid w:val="003C23DB"/>
    <w:rsid w:val="003D6CB5"/>
    <w:rsid w:val="003E01A2"/>
    <w:rsid w:val="003E6247"/>
    <w:rsid w:val="00443BB7"/>
    <w:rsid w:val="00445084"/>
    <w:rsid w:val="00464DFD"/>
    <w:rsid w:val="00483CF0"/>
    <w:rsid w:val="00493094"/>
    <w:rsid w:val="004F0131"/>
    <w:rsid w:val="0051649E"/>
    <w:rsid w:val="00524A7C"/>
    <w:rsid w:val="00634EA1"/>
    <w:rsid w:val="0067038D"/>
    <w:rsid w:val="00671B3E"/>
    <w:rsid w:val="006761F2"/>
    <w:rsid w:val="006C4F37"/>
    <w:rsid w:val="006D4396"/>
    <w:rsid w:val="006D5E87"/>
    <w:rsid w:val="006E7EA2"/>
    <w:rsid w:val="00733F84"/>
    <w:rsid w:val="00766B71"/>
    <w:rsid w:val="00776154"/>
    <w:rsid w:val="007A71C1"/>
    <w:rsid w:val="008037F9"/>
    <w:rsid w:val="00807748"/>
    <w:rsid w:val="00816488"/>
    <w:rsid w:val="00837D80"/>
    <w:rsid w:val="00901243"/>
    <w:rsid w:val="00934FAA"/>
    <w:rsid w:val="00965BB9"/>
    <w:rsid w:val="00994572"/>
    <w:rsid w:val="00994B89"/>
    <w:rsid w:val="009A3443"/>
    <w:rsid w:val="009B2283"/>
    <w:rsid w:val="009F79F3"/>
    <w:rsid w:val="00A727A6"/>
    <w:rsid w:val="00A77320"/>
    <w:rsid w:val="00AD53F1"/>
    <w:rsid w:val="00AE1008"/>
    <w:rsid w:val="00B01249"/>
    <w:rsid w:val="00B27BFE"/>
    <w:rsid w:val="00B428E1"/>
    <w:rsid w:val="00B826D3"/>
    <w:rsid w:val="00BC7043"/>
    <w:rsid w:val="00BE43D4"/>
    <w:rsid w:val="00BF0EEE"/>
    <w:rsid w:val="00BF728B"/>
    <w:rsid w:val="00C37891"/>
    <w:rsid w:val="00C732CD"/>
    <w:rsid w:val="00C814FA"/>
    <w:rsid w:val="00CA013B"/>
    <w:rsid w:val="00CB7EB0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41AA2"/>
    <w:rsid w:val="00E5136A"/>
    <w:rsid w:val="00E94919"/>
    <w:rsid w:val="00EB048D"/>
    <w:rsid w:val="00EB734F"/>
    <w:rsid w:val="00EC4CCF"/>
    <w:rsid w:val="00EF296A"/>
    <w:rsid w:val="00F3384D"/>
    <w:rsid w:val="00F517DF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45</Pages>
  <Words>10485</Words>
  <Characters>59770</Characters>
  <Application>Microsoft Office Word</Application>
  <DocSecurity>0</DocSecurity>
  <Lines>498</Lines>
  <Paragraphs>140</Paragraphs>
  <ScaleCrop>false</ScaleCrop>
  <Company>China</Company>
  <LinksUpToDate>false</LinksUpToDate>
  <CharactersWithSpaces>70115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2018-07-04T10:41:00Z</dcterms:created>
  <dcterms:modified xsi:type="dcterms:W3CDTF">2018-07-22T13:09:00Z</dcterms:modified>
</cp:coreProperties>
</file>