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db_Sustentabilizei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parâmetros da tabela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String(500)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DIrecionar escolhas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String(500)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tema. Facilita a escolha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de busca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parâmetros da tabela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String(500)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String(500)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de fotos e videos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hashtags como ferramentas de busca e interação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da tabela Tema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Relacionamento da tabela Usuário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parâmetros da tabela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String(255)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escolhida pelo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AtR1TTzspeKbEqtzSu++1ps8A==">AMUW2mUXW2FIl+dCaQ8PIddVoTpm+xOZb4tGWz7dDwa4YW74ddipfCH/A6ik9/CrrmgD/dP5NYq3iqxIKnOVnjp29wIBqYePYqSHvnlgEkq4e/o3wsoxYCw=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