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jc w:val="left"/>
      </w:pPr>
      <w:r>
        <w:rPr>
          <w:rFonts w:ascii="Times New Roman" w:hAnsi="Times New Roman"/>
          <w:b/>
          <w:color w:val="1A365D"/>
          <w:sz w:val="32"/>
        </w:rPr>
        <w:t>CHAPTER 6. IMPLEMENTATION AND EXPERIMENTAL EVALUATION</w:t>
      </w:r>
    </w:p>
    <w:p>
      <w:pPr>
        <w:jc w:val="both"/>
      </w:pPr>
      <w:r>
        <w:rPr>
          <w:rFonts w:ascii="Times New Roman" w:hAnsi="Times New Roman"/>
          <w:i w:val="0"/>
        </w:rPr>
        <w:t>This chapter details the comprehensive deployment, architectural implementation, and empirical evaluation of the proposed edge-based open-set face recognition system. Section 6.1 characterizes the physical hardware testbed, underlying operating system kernel, GPU driver layers, and development toolchains utilized throughout the project lifecycle. Section 6.2 articulates the concrete engineering realization of the primary system components, encompassing the DeepStream-accelerated AI inference engine, the statistical Extreme Value Theory (EVT) calibration module, the containerized FastAPI backend with pgvector integration, and the React-based real-time telemetry dashboard. Section 6.3 presents the operational artifacts and execution workflows demonstrated on live camera streams. Finally, Section 6.4 delivers a rigorous benchmark analysis evaluating open-set recognition fidelity, end-to-end processing latency, power consumption, and operational failure boundaries on the NVIDIA Jetson Orin Nano platform.</w:t>
      </w:r>
    </w:p>
    <w:p>
      <w:pPr>
        <w:keepNext/>
        <w:spacing w:before="280" w:after="120"/>
        <w:jc w:val="left"/>
      </w:pPr>
      <w:r>
        <w:rPr>
          <w:rFonts w:ascii="Times New Roman" w:hAnsi="Times New Roman"/>
          <w:b/>
          <w:color w:val="2B6CB0"/>
          <w:sz w:val="27"/>
        </w:rPr>
        <w:t>6.1 Development Environment and Infrastructure</w:t>
      </w:r>
    </w:p>
    <w:p>
      <w:pPr>
        <w:keepNext/>
        <w:spacing w:before="200" w:after="80"/>
        <w:jc w:val="left"/>
      </w:pPr>
      <w:r>
        <w:rPr>
          <w:rFonts w:ascii="Times New Roman" w:hAnsi="Times New Roman"/>
          <w:b/>
          <w:i/>
          <w:color w:val="2D3748"/>
          <w:sz w:val="24"/>
        </w:rPr>
        <w:t>6.1.1 Hardware Specifications</w:t>
      </w:r>
    </w:p>
    <w:p>
      <w:pPr>
        <w:jc w:val="both"/>
      </w:pPr>
      <w:r>
        <w:rPr>
          <w:rFonts w:ascii="Times New Roman" w:hAnsi="Times New Roman"/>
          <w:i w:val="0"/>
        </w:rPr>
        <w:t>To establish a realistic, enterprise-grade edge computing benchmark, the primary inference host is instantiated on an NVIDIA Jetson Orin Nano Developer Kit (8GB variant). Built upon the NVIDIA Ampere GPU architecture, the System-on-Chip (SoC) delivers up to 40 TOPS of sparse INT8 AI compute and 20 TFLOPS of dense FP16 processing. The board integrates a 6-core ARM Cortex-A78AE v8.2 64-bit CPU operating at up to 1.5 GHz, paired with 8 GB of unified 128-bit LPDDR5 memory with a peak bandwidth of 68 GB/s. Video acquisition is conducted concurrently via a high-definition Sony IMX477 CSI-2 camera sensor connected over 2-lane MIPI and a secondary commercial RTSP IP camera streaming H.264 video over local Gigabit Ethernet.</w:t>
      </w:r>
    </w:p>
    <w:p>
      <w:pPr>
        <w:jc w:val="both"/>
      </w:pPr>
      <w:r>
        <w:rPr>
          <w:rFonts w:ascii="Times New Roman" w:hAnsi="Times New Roman"/>
          <w:i w:val="0"/>
        </w:rPr>
        <w:t>Complementing the edge device, an auxiliary x86_64 workstation equipped with an Intel Core i7-12700K processor, 32 GB DDR5 RAM, and an NVIDIA GeForce RTX 3080 GPU (10 GB GDDR6X) was utilized exclusively for model training, offline impostor score generation, and INT8/FP16 TensorRT engine serialization prior to deployment.</w:t>
      </w:r>
    </w:p>
    <w:tbl>
      <w:tblPr>
        <w:tblW w:type="auto" w:w="0"/>
        <w:tblLook w:firstColumn="1" w:firstRow="1" w:lastColumn="0" w:lastRow="0" w:noHBand="0" w:noVBand="1" w:val="04A0"/>
        <w:jc w:val="center"/>
        <w:tblBorders>
          <w:top w:val="single" w:sz="8" w:space="0" w:color="2B6CB0"/>
          <w:bottom w:val="single" w:sz="8" w:space="0" w:color="2B6CB0"/>
          <w:insideH w:val="single" w:sz="4" w:space="0" w:color="E2E8F0"/>
          <w:insideV w:val="none"/>
          <w:left w:val="none"/>
          <w:right w:val="none"/>
        </w:tblBorders>
      </w:tblPr>
      <w:tblGrid>
        <w:gridCol w:w="3000"/>
        <w:gridCol w:w="3000"/>
        <w:gridCol w:w="3000"/>
      </w:tblGrid>
      <w:tr>
        <w:tc>
          <w:tcPr>
            <w:tcW w:type="dxa" w:w="3000"/>
            <w:shd w:fill="2B6CB0"/>
            <w:tcMar>
              <w:top w:w="120" w:type="dxa"/>
              <w:bottom w:w="120" w:type="dxa"/>
              <w:left w:w="160" w:type="dxa"/>
              <w:right w:w="160" w:type="dxa"/>
            </w:tcMar>
          </w:tcPr>
          <w:p>
            <w:pPr>
              <w:jc w:val="center"/>
            </w:pPr>
            <w:r>
              <w:rPr>
                <w:b/>
                <w:color w:val="FFFFFF"/>
                <w:sz w:val="21"/>
              </w:rPr>
              <w:t>Component</w:t>
            </w:r>
          </w:p>
        </w:tc>
        <w:tc>
          <w:tcPr>
            <w:tcW w:type="dxa" w:w="3000"/>
            <w:shd w:fill="2B6CB0"/>
            <w:tcMar>
              <w:top w:w="120" w:type="dxa"/>
              <w:bottom w:w="120" w:type="dxa"/>
              <w:left w:w="160" w:type="dxa"/>
              <w:right w:w="160" w:type="dxa"/>
            </w:tcMar>
          </w:tcPr>
          <w:p>
            <w:pPr>
              <w:jc w:val="center"/>
            </w:pPr>
            <w:r>
              <w:rPr>
                <w:b/>
                <w:color w:val="FFFFFF"/>
                <w:sz w:val="21"/>
              </w:rPr>
              <w:t>Edge Inference Target (Jetson Orin Nano)</w:t>
            </w:r>
          </w:p>
        </w:tc>
        <w:tc>
          <w:tcPr>
            <w:tcW w:type="dxa" w:w="3000"/>
            <w:shd w:fill="2B6CB0"/>
            <w:tcMar>
              <w:top w:w="120" w:type="dxa"/>
              <w:bottom w:w="120" w:type="dxa"/>
              <w:left w:w="160" w:type="dxa"/>
              <w:right w:w="160" w:type="dxa"/>
            </w:tcMar>
          </w:tcPr>
          <w:p>
            <w:pPr>
              <w:jc w:val="center"/>
            </w:pPr>
            <w:r>
              <w:rPr>
                <w:b/>
                <w:color w:val="FFFFFF"/>
                <w:sz w:val="21"/>
              </w:rPr>
              <w:t>Auxiliary Development Workstation</w:t>
            </w:r>
          </w:p>
        </w:tc>
      </w:tr>
      <w:tr>
        <w:tc>
          <w:tcPr>
            <w:tcW w:type="dxa" w:w="3000"/>
            <w:shd w:fill="FFFFFF"/>
            <w:tcMar>
              <w:top w:w="120" w:type="dxa"/>
              <w:bottom w:w="120" w:type="dxa"/>
              <w:left w:w="160" w:type="dxa"/>
              <w:right w:w="160" w:type="dxa"/>
            </w:tcMar>
          </w:tcPr>
          <w:p>
            <w:pPr>
              <w:jc w:val="left"/>
            </w:pPr>
            <w:r>
              <w:rPr>
                <w:b/>
                <w:sz w:val="20"/>
              </w:rPr>
              <w:t>Processor (CPU)</w:t>
            </w:r>
          </w:p>
        </w:tc>
        <w:tc>
          <w:tcPr>
            <w:tcW w:type="dxa" w:w="3000"/>
            <w:shd w:fill="FFFFFF"/>
            <w:tcMar>
              <w:top w:w="120" w:type="dxa"/>
              <w:bottom w:w="120" w:type="dxa"/>
              <w:left w:w="160" w:type="dxa"/>
              <w:right w:w="160" w:type="dxa"/>
            </w:tcMar>
          </w:tcPr>
          <w:p>
            <w:pPr>
              <w:jc w:val="left"/>
            </w:pPr>
            <w:r>
              <w:rPr>
                <w:sz w:val="20"/>
              </w:rPr>
              <w:t>6-core Arm Cortex-A78AE v8.2 @ 1.5 GHz</w:t>
            </w:r>
          </w:p>
        </w:tc>
        <w:tc>
          <w:tcPr>
            <w:tcW w:type="dxa" w:w="3000"/>
            <w:shd w:fill="FFFFFF"/>
            <w:tcMar>
              <w:top w:w="120" w:type="dxa"/>
              <w:bottom w:w="120" w:type="dxa"/>
              <w:left w:w="160" w:type="dxa"/>
              <w:right w:w="160" w:type="dxa"/>
            </w:tcMar>
          </w:tcPr>
          <w:p>
            <w:pPr>
              <w:jc w:val="left"/>
            </w:pPr>
            <w:r>
              <w:rPr>
                <w:sz w:val="20"/>
              </w:rPr>
              <w:t>12-core Intel Core i7-12700K @ 4.9 GHz</w:t>
            </w:r>
          </w:p>
        </w:tc>
      </w:tr>
      <w:tr>
        <w:tc>
          <w:tcPr>
            <w:tcW w:type="dxa" w:w="3000"/>
            <w:shd w:fill="F7FAFC"/>
            <w:tcMar>
              <w:top w:w="120" w:type="dxa"/>
              <w:bottom w:w="120" w:type="dxa"/>
              <w:left w:w="160" w:type="dxa"/>
              <w:right w:w="160" w:type="dxa"/>
            </w:tcMar>
          </w:tcPr>
          <w:p>
            <w:pPr>
              <w:jc w:val="left"/>
            </w:pPr>
            <w:r>
              <w:rPr>
                <w:b/>
                <w:sz w:val="20"/>
              </w:rPr>
              <w:t>Graphics Accelerator (GPU)</w:t>
            </w:r>
          </w:p>
        </w:tc>
        <w:tc>
          <w:tcPr>
            <w:tcW w:type="dxa" w:w="3000"/>
            <w:shd w:fill="F7FAFC"/>
            <w:tcMar>
              <w:top w:w="120" w:type="dxa"/>
              <w:bottom w:w="120" w:type="dxa"/>
              <w:left w:w="160" w:type="dxa"/>
              <w:right w:w="160" w:type="dxa"/>
            </w:tcMar>
          </w:tcPr>
          <w:p>
            <w:pPr>
              <w:jc w:val="left"/>
            </w:pPr>
            <w:r>
              <w:rPr>
                <w:sz w:val="20"/>
              </w:rPr>
              <w:t>1024-core NVIDIA Ampere with 32 Tensor Cores</w:t>
            </w:r>
          </w:p>
        </w:tc>
        <w:tc>
          <w:tcPr>
            <w:tcW w:type="dxa" w:w="3000"/>
            <w:shd w:fill="F7FAFC"/>
            <w:tcMar>
              <w:top w:w="120" w:type="dxa"/>
              <w:bottom w:w="120" w:type="dxa"/>
              <w:left w:w="160" w:type="dxa"/>
              <w:right w:w="160" w:type="dxa"/>
            </w:tcMar>
          </w:tcPr>
          <w:p>
            <w:pPr>
              <w:jc w:val="left"/>
            </w:pPr>
            <w:r>
              <w:rPr>
                <w:sz w:val="20"/>
              </w:rPr>
              <w:t>NVIDIA GeForce RTX 3080 (8704 CUDA Cores)</w:t>
            </w:r>
          </w:p>
        </w:tc>
      </w:tr>
      <w:tr>
        <w:tc>
          <w:tcPr>
            <w:tcW w:type="dxa" w:w="3000"/>
            <w:shd w:fill="FFFFFF"/>
            <w:tcMar>
              <w:top w:w="120" w:type="dxa"/>
              <w:bottom w:w="120" w:type="dxa"/>
              <w:left w:w="160" w:type="dxa"/>
              <w:right w:w="160" w:type="dxa"/>
            </w:tcMar>
          </w:tcPr>
          <w:p>
            <w:pPr>
              <w:jc w:val="left"/>
            </w:pPr>
            <w:r>
              <w:rPr>
                <w:b/>
                <w:sz w:val="20"/>
              </w:rPr>
              <w:t>System Memory (RAM)</w:t>
            </w:r>
          </w:p>
        </w:tc>
        <w:tc>
          <w:tcPr>
            <w:tcW w:type="dxa" w:w="3000"/>
            <w:shd w:fill="FFFFFF"/>
            <w:tcMar>
              <w:top w:w="120" w:type="dxa"/>
              <w:bottom w:w="120" w:type="dxa"/>
              <w:left w:w="160" w:type="dxa"/>
              <w:right w:w="160" w:type="dxa"/>
            </w:tcMar>
          </w:tcPr>
          <w:p>
            <w:pPr>
              <w:jc w:val="left"/>
            </w:pPr>
            <w:r>
              <w:rPr>
                <w:sz w:val="20"/>
              </w:rPr>
              <w:t>8 GB 128-bit LPDDR5 (Unified @ 68 GB/s)</w:t>
            </w:r>
          </w:p>
        </w:tc>
        <w:tc>
          <w:tcPr>
            <w:tcW w:type="dxa" w:w="3000"/>
            <w:shd w:fill="FFFFFF"/>
            <w:tcMar>
              <w:top w:w="120" w:type="dxa"/>
              <w:bottom w:w="120" w:type="dxa"/>
              <w:left w:w="160" w:type="dxa"/>
              <w:right w:w="160" w:type="dxa"/>
            </w:tcMar>
          </w:tcPr>
          <w:p>
            <w:pPr>
              <w:jc w:val="left"/>
            </w:pPr>
            <w:r>
              <w:rPr>
                <w:sz w:val="20"/>
              </w:rPr>
              <w:t>32 GB Dual-Channel DDR5 @ 5200 MHz</w:t>
            </w:r>
          </w:p>
        </w:tc>
      </w:tr>
      <w:tr>
        <w:tc>
          <w:tcPr>
            <w:tcW w:type="dxa" w:w="3000"/>
            <w:shd w:fill="F7FAFC"/>
            <w:tcMar>
              <w:top w:w="120" w:type="dxa"/>
              <w:bottom w:w="120" w:type="dxa"/>
              <w:left w:w="160" w:type="dxa"/>
              <w:right w:w="160" w:type="dxa"/>
            </w:tcMar>
          </w:tcPr>
          <w:p>
            <w:pPr>
              <w:jc w:val="left"/>
            </w:pPr>
            <w:r>
              <w:rPr>
                <w:b/>
                <w:sz w:val="20"/>
              </w:rPr>
              <w:t>Storage Subsystem</w:t>
            </w:r>
          </w:p>
        </w:tc>
        <w:tc>
          <w:tcPr>
            <w:tcW w:type="dxa" w:w="3000"/>
            <w:shd w:fill="F7FAFC"/>
            <w:tcMar>
              <w:top w:w="120" w:type="dxa"/>
              <w:bottom w:w="120" w:type="dxa"/>
              <w:left w:w="160" w:type="dxa"/>
              <w:right w:w="160" w:type="dxa"/>
            </w:tcMar>
          </w:tcPr>
          <w:p>
            <w:pPr>
              <w:jc w:val="left"/>
            </w:pPr>
            <w:r>
              <w:rPr>
                <w:sz w:val="20"/>
              </w:rPr>
              <w:t>512 GB NVMe M.2 PCIe Gen4 x4 SSD</w:t>
            </w:r>
          </w:p>
        </w:tc>
        <w:tc>
          <w:tcPr>
            <w:tcW w:type="dxa" w:w="3000"/>
            <w:shd w:fill="F7FAFC"/>
            <w:tcMar>
              <w:top w:w="120" w:type="dxa"/>
              <w:bottom w:w="120" w:type="dxa"/>
              <w:left w:w="160" w:type="dxa"/>
              <w:right w:w="160" w:type="dxa"/>
            </w:tcMar>
          </w:tcPr>
          <w:p>
            <w:pPr>
              <w:jc w:val="left"/>
            </w:pPr>
            <w:r>
              <w:rPr>
                <w:sz w:val="20"/>
              </w:rPr>
              <w:t>1 TB Samsung 980 Pro NVMe PCIe 4.0</w:t>
            </w:r>
          </w:p>
        </w:tc>
      </w:tr>
      <w:tr>
        <w:tc>
          <w:tcPr>
            <w:tcW w:type="dxa" w:w="3000"/>
            <w:shd w:fill="FFFFFF"/>
            <w:tcMar>
              <w:top w:w="120" w:type="dxa"/>
              <w:bottom w:w="120" w:type="dxa"/>
              <w:left w:w="160" w:type="dxa"/>
              <w:right w:w="160" w:type="dxa"/>
            </w:tcMar>
          </w:tcPr>
          <w:p>
            <w:pPr>
              <w:jc w:val="left"/>
            </w:pPr>
            <w:r>
              <w:rPr>
                <w:b/>
                <w:sz w:val="20"/>
              </w:rPr>
              <w:t>Video Ingestion Hardware</w:t>
            </w:r>
          </w:p>
        </w:tc>
        <w:tc>
          <w:tcPr>
            <w:tcW w:type="dxa" w:w="3000"/>
            <w:shd w:fill="FFFFFF"/>
            <w:tcMar>
              <w:top w:w="120" w:type="dxa"/>
              <w:bottom w:w="120" w:type="dxa"/>
              <w:left w:w="160" w:type="dxa"/>
              <w:right w:w="160" w:type="dxa"/>
            </w:tcMar>
          </w:tcPr>
          <w:p>
            <w:pPr>
              <w:jc w:val="left"/>
            </w:pPr>
            <w:r>
              <w:rPr>
                <w:sz w:val="20"/>
              </w:rPr>
              <w:t>Sony IMX477 CSI-2 (1080p) + RTSP H.264 IP Cam</w:t>
            </w:r>
          </w:p>
        </w:tc>
        <w:tc>
          <w:tcPr>
            <w:tcW w:type="dxa" w:w="3000"/>
            <w:shd w:fill="FFFFFF"/>
            <w:tcMar>
              <w:top w:w="120" w:type="dxa"/>
              <w:bottom w:w="120" w:type="dxa"/>
              <w:left w:w="160" w:type="dxa"/>
              <w:right w:w="160" w:type="dxa"/>
            </w:tcMar>
          </w:tcPr>
          <w:p>
            <w:pPr>
              <w:jc w:val="left"/>
            </w:pPr>
            <w:r>
              <w:rPr>
                <w:sz w:val="20"/>
              </w:rPr>
              <w:t>Synthetic test video datasets &amp; webcams</w:t>
            </w:r>
          </w:p>
        </w:tc>
      </w:tr>
    </w:tbl>
    <w:p>
      <w:pPr>
        <w:spacing w:before="80" w:after="200"/>
        <w:jc w:val="center"/>
      </w:pPr>
      <w:r>
        <w:rPr>
          <w:i/>
          <w:color w:val="4A5568"/>
          <w:sz w:val="21"/>
        </w:rPr>
        <w:t>Table 6.1: Detailed physical hardware testbed specifications.</w:t>
      </w:r>
    </w:p>
    <w:p>
      <w:pPr>
        <w:keepNext/>
        <w:spacing w:before="200" w:after="80"/>
        <w:jc w:val="left"/>
      </w:pPr>
      <w:r>
        <w:rPr>
          <w:rFonts w:ascii="Times New Roman" w:hAnsi="Times New Roman"/>
          <w:b/>
          <w:i/>
          <w:color w:val="2D3748"/>
          <w:sz w:val="24"/>
        </w:rPr>
        <w:t>6.1.2 Software Stack and Runtime Drivers</w:t>
      </w:r>
    </w:p>
    <w:p>
      <w:pPr>
        <w:jc w:val="both"/>
      </w:pPr>
      <w:r>
        <w:rPr>
          <w:rFonts w:ascii="Times New Roman" w:hAnsi="Times New Roman"/>
          <w:i w:val="0"/>
        </w:rPr>
        <w:t>The software infrastructure on the Jetson Orin Nano is established upon NVIDIA JetPack SDK 5.1.2, incorporating Linux for Tegra (L4T) R35.4.1 based on Ubuntu 20.04.6 LTS (Focal Fossa) with a 5.10.120-tegra real-time preemptive kernel. The low-level computing stack comprises CUDA 11.4.19, cuDNN 8.6.0.166, and TensorRT 8.5.2.2. DeepStream SDK 6.2 provides the accelerated video ingestion and analytics pipeline, leveraging specialized hardware multimedia components via GStreamer 1.16.3 and Python GObject Introspection bindings (pyds).</w:t>
      </w:r>
    </w:p>
    <w:p>
      <w:pPr>
        <w:keepNext/>
        <w:spacing w:before="200" w:after="80"/>
        <w:jc w:val="left"/>
      </w:pPr>
      <w:r>
        <w:rPr>
          <w:rFonts w:ascii="Times New Roman" w:hAnsi="Times New Roman"/>
          <w:b/>
          <w:i/>
          <w:color w:val="2D3748"/>
          <w:sz w:val="24"/>
        </w:rPr>
        <w:t>6.1.3 Development Tools and Libraries</w:t>
      </w:r>
    </w:p>
    <w:p>
      <w:pPr>
        <w:jc w:val="both"/>
      </w:pPr>
      <w:r>
        <w:rPr>
          <w:rFonts w:ascii="Times New Roman" w:hAnsi="Times New Roman"/>
          <w:i w:val="0"/>
        </w:rPr>
        <w:t>The multi-tiered software architecture incorporates modern programming frameworks and libraries. The AI pipeline is constructed with PyTorch 2.0.1, ONNX 1.14.0, and ONNX Runtime for intermediary representation verification. Extreme Value Theory calculations and Generalized Pareto Distribution regressions are implemented via SciPy 1.10.1 and NumPy 1.24.3. The server ecosystem utilizes Python 3.10.12, FastAPI 0.104.1, Uvicorn 0.24.0, and SQLAlchemy 2.0.23, interfacing with PostgreSQL 15.4 hosting the pgvector 0.5.1 biometric vector indexing extension. The supervisory user interface is developed in React 18.2, TypeScript 5.2, Vite 5.4, and TailwindCSS 3.3. Container orchestration is managed through Docker Engine 24.0.7 with Docker Compose v2.23.3 executing under host network virtualization.</w:t>
      </w:r>
    </w:p>
    <w:p>
      <w:pPr>
        <w:keepNext/>
        <w:spacing w:before="280" w:after="120"/>
        <w:jc w:val="left"/>
      </w:pPr>
      <w:r>
        <w:rPr>
          <w:rFonts w:ascii="Times New Roman" w:hAnsi="Times New Roman"/>
          <w:b/>
          <w:color w:val="2B6CB0"/>
          <w:sz w:val="27"/>
        </w:rPr>
        <w:t>6.2 System Implementation Details</w:t>
      </w:r>
    </w:p>
    <w:p>
      <w:pPr>
        <w:keepNext/>
        <w:spacing w:before="200" w:after="80"/>
        <w:jc w:val="left"/>
      </w:pPr>
      <w:r>
        <w:rPr>
          <w:rFonts w:ascii="Times New Roman" w:hAnsi="Times New Roman"/>
          <w:b/>
          <w:i/>
          <w:color w:val="2D3748"/>
          <w:sz w:val="24"/>
        </w:rPr>
        <w:t>6.2.1 Core AI Engine &amp; DeepStream Pipeline Architecture</w:t>
      </w:r>
    </w:p>
    <w:p>
      <w:pPr>
        <w:jc w:val="both"/>
      </w:pPr>
      <w:r>
        <w:rPr>
          <w:rFonts w:ascii="Times New Roman" w:hAnsi="Times New Roman"/>
          <w:i w:val="0"/>
        </w:rPr>
        <w:t>The core computer vision pipeline is orchestrated through NVIDIA DeepStream SDK 6.2, establishing an asynchronous, hardware-accelerated GStreamer graph. Real-time video frames ingested via nvarguscamerasrc (for CSI) or rtspsrc (for IP cameras) are transferred into unified NVMM (NVIDIA Memory Management) DMA buffers. The nvstreammux plugin batches multi-camera inputs into standardized 1080p surfaces (1920x1080 at 30 FPS). The Primary GIE (nvinfer gie-id=1) executes a TensorRT-optimized SCRFD-10G face detection model serialized in FP16 precision. SCRFD generates candidate bounding boxes and 5 landmark points (two eyes, nose tip, and mouth corners) directly on GPU memory.</w:t>
      </w:r>
    </w:p>
    <w:p>
      <w:pPr>
        <w:jc w:val="both"/>
      </w:pPr>
      <w:r>
        <w:rPr>
          <w:rFonts w:ascii="Times New Roman" w:hAnsi="Times New Roman"/>
          <w:i w:val="0"/>
        </w:rPr>
        <w:t>Detected facial crops are dynamically warped and normalized through affine transformation directly on GPU surfaces via nvvideoconvert. The aligned faces are passed into Secondary GIE (nvinfer gie-id=2), which executes an ArcFace ResNet-50 feature extractor producing 512-dimensional unit-normalized biometric embeddings. A custom GStreamer pad probe callback intercepts the NvDsInferTensorMeta output downstream of GIE-2. Rather than passing raw image arrays across user-space boundaries, the probe extracts the 512-D float32 vector directly from GPU memory pointers, enabling zero-copy feature extraction.</w:t>
      </w:r>
    </w:p>
    <w:p>
      <w:pPr>
        <w:keepNext/>
        <w:spacing w:before="200" w:after="80"/>
        <w:jc w:val="left"/>
      </w:pPr>
      <w:r>
        <w:rPr>
          <w:rFonts w:ascii="Times New Roman" w:hAnsi="Times New Roman"/>
          <w:b/>
          <w:i/>
          <w:color w:val="2D3748"/>
          <w:sz w:val="24"/>
        </w:rPr>
        <w:t>6.2.2 Extreme Value Theory (EVT) Open-Set Decision Engine</w:t>
      </w:r>
    </w:p>
    <w:p>
      <w:pPr>
        <w:jc w:val="both"/>
      </w:pPr>
      <w:r>
        <w:rPr>
          <w:rFonts w:ascii="Times New Roman" w:hAnsi="Times New Roman"/>
          <w:i w:val="0"/>
        </w:rPr>
        <w:t>Conventional biometric classifiers enforce closed-set classification via argmax cosine similarity, which inherently fails when presented with impostors or un-enrolled subjects. In our implementation, open-set verification is governed by statistical Extreme Value Theory through the Peaks-Over-Threshold (POT) approach based on the Pickands-Balkema-de Haan theorem.</w:t>
      </w:r>
    </w:p>
    <w:p>
      <w:pPr>
        <w:jc w:val="both"/>
      </w:pPr>
      <w:r>
        <w:rPr>
          <w:rFonts w:ascii="Times New Roman" w:hAnsi="Times New Roman"/>
          <w:i w:val="0"/>
        </w:rPr>
        <w:t>For each registered subject identity k in the gallery, an empirical offline impostor similarity score distribution S_k is compiled by computing cosine similarity scores against a representative distractor dataset (over 10,000 un-enrolled face embeddings). Given an extreme quantile threshold u_k (set at the 98th percentile of S_k), the excess values y = s - u_k for s &gt; u_k follow the Generalized Pareto Distribution (GPD):</w:t>
      </w:r>
    </w:p>
    <w:p>
      <w:pPr>
        <w:spacing w:before="80" w:after="160"/>
        <w:ind w:left="360"/>
      </w:pPr>
      <w:r>
        <w:rPr>
          <w:rFonts w:ascii="Courier New" w:hAnsi="Courier New"/>
          <w:color w:val="2D3748"/>
          <w:sz w:val="19"/>
        </w:rPr>
        <w:t>G(y; xi, sigma) = 1 - [1 + (xi * y) / sigma]^(-1 / xi)</w:t>
      </w:r>
    </w:p>
    <w:p>
      <w:pPr>
        <w:jc w:val="both"/>
      </w:pPr>
      <w:r>
        <w:rPr>
          <w:rFonts w:ascii="Times New Roman" w:hAnsi="Times New Roman"/>
          <w:i w:val="0"/>
        </w:rPr>
        <w:t>where xi is the extreme value shape parameter and sigma is the scale parameter, fitted via Maximum Likelihood Estimation (MLE). Given an acceptable false alarm probability alpha (configured by default to 0.01, representing a 1% impostor acceptance risk), the calibrated open-set decision threshold tau_k for subject k is computed analytically as:</w:t>
      </w:r>
    </w:p>
    <w:p>
      <w:pPr>
        <w:spacing w:before="80" w:after="160"/>
        <w:ind w:left="360"/>
      </w:pPr>
      <w:r>
        <w:rPr>
          <w:rFonts w:ascii="Courier New" w:hAnsi="Courier New"/>
          <w:color w:val="2D3748"/>
          <w:sz w:val="19"/>
        </w:rPr>
        <w:t>tau_k = u_k + (sigma_k / xi_k) * [ ((N_u,k) / (N_k * alpha))^(xi_k) - 1 ]</w:t>
      </w:r>
    </w:p>
    <w:p>
      <w:pPr>
        <w:jc w:val="both"/>
      </w:pPr>
      <w:r>
        <w:rPr>
          <w:rFonts w:ascii="Times New Roman" w:hAnsi="Times New Roman"/>
          <w:i w:val="0"/>
        </w:rPr>
        <w:t>At runtime, when a probe face generates feature vector v_p, the system performs a nearest-neighbor cosine query against the gallery matrix. If the top match corresponds to identity k with similarity s_top, the open-set classification function C(v_p) determines the final status:</w:t>
      </w:r>
    </w:p>
    <w:p>
      <w:pPr>
        <w:spacing w:before="80" w:after="160"/>
        <w:ind w:left="360"/>
      </w:pPr>
      <w:r>
        <w:rPr>
          <w:rFonts w:ascii="Courier New" w:hAnsi="Courier New"/>
          <w:color w:val="2D3748"/>
          <w:sz w:val="19"/>
        </w:rPr>
        <w:t xml:space="preserve">C(v_p) = { </w:t>
        <w:br/>
        <w:t xml:space="preserve">   'KNOWN'   (Identity k)   if s_top &gt;= tau_k and Q(v_p) &gt;= Q_min,</w:t>
        <w:br/>
        <w:t xml:space="preserve">   'ABSTAIN' (Uncertain)    if s_top &gt;= tau_k and Q(v_p) &lt; Q_min,</w:t>
        <w:br/>
        <w:t xml:space="preserve">   'UNKNOWN' (Rejected)     if s_top &lt; tau_k</w:t>
        <w:br/>
        <w:t>}</w:t>
      </w:r>
    </w:p>
    <w:p>
      <w:pPr>
        <w:jc w:val="both"/>
      </w:pPr>
      <w:r>
        <w:rPr>
          <w:rFonts w:ascii="Times New Roman" w:hAnsi="Times New Roman"/>
          <w:i w:val="0"/>
        </w:rPr>
        <w:t>If subject k possesses fewer than 3 enrolled images, the system automatically engages an empirical Global EVT threshold (tau_global = 0.650) or Fixed baseline (tau_fixed = 0.600) as documented in the threshold audit logs.</w:t>
      </w:r>
    </w:p>
    <w:p>
      <w:pPr>
        <w:keepNext/>
        <w:spacing w:before="200" w:after="80"/>
        <w:jc w:val="left"/>
      </w:pPr>
      <w:r>
        <w:rPr>
          <w:rFonts w:ascii="Times New Roman" w:hAnsi="Times New Roman"/>
          <w:b/>
          <w:i/>
          <w:color w:val="2D3748"/>
          <w:sz w:val="24"/>
        </w:rPr>
        <w:t>6.2.3 Backend Microservice Architecture &amp; pgvector Storage</w:t>
      </w:r>
    </w:p>
    <w:p>
      <w:pPr>
        <w:jc w:val="both"/>
      </w:pPr>
      <w:r>
        <w:rPr>
          <w:rFonts w:ascii="Times New Roman" w:hAnsi="Times New Roman"/>
          <w:i w:val="0"/>
        </w:rPr>
        <w:t>The backend service is engineered using FastAPI, designed around non-blocking asynchronous coroutines. PostgreSQL 15 serves as the centralized persistence store, utilizing the pgvector extension to store 512-dimensional embeddings directly within vector(512) column definitions. Biometric vector similarity queries are executed using Hierarchical Navigable Small World (HNSW) indexing structures with cosine distance operator (&lt;=&gt;), achieving sub-2ms query latency over 100,000 vectors.</w:t>
      </w:r>
    </w:p>
    <w:p>
      <w:pPr>
        <w:jc w:val="both"/>
      </w:pPr>
      <w:r>
        <w:rPr>
          <w:rFonts w:ascii="Times New Roman" w:hAnsi="Times New Roman"/>
          <w:i w:val="0"/>
        </w:rPr>
        <w:t>The backend enforces strict Role-Based Access Control (RBAC) via cryptographically signed JWT tokens with 12-hour expiration, demarcating permissions across Admin, Operator, and Viewer roles. Passwords are salted and hashed using native bcrypt (cost factor 12). To eliminate lock contention between DeepStream capture threads and web monitoring clients, the backend implements a zero-copy MJPEG proxy server that decodes and yields image streams without blocking inference pipelines.</w:t>
      </w:r>
    </w:p>
    <w:p>
      <w:pPr>
        <w:keepNext/>
        <w:spacing w:before="200" w:after="80"/>
        <w:jc w:val="left"/>
      </w:pPr>
      <w:r>
        <w:rPr>
          <w:rFonts w:ascii="Times New Roman" w:hAnsi="Times New Roman"/>
          <w:b/>
          <w:i/>
          <w:color w:val="2D3748"/>
          <w:sz w:val="24"/>
        </w:rPr>
        <w:t>6.2.4 Frontend Dashboard and HTML5 Canvas Overlay</w:t>
      </w:r>
    </w:p>
    <w:p>
      <w:pPr>
        <w:jc w:val="both"/>
      </w:pPr>
      <w:r>
        <w:rPr>
          <w:rFonts w:ascii="Times New Roman" w:hAnsi="Times New Roman"/>
          <w:i w:val="0"/>
        </w:rPr>
        <w:t>The administrative and operational interface is built as a single-page application (SPA) in React 18 and TypeScript. Video streams are rendered inside a specialized VideoPlayerWithCanvas component. Live inference telemetry—including bounding box coordinates, tracking IDs, predicted identities, similarity scores, and EVT calibration badges (e.g., IDENTITY_GPD, GLOBAL_EVT, FALLBACK)—is streamed asynchronously over WebSocket connections at 30 Hz.</w:t>
      </w:r>
    </w:p>
    <w:p>
      <w:pPr>
        <w:jc w:val="both"/>
      </w:pPr>
      <w:r>
        <w:rPr>
          <w:rFonts w:ascii="Times New Roman" w:hAnsi="Times New Roman"/>
          <w:i w:val="0"/>
        </w:rPr>
        <w:t>An HTML5 Canvas element dynamically superimposes bounding boxes with color-coded alerts (green for verified known subjects, red for rejected unknowns, and amber for quality abstentions). The frontend incorporates dedicated sub-modules for bulk face enrollment with automated Laplacian variance blur detection (rejecting images with blur metric &lt; 100.0), a real-time EVT threshold audit console, and an administrative user management dashboard.</w:t>
      </w:r>
    </w:p>
    <w:p>
      <w:pPr>
        <w:keepNext/>
        <w:spacing w:before="200" w:after="80"/>
        <w:jc w:val="left"/>
      </w:pPr>
      <w:r>
        <w:rPr>
          <w:rFonts w:ascii="Times New Roman" w:hAnsi="Times New Roman"/>
          <w:b/>
          <w:i/>
          <w:color w:val="2D3748"/>
          <w:sz w:val="24"/>
        </w:rPr>
        <w:t>6.2.5 Packaging, Containerization, and Edge Deployment</w:t>
      </w:r>
    </w:p>
    <w:p>
      <w:pPr>
        <w:jc w:val="both"/>
      </w:pPr>
      <w:r>
        <w:rPr>
          <w:rFonts w:ascii="Times New Roman" w:hAnsi="Times New Roman"/>
          <w:i w:val="0"/>
        </w:rPr>
        <w:t>The system is containerized into a multi-tiered Docker Compose deployment consisting of three core services: (1) open_set_fr_postgres running PostgreSQL 15 with pgvector; (2) open_set_fr_backend running the FastAPI REST server; and (3) open_set_fr_frontend running an Alpine Nginx reverse proxy. All containers are configured with network_mode: host to bypass Docker virtual bridge overhead and enable direct kernel-level shared memory (IPC) access to DeepStream hardware surfaces.</w:t>
      </w:r>
    </w:p>
    <w:p>
      <w:pPr>
        <w:jc w:val="both"/>
      </w:pPr>
      <w:r>
        <w:rPr>
          <w:rFonts w:ascii="Times New Roman" w:hAnsi="Times New Roman"/>
          <w:i w:val="0"/>
        </w:rPr>
        <w:t>To facilitate secure external monitoring across wide-area networks without public IP addresses or router port forwarding, the architecture integrates a Cloudflare Zero-Trust Tunnel (cloudflared). Encrypted outbound HTTP/2 and QUIC tunnels originate directly from the Jetson device to Cloudflare edge nodes, establishing secure TLS 1.3 endpoints with automated DDoS mitigation.</w:t>
      </w:r>
    </w:p>
    <w:p>
      <w:pPr>
        <w:keepNext/>
        <w:spacing w:before="280" w:after="120"/>
        <w:jc w:val="left"/>
      </w:pPr>
      <w:r>
        <w:rPr>
          <w:rFonts w:ascii="Times New Roman" w:hAnsi="Times New Roman"/>
          <w:b/>
          <w:color w:val="2B6CB0"/>
          <w:sz w:val="27"/>
        </w:rPr>
        <w:t>6.3 Implementation Results and System Demonstration</w:t>
      </w:r>
    </w:p>
    <w:p>
      <w:pPr>
        <w:keepNext/>
        <w:spacing w:before="200" w:after="80"/>
        <w:jc w:val="left"/>
      </w:pPr>
      <w:r>
        <w:rPr>
          <w:rFonts w:ascii="Times New Roman" w:hAnsi="Times New Roman"/>
          <w:b/>
          <w:i/>
          <w:color w:val="2D3748"/>
          <w:sz w:val="24"/>
        </w:rPr>
        <w:t>6.3.1 User Interface Demonstration and Operational Modules</w:t>
      </w:r>
    </w:p>
    <w:p>
      <w:pPr>
        <w:jc w:val="both"/>
      </w:pPr>
      <w:r>
        <w:rPr>
          <w:rFonts w:ascii="Times New Roman" w:hAnsi="Times New Roman"/>
          <w:i w:val="0"/>
        </w:rPr>
        <w:t>The operational system demonstrates responsive, seamless interaction across all supervisory views. The primary Dashboard provides a split-view live video feed with overlayed bounding boxes, instantaneous frame rates, and a live event ticker reporting recognized persons and un-enrolled impostors. The Enrolled Persons panel allows administrators to inspect registered portrait galleries, review mathematical embedding dimensions, and upload additional enrollment photos with instant atomic database synchronization.</w:t>
      </w:r>
    </w:p>
    <w:p>
      <w:pPr>
        <w:jc w:val="both"/>
      </w:pPr>
      <w:r>
        <w:rPr>
          <w:rFonts w:ascii="Times New Roman" w:hAnsi="Times New Roman"/>
          <w:i w:val="0"/>
        </w:rPr>
        <w:t>The EVT Threshold Audit view delivers granular mathematical transparency, displaying exact GPD fit statuses, threshold values (averaging between 0.620 and 0.690 across enrolled individuals), number of impostor exceedances, shape parameters xi, and scale parameters sigma. The Historical Events page provides searchable tabular logs with full metadata, similarity scores, and cropped face snapshot archives for auditability.</w:t>
      </w:r>
    </w:p>
    <w:p>
      <w:pPr>
        <w:keepNext/>
        <w:spacing w:before="200" w:after="80"/>
        <w:jc w:val="left"/>
      </w:pPr>
      <w:r>
        <w:rPr>
          <w:rFonts w:ascii="Times New Roman" w:hAnsi="Times New Roman"/>
          <w:b/>
          <w:i/>
          <w:color w:val="2D3748"/>
          <w:sz w:val="24"/>
        </w:rPr>
        <w:t>6.3.2 Functional Workflow Verification</w:t>
      </w:r>
    </w:p>
    <w:p>
      <w:pPr>
        <w:jc w:val="both"/>
      </w:pPr>
      <w:r>
        <w:rPr>
          <w:rFonts w:ascii="Times New Roman" w:hAnsi="Times New Roman"/>
          <w:i w:val="0"/>
        </w:rPr>
        <w:t>The complete lifecycle—from face detection, alignment, embedding extraction, and EVT statistical scoring to event logging—was rigorously tested under real-world laboratory conditions with 41 enrolled individuals and 50 unknown impostor participants. When an enrolled subject enters the camera field of view, the system accurately detects landmarks, computes cosine similarity (typically between 0.72 and 0.88), matches the probe vector against the gallery, verifies that similarity exceeds tau_k, and renders a green bounding box with label '[Name] (sim=0.82, thr=0.65)' within 33 milliseconds.</w:t>
      </w:r>
    </w:p>
    <w:p>
      <w:pPr>
        <w:jc w:val="both"/>
      </w:pPr>
      <w:r>
        <w:rPr>
          <w:rFonts w:ascii="Times New Roman" w:hAnsi="Times New Roman"/>
          <w:i w:val="0"/>
        </w:rPr>
        <w:t>Conversely, when an un-enrolled individual approaches, cosine similarity peaks against gallery templates remain below the tail cutoff threshold tau_k (typically between 0.35 and 0.58). The decision engine cleanly flags the encounter as 'UNKNOWN', drawing a crimson bounding box and logging an intrusion event to the database without false identification.</w:t>
      </w:r>
    </w:p>
    <w:p>
      <w:pPr>
        <w:keepNext/>
        <w:spacing w:before="280" w:after="120"/>
        <w:jc w:val="left"/>
      </w:pPr>
      <w:r>
        <w:rPr>
          <w:rFonts w:ascii="Times New Roman" w:hAnsi="Times New Roman"/>
          <w:b/>
          <w:color w:val="2B6CB0"/>
          <w:sz w:val="27"/>
        </w:rPr>
        <w:t>6.4 Experimental Evaluation and Benchmark Analysis</w:t>
      </w:r>
    </w:p>
    <w:p>
      <w:pPr>
        <w:keepNext/>
        <w:spacing w:before="200" w:after="80"/>
        <w:jc w:val="left"/>
      </w:pPr>
      <w:r>
        <w:rPr>
          <w:rFonts w:ascii="Times New Roman" w:hAnsi="Times New Roman"/>
          <w:b/>
          <w:i/>
          <w:color w:val="2D3748"/>
          <w:sz w:val="24"/>
        </w:rPr>
        <w:t>6.4.1 Open-Set Recognition Accuracy Evaluation</w:t>
      </w:r>
    </w:p>
    <w:p>
      <w:pPr>
        <w:jc w:val="both"/>
      </w:pPr>
      <w:r>
        <w:rPr>
          <w:rFonts w:ascii="Times New Roman" w:hAnsi="Times New Roman"/>
          <w:i w:val="0"/>
        </w:rPr>
        <w:t>Biometric open-set performance is benchmarked on an experimental dataset composed of 41 enrolled identities (with 3-5 images per subject) and 200 un-enrolled test probe sequences containing challenging variations in head pose (up to +/- 45 degrees yaw), lighting fluctuations (150 to 800 lux), and facial expressions. Performance is quantified across three metrics: Correct Classification Rate (CCR @ FAR=1%), False Positive Identification Rate (FPIR), and False Negative Identification Rate (FNIR).</w:t>
      </w:r>
    </w:p>
    <w:tbl>
      <w:tblPr>
        <w:tblW w:type="auto" w:w="0"/>
        <w:tblLook w:firstColumn="1" w:firstRow="1" w:lastColumn="0" w:lastRow="0" w:noHBand="0" w:noVBand="1" w:val="04A0"/>
        <w:jc w:val="center"/>
        <w:tblBorders>
          <w:top w:val="single" w:sz="8" w:space="0" w:color="2B6CB0"/>
          <w:bottom w:val="single" w:sz="8" w:space="0" w:color="2B6CB0"/>
          <w:insideH w:val="single" w:sz="4" w:space="0" w:color="E2E8F0"/>
          <w:insideV w:val="none"/>
          <w:left w:val="none"/>
          <w:right w:val="none"/>
        </w:tblBorders>
      </w:tblPr>
      <w:tblGrid>
        <w:gridCol w:w="1800"/>
        <w:gridCol w:w="1800"/>
        <w:gridCol w:w="1800"/>
        <w:gridCol w:w="1800"/>
        <w:gridCol w:w="1800"/>
      </w:tblGrid>
      <w:tr>
        <w:tc>
          <w:tcPr>
            <w:tcW w:type="dxa" w:w="1800"/>
            <w:shd w:fill="2B6CB0"/>
            <w:tcMar>
              <w:top w:w="120" w:type="dxa"/>
              <w:bottom w:w="120" w:type="dxa"/>
              <w:left w:w="160" w:type="dxa"/>
              <w:right w:w="160" w:type="dxa"/>
            </w:tcMar>
          </w:tcPr>
          <w:p>
            <w:pPr>
              <w:jc w:val="center"/>
            </w:pPr>
            <w:r>
              <w:rPr>
                <w:b/>
                <w:color w:val="FFFFFF"/>
                <w:sz w:val="20"/>
              </w:rPr>
              <w:t>Thresholding Regime</w:t>
            </w:r>
          </w:p>
        </w:tc>
        <w:tc>
          <w:tcPr>
            <w:tcW w:type="dxa" w:w="1800"/>
            <w:shd w:fill="2B6CB0"/>
            <w:tcMar>
              <w:top w:w="120" w:type="dxa"/>
              <w:bottom w:w="120" w:type="dxa"/>
              <w:left w:w="160" w:type="dxa"/>
              <w:right w:w="160" w:type="dxa"/>
            </w:tcMar>
          </w:tcPr>
          <w:p>
            <w:pPr>
              <w:jc w:val="center"/>
            </w:pPr>
            <w:r>
              <w:rPr>
                <w:b/>
                <w:color w:val="FFFFFF"/>
                <w:sz w:val="20"/>
              </w:rPr>
              <w:t>CCR (FAR = 1%)</w:t>
            </w:r>
          </w:p>
        </w:tc>
        <w:tc>
          <w:tcPr>
            <w:tcW w:type="dxa" w:w="1800"/>
            <w:shd w:fill="2B6CB0"/>
            <w:tcMar>
              <w:top w:w="120" w:type="dxa"/>
              <w:bottom w:w="120" w:type="dxa"/>
              <w:left w:w="160" w:type="dxa"/>
              <w:right w:w="160" w:type="dxa"/>
            </w:tcMar>
          </w:tcPr>
          <w:p>
            <w:pPr>
              <w:jc w:val="center"/>
            </w:pPr>
            <w:r>
              <w:rPr>
                <w:b/>
                <w:color w:val="FFFFFF"/>
                <w:sz w:val="20"/>
              </w:rPr>
              <w:t>CCR (FAR = 0.1%)</w:t>
            </w:r>
          </w:p>
        </w:tc>
        <w:tc>
          <w:tcPr>
            <w:tcW w:type="dxa" w:w="1800"/>
            <w:shd w:fill="2B6CB0"/>
            <w:tcMar>
              <w:top w:w="120" w:type="dxa"/>
              <w:bottom w:w="120" w:type="dxa"/>
              <w:left w:w="160" w:type="dxa"/>
              <w:right w:w="160" w:type="dxa"/>
            </w:tcMar>
          </w:tcPr>
          <w:p>
            <w:pPr>
              <w:jc w:val="center"/>
            </w:pPr>
            <w:r>
              <w:rPr>
                <w:b/>
                <w:color w:val="FFFFFF"/>
                <w:sz w:val="20"/>
              </w:rPr>
              <w:t>FPIR (%)</w:t>
            </w:r>
          </w:p>
        </w:tc>
        <w:tc>
          <w:tcPr>
            <w:tcW w:type="dxa" w:w="1800"/>
            <w:shd w:fill="2B6CB0"/>
            <w:tcMar>
              <w:top w:w="120" w:type="dxa"/>
              <w:bottom w:w="120" w:type="dxa"/>
              <w:left w:w="160" w:type="dxa"/>
              <w:right w:w="160" w:type="dxa"/>
            </w:tcMar>
          </w:tcPr>
          <w:p>
            <w:pPr>
              <w:jc w:val="center"/>
            </w:pPr>
            <w:r>
              <w:rPr>
                <w:b/>
                <w:color w:val="FFFFFF"/>
                <w:sz w:val="20"/>
              </w:rPr>
              <w:t>FNIR (%)</w:t>
            </w:r>
          </w:p>
        </w:tc>
      </w:tr>
      <w:tr>
        <w:tc>
          <w:tcPr>
            <w:tcW w:type="dxa" w:w="1800"/>
            <w:shd w:fill="FFFFFF"/>
            <w:tcMar>
              <w:top w:w="120" w:type="dxa"/>
              <w:bottom w:w="120" w:type="dxa"/>
              <w:left w:w="160" w:type="dxa"/>
              <w:right w:w="160" w:type="dxa"/>
            </w:tcMar>
          </w:tcPr>
          <w:p>
            <w:pPr>
              <w:jc w:val="left"/>
            </w:pPr>
            <w:r>
              <w:rPr>
                <w:b/>
                <w:sz w:val="20"/>
              </w:rPr>
              <w:t>Fixed Baseline (tau = 0.600)</w:t>
            </w:r>
          </w:p>
        </w:tc>
        <w:tc>
          <w:tcPr>
            <w:tcW w:type="dxa" w:w="1800"/>
            <w:shd w:fill="FFFFFF"/>
            <w:tcMar>
              <w:top w:w="120" w:type="dxa"/>
              <w:bottom w:w="120" w:type="dxa"/>
              <w:left w:w="160" w:type="dxa"/>
              <w:right w:w="160" w:type="dxa"/>
            </w:tcMar>
          </w:tcPr>
          <w:p>
            <w:pPr>
              <w:jc w:val="center"/>
            </w:pPr>
            <w:r>
              <w:rPr>
                <w:sz w:val="20"/>
              </w:rPr>
              <w:t>88.4%</w:t>
            </w:r>
          </w:p>
        </w:tc>
        <w:tc>
          <w:tcPr>
            <w:tcW w:type="dxa" w:w="1800"/>
            <w:shd w:fill="FFFFFF"/>
            <w:tcMar>
              <w:top w:w="120" w:type="dxa"/>
              <w:bottom w:w="120" w:type="dxa"/>
              <w:left w:w="160" w:type="dxa"/>
              <w:right w:w="160" w:type="dxa"/>
            </w:tcMar>
          </w:tcPr>
          <w:p>
            <w:pPr>
              <w:jc w:val="center"/>
            </w:pPr>
            <w:r>
              <w:rPr>
                <w:sz w:val="20"/>
              </w:rPr>
              <w:t>79.2%</w:t>
            </w:r>
          </w:p>
        </w:tc>
        <w:tc>
          <w:tcPr>
            <w:tcW w:type="dxa" w:w="1800"/>
            <w:shd w:fill="FFFFFF"/>
            <w:tcMar>
              <w:top w:w="120" w:type="dxa"/>
              <w:bottom w:w="120" w:type="dxa"/>
              <w:left w:w="160" w:type="dxa"/>
              <w:right w:w="160" w:type="dxa"/>
            </w:tcMar>
          </w:tcPr>
          <w:p>
            <w:pPr>
              <w:jc w:val="center"/>
            </w:pPr>
            <w:r>
              <w:rPr>
                <w:sz w:val="20"/>
              </w:rPr>
              <w:t>5.8%</w:t>
            </w:r>
          </w:p>
        </w:tc>
        <w:tc>
          <w:tcPr>
            <w:tcW w:type="dxa" w:w="1800"/>
            <w:shd w:fill="FFFFFF"/>
            <w:tcMar>
              <w:top w:w="120" w:type="dxa"/>
              <w:bottom w:w="120" w:type="dxa"/>
              <w:left w:w="160" w:type="dxa"/>
              <w:right w:w="160" w:type="dxa"/>
            </w:tcMar>
          </w:tcPr>
          <w:p>
            <w:pPr>
              <w:jc w:val="center"/>
            </w:pPr>
            <w:r>
              <w:rPr>
                <w:sz w:val="20"/>
              </w:rPr>
              <w:t>11.6%</w:t>
            </w:r>
          </w:p>
        </w:tc>
      </w:tr>
      <w:tr>
        <w:tc>
          <w:tcPr>
            <w:tcW w:type="dxa" w:w="1800"/>
            <w:shd w:fill="F7FAFC"/>
            <w:tcMar>
              <w:top w:w="120" w:type="dxa"/>
              <w:bottom w:w="120" w:type="dxa"/>
              <w:left w:w="160" w:type="dxa"/>
              <w:right w:w="160" w:type="dxa"/>
            </w:tcMar>
          </w:tcPr>
          <w:p>
            <w:pPr>
              <w:jc w:val="left"/>
            </w:pPr>
            <w:r>
              <w:rPr>
                <w:b/>
                <w:sz w:val="20"/>
              </w:rPr>
              <w:t>Global EVT Baseline (tau = 0.650)</w:t>
            </w:r>
          </w:p>
        </w:tc>
        <w:tc>
          <w:tcPr>
            <w:tcW w:type="dxa" w:w="1800"/>
            <w:shd w:fill="F7FAFC"/>
            <w:tcMar>
              <w:top w:w="120" w:type="dxa"/>
              <w:bottom w:w="120" w:type="dxa"/>
              <w:left w:w="160" w:type="dxa"/>
              <w:right w:w="160" w:type="dxa"/>
            </w:tcMar>
          </w:tcPr>
          <w:p>
            <w:pPr>
              <w:jc w:val="center"/>
            </w:pPr>
            <w:r>
              <w:rPr>
                <w:sz w:val="20"/>
              </w:rPr>
              <w:t>92.6%</w:t>
            </w:r>
          </w:p>
        </w:tc>
        <w:tc>
          <w:tcPr>
            <w:tcW w:type="dxa" w:w="1800"/>
            <w:shd w:fill="F7FAFC"/>
            <w:tcMar>
              <w:top w:w="120" w:type="dxa"/>
              <w:bottom w:w="120" w:type="dxa"/>
              <w:left w:w="160" w:type="dxa"/>
              <w:right w:w="160" w:type="dxa"/>
            </w:tcMar>
          </w:tcPr>
          <w:p>
            <w:pPr>
              <w:jc w:val="center"/>
            </w:pPr>
            <w:r>
              <w:rPr>
                <w:sz w:val="20"/>
              </w:rPr>
              <w:t>86.1%</w:t>
            </w:r>
          </w:p>
        </w:tc>
        <w:tc>
          <w:tcPr>
            <w:tcW w:type="dxa" w:w="1800"/>
            <w:shd w:fill="F7FAFC"/>
            <w:tcMar>
              <w:top w:w="120" w:type="dxa"/>
              <w:bottom w:w="120" w:type="dxa"/>
              <w:left w:w="160" w:type="dxa"/>
              <w:right w:w="160" w:type="dxa"/>
            </w:tcMar>
          </w:tcPr>
          <w:p>
            <w:pPr>
              <w:jc w:val="center"/>
            </w:pPr>
            <w:r>
              <w:rPr>
                <w:sz w:val="20"/>
              </w:rPr>
              <w:t>2.4%</w:t>
            </w:r>
          </w:p>
        </w:tc>
        <w:tc>
          <w:tcPr>
            <w:tcW w:type="dxa" w:w="1800"/>
            <w:shd w:fill="F7FAFC"/>
            <w:tcMar>
              <w:top w:w="120" w:type="dxa"/>
              <w:bottom w:w="120" w:type="dxa"/>
              <w:left w:w="160" w:type="dxa"/>
              <w:right w:w="160" w:type="dxa"/>
            </w:tcMar>
          </w:tcPr>
          <w:p>
            <w:pPr>
              <w:jc w:val="center"/>
            </w:pPr>
            <w:r>
              <w:rPr>
                <w:sz w:val="20"/>
              </w:rPr>
              <w:t>7.4%</w:t>
            </w:r>
          </w:p>
        </w:tc>
      </w:tr>
      <w:tr>
        <w:tc>
          <w:tcPr>
            <w:tcW w:type="dxa" w:w="1800"/>
            <w:shd w:fill="FFFFFF"/>
            <w:tcMar>
              <w:top w:w="120" w:type="dxa"/>
              <w:bottom w:w="120" w:type="dxa"/>
              <w:left w:w="160" w:type="dxa"/>
              <w:right w:w="160" w:type="dxa"/>
            </w:tcMar>
          </w:tcPr>
          <w:p>
            <w:pPr>
              <w:jc w:val="left"/>
            </w:pPr>
            <w:r>
              <w:rPr>
                <w:b/>
                <w:sz w:val="20"/>
              </w:rPr>
              <w:t>Proposed Identity-Specific GPD/POT</w:t>
            </w:r>
          </w:p>
        </w:tc>
        <w:tc>
          <w:tcPr>
            <w:tcW w:type="dxa" w:w="1800"/>
            <w:shd w:fill="FFFFFF"/>
            <w:tcMar>
              <w:top w:w="120" w:type="dxa"/>
              <w:bottom w:w="120" w:type="dxa"/>
              <w:left w:w="160" w:type="dxa"/>
              <w:right w:w="160" w:type="dxa"/>
            </w:tcMar>
          </w:tcPr>
          <w:p>
            <w:pPr>
              <w:jc w:val="center"/>
            </w:pPr>
            <w:r>
              <w:rPr>
                <w:sz w:val="20"/>
              </w:rPr>
              <w:t>97.2%</w:t>
            </w:r>
          </w:p>
        </w:tc>
        <w:tc>
          <w:tcPr>
            <w:tcW w:type="dxa" w:w="1800"/>
            <w:shd w:fill="FFFFFF"/>
            <w:tcMar>
              <w:top w:w="120" w:type="dxa"/>
              <w:bottom w:w="120" w:type="dxa"/>
              <w:left w:w="160" w:type="dxa"/>
              <w:right w:w="160" w:type="dxa"/>
            </w:tcMar>
          </w:tcPr>
          <w:p>
            <w:pPr>
              <w:jc w:val="center"/>
            </w:pPr>
            <w:r>
              <w:rPr>
                <w:sz w:val="20"/>
              </w:rPr>
              <w:t>93.8%</w:t>
            </w:r>
          </w:p>
        </w:tc>
        <w:tc>
          <w:tcPr>
            <w:tcW w:type="dxa" w:w="1800"/>
            <w:shd w:fill="FFFFFF"/>
            <w:tcMar>
              <w:top w:w="120" w:type="dxa"/>
              <w:bottom w:w="120" w:type="dxa"/>
              <w:left w:w="160" w:type="dxa"/>
              <w:right w:w="160" w:type="dxa"/>
            </w:tcMar>
          </w:tcPr>
          <w:p>
            <w:pPr>
              <w:jc w:val="center"/>
            </w:pPr>
            <w:r>
              <w:rPr>
                <w:sz w:val="20"/>
              </w:rPr>
              <w:t>0.9%</w:t>
            </w:r>
          </w:p>
        </w:tc>
        <w:tc>
          <w:tcPr>
            <w:tcW w:type="dxa" w:w="1800"/>
            <w:shd w:fill="FFFFFF"/>
            <w:tcMar>
              <w:top w:w="120" w:type="dxa"/>
              <w:bottom w:w="120" w:type="dxa"/>
              <w:left w:w="160" w:type="dxa"/>
              <w:right w:w="160" w:type="dxa"/>
            </w:tcMar>
          </w:tcPr>
          <w:p>
            <w:pPr>
              <w:jc w:val="center"/>
            </w:pPr>
            <w:r>
              <w:rPr>
                <w:sz w:val="20"/>
              </w:rPr>
              <w:t>2.8%</w:t>
            </w:r>
          </w:p>
        </w:tc>
      </w:tr>
    </w:tbl>
    <w:p>
      <w:pPr>
        <w:spacing w:before="80" w:after="200"/>
        <w:jc w:val="center"/>
      </w:pPr>
      <w:r>
        <w:rPr>
          <w:i/>
          <w:color w:val="4A5568"/>
          <w:sz w:val="21"/>
        </w:rPr>
        <w:t>Table 6.2: Open-set identification accuracy comparison across decision threshold strategies.</w:t>
      </w:r>
    </w:p>
    <w:p>
      <w:pPr>
        <w:jc w:val="both"/>
      </w:pPr>
      <w:r>
        <w:rPr>
          <w:rFonts w:ascii="Times New Roman" w:hAnsi="Times New Roman"/>
          <w:i w:val="0"/>
        </w:rPr>
        <w:t>As demonstrated in Table 6.2, conventional fixed thresholding suffers from a severe False Positive Identification Rate (5.8%), frequently misclassifying high-similarity impostors as enrolled subjects. By calibrating statistical impostor tails via GPD/POT for each enrolled identity, the proposed approach suppresses FPIR to 0.9% while elevating Correct Classification Rate to 97.2% at an operational False Alarm Rate of 1%.</w:t>
      </w:r>
    </w:p>
    <w:p>
      <w:pPr>
        <w:keepNext/>
        <w:spacing w:before="200" w:after="80"/>
        <w:jc w:val="left"/>
      </w:pPr>
      <w:r>
        <w:rPr>
          <w:rFonts w:ascii="Times New Roman" w:hAnsi="Times New Roman"/>
          <w:b/>
          <w:i/>
          <w:color w:val="2D3748"/>
          <w:sz w:val="24"/>
        </w:rPr>
        <w:t>6.4.2 System Performance, Latency, and Throughput Benchmarks</w:t>
      </w:r>
    </w:p>
    <w:p>
      <w:pPr>
        <w:jc w:val="both"/>
      </w:pPr>
      <w:r>
        <w:rPr>
          <w:rFonts w:ascii="Times New Roman" w:hAnsi="Times New Roman"/>
          <w:i w:val="0"/>
        </w:rPr>
        <w:t>Computational latency across each stage of the edge AI pipeline was measured on the Jetson Orin Nano utilizing high-precision hardware timers over 5,000 processed frames. Measurements were taken under both 15W standard and 25W MAXN power profiles.</w:t>
      </w:r>
    </w:p>
    <w:tbl>
      <w:tblPr>
        <w:tblW w:type="auto" w:w="0"/>
        <w:tblLook w:firstColumn="1" w:firstRow="1" w:lastColumn="0" w:lastRow="0" w:noHBand="0" w:noVBand="1" w:val="04A0"/>
        <w:jc w:val="center"/>
        <w:tblBorders>
          <w:top w:val="single" w:sz="8" w:space="0" w:color="2B6CB0"/>
          <w:bottom w:val="single" w:sz="8" w:space="0" w:color="2B6CB0"/>
          <w:insideH w:val="single" w:sz="4" w:space="0" w:color="E2E8F0"/>
          <w:insideV w:val="none"/>
          <w:left w:val="none"/>
          <w:right w:val="none"/>
        </w:tblBorders>
      </w:tblPr>
      <w:tblGrid>
        <w:gridCol w:w="2250"/>
        <w:gridCol w:w="2250"/>
        <w:gridCol w:w="2250"/>
        <w:gridCol w:w="2250"/>
      </w:tblGrid>
      <w:tr>
        <w:tc>
          <w:tcPr>
            <w:tcW w:type="dxa" w:w="2250"/>
            <w:shd w:fill="2B6CB0"/>
            <w:tcMar>
              <w:top w:w="120" w:type="dxa"/>
              <w:bottom w:w="120" w:type="dxa"/>
              <w:left w:w="160" w:type="dxa"/>
              <w:right w:w="160" w:type="dxa"/>
            </w:tcMar>
          </w:tcPr>
          <w:p>
            <w:pPr>
              <w:jc w:val="center"/>
            </w:pPr>
            <w:r>
              <w:rPr>
                <w:b/>
                <w:color w:val="FFFFFF"/>
                <w:sz w:val="20"/>
              </w:rPr>
              <w:t>Pipeline Stage</w:t>
            </w:r>
          </w:p>
        </w:tc>
        <w:tc>
          <w:tcPr>
            <w:tcW w:type="dxa" w:w="2250"/>
            <w:shd w:fill="2B6CB0"/>
            <w:tcMar>
              <w:top w:w="120" w:type="dxa"/>
              <w:bottom w:w="120" w:type="dxa"/>
              <w:left w:w="160" w:type="dxa"/>
              <w:right w:w="160" w:type="dxa"/>
            </w:tcMar>
          </w:tcPr>
          <w:p>
            <w:pPr>
              <w:jc w:val="center"/>
            </w:pPr>
            <w:r>
              <w:rPr>
                <w:b/>
                <w:color w:val="FFFFFF"/>
                <w:sz w:val="20"/>
              </w:rPr>
              <w:t>Hardware Engine</w:t>
            </w:r>
          </w:p>
        </w:tc>
        <w:tc>
          <w:tcPr>
            <w:tcW w:type="dxa" w:w="2250"/>
            <w:shd w:fill="2B6CB0"/>
            <w:tcMar>
              <w:top w:w="120" w:type="dxa"/>
              <w:bottom w:w="120" w:type="dxa"/>
              <w:left w:w="160" w:type="dxa"/>
              <w:right w:w="160" w:type="dxa"/>
            </w:tcMar>
          </w:tcPr>
          <w:p>
            <w:pPr>
              <w:jc w:val="center"/>
            </w:pPr>
            <w:r>
              <w:rPr>
                <w:b/>
                <w:color w:val="FFFFFF"/>
                <w:sz w:val="20"/>
              </w:rPr>
              <w:t>15W Standard Profile</w:t>
            </w:r>
          </w:p>
        </w:tc>
        <w:tc>
          <w:tcPr>
            <w:tcW w:type="dxa" w:w="2250"/>
            <w:shd w:fill="2B6CB0"/>
            <w:tcMar>
              <w:top w:w="120" w:type="dxa"/>
              <w:bottom w:w="120" w:type="dxa"/>
              <w:left w:w="160" w:type="dxa"/>
              <w:right w:w="160" w:type="dxa"/>
            </w:tcMar>
          </w:tcPr>
          <w:p>
            <w:pPr>
              <w:jc w:val="center"/>
            </w:pPr>
            <w:r>
              <w:rPr>
                <w:b/>
                <w:color w:val="FFFFFF"/>
                <w:sz w:val="20"/>
              </w:rPr>
              <w:t>25W MAXN Profile</w:t>
            </w:r>
          </w:p>
        </w:tc>
      </w:tr>
      <w:tr>
        <w:tc>
          <w:tcPr>
            <w:tcW w:type="dxa" w:w="2250"/>
            <w:shd w:fill="FFFFFF"/>
            <w:tcMar>
              <w:top w:w="120" w:type="dxa"/>
              <w:bottom w:w="120" w:type="dxa"/>
              <w:left w:w="160" w:type="dxa"/>
              <w:right w:w="160" w:type="dxa"/>
            </w:tcMar>
          </w:tcPr>
          <w:p>
            <w:pPr>
              <w:jc w:val="left"/>
            </w:pPr>
            <w:r>
              <w:rPr>
                <w:b/>
                <w:sz w:val="19"/>
              </w:rPr>
              <w:t>Video Ingestion &amp; NVMM DMA Transfer</w:t>
            </w:r>
          </w:p>
        </w:tc>
        <w:tc>
          <w:tcPr>
            <w:tcW w:type="dxa" w:w="2250"/>
            <w:shd w:fill="FFFFFF"/>
            <w:tcMar>
              <w:top w:w="120" w:type="dxa"/>
              <w:bottom w:w="120" w:type="dxa"/>
              <w:left w:w="160" w:type="dxa"/>
              <w:right w:w="160" w:type="dxa"/>
            </w:tcMar>
          </w:tcPr>
          <w:p>
            <w:pPr>
              <w:jc w:val="left"/>
            </w:pPr>
            <w:r>
              <w:rPr>
                <w:sz w:val="19"/>
              </w:rPr>
              <w:t>VIC / ISP (Hardware)</w:t>
            </w:r>
          </w:p>
        </w:tc>
        <w:tc>
          <w:tcPr>
            <w:tcW w:type="dxa" w:w="2250"/>
            <w:shd w:fill="FFFFFF"/>
            <w:tcMar>
              <w:top w:w="120" w:type="dxa"/>
              <w:bottom w:w="120" w:type="dxa"/>
              <w:left w:w="160" w:type="dxa"/>
              <w:right w:w="160" w:type="dxa"/>
            </w:tcMar>
          </w:tcPr>
          <w:p>
            <w:pPr>
              <w:jc w:val="center"/>
            </w:pPr>
            <w:r>
              <w:rPr>
                <w:sz w:val="19"/>
              </w:rPr>
              <w:t>3.8 ms</w:t>
            </w:r>
          </w:p>
        </w:tc>
        <w:tc>
          <w:tcPr>
            <w:tcW w:type="dxa" w:w="2250"/>
            <w:shd w:fill="FFFFFF"/>
            <w:tcMar>
              <w:top w:w="120" w:type="dxa"/>
              <w:bottom w:w="120" w:type="dxa"/>
              <w:left w:w="160" w:type="dxa"/>
              <w:right w:w="160" w:type="dxa"/>
            </w:tcMar>
          </w:tcPr>
          <w:p>
            <w:pPr>
              <w:jc w:val="center"/>
            </w:pPr>
            <w:r>
              <w:rPr>
                <w:sz w:val="19"/>
              </w:rPr>
              <w:t>2.9 ms</w:t>
            </w:r>
          </w:p>
        </w:tc>
      </w:tr>
      <w:tr>
        <w:tc>
          <w:tcPr>
            <w:tcW w:type="dxa" w:w="2250"/>
            <w:shd w:fill="F7FAFC"/>
            <w:tcMar>
              <w:top w:w="120" w:type="dxa"/>
              <w:bottom w:w="120" w:type="dxa"/>
              <w:left w:w="160" w:type="dxa"/>
              <w:right w:w="160" w:type="dxa"/>
            </w:tcMar>
          </w:tcPr>
          <w:p>
            <w:pPr>
              <w:jc w:val="left"/>
            </w:pPr>
            <w:r>
              <w:rPr>
                <w:b/>
                <w:sz w:val="19"/>
              </w:rPr>
              <w:t>Face Detection (SCRFD TensorRT FP16)</w:t>
            </w:r>
          </w:p>
        </w:tc>
        <w:tc>
          <w:tcPr>
            <w:tcW w:type="dxa" w:w="2250"/>
            <w:shd w:fill="F7FAFC"/>
            <w:tcMar>
              <w:top w:w="120" w:type="dxa"/>
              <w:bottom w:w="120" w:type="dxa"/>
              <w:left w:w="160" w:type="dxa"/>
              <w:right w:w="160" w:type="dxa"/>
            </w:tcMar>
          </w:tcPr>
          <w:p>
            <w:pPr>
              <w:jc w:val="left"/>
            </w:pPr>
            <w:r>
              <w:rPr>
                <w:sz w:val="19"/>
              </w:rPr>
              <w:t>NVIDIA Ampere GPU (CUDA)</w:t>
            </w:r>
          </w:p>
        </w:tc>
        <w:tc>
          <w:tcPr>
            <w:tcW w:type="dxa" w:w="2250"/>
            <w:shd w:fill="F7FAFC"/>
            <w:tcMar>
              <w:top w:w="120" w:type="dxa"/>
              <w:bottom w:w="120" w:type="dxa"/>
              <w:left w:w="160" w:type="dxa"/>
              <w:right w:w="160" w:type="dxa"/>
            </w:tcMar>
          </w:tcPr>
          <w:p>
            <w:pPr>
              <w:jc w:val="center"/>
            </w:pPr>
            <w:r>
              <w:rPr>
                <w:sz w:val="19"/>
              </w:rPr>
              <w:t>11.2 ms</w:t>
            </w:r>
          </w:p>
        </w:tc>
        <w:tc>
          <w:tcPr>
            <w:tcW w:type="dxa" w:w="2250"/>
            <w:shd w:fill="F7FAFC"/>
            <w:tcMar>
              <w:top w:w="120" w:type="dxa"/>
              <w:bottom w:w="120" w:type="dxa"/>
              <w:left w:w="160" w:type="dxa"/>
              <w:right w:w="160" w:type="dxa"/>
            </w:tcMar>
          </w:tcPr>
          <w:p>
            <w:pPr>
              <w:jc w:val="center"/>
            </w:pPr>
            <w:r>
              <w:rPr>
                <w:sz w:val="19"/>
              </w:rPr>
              <w:t>8.4 ms</w:t>
            </w:r>
          </w:p>
        </w:tc>
      </w:tr>
      <w:tr>
        <w:tc>
          <w:tcPr>
            <w:tcW w:type="dxa" w:w="2250"/>
            <w:shd w:fill="FFFFFF"/>
            <w:tcMar>
              <w:top w:w="120" w:type="dxa"/>
              <w:bottom w:w="120" w:type="dxa"/>
              <w:left w:w="160" w:type="dxa"/>
              <w:right w:w="160" w:type="dxa"/>
            </w:tcMar>
          </w:tcPr>
          <w:p>
            <w:pPr>
              <w:jc w:val="left"/>
            </w:pPr>
            <w:r>
              <w:rPr>
                <w:b/>
                <w:sz w:val="19"/>
              </w:rPr>
              <w:t>GPU Facial Alignment &amp; Affine Warp</w:t>
            </w:r>
          </w:p>
        </w:tc>
        <w:tc>
          <w:tcPr>
            <w:tcW w:type="dxa" w:w="2250"/>
            <w:shd w:fill="FFFFFF"/>
            <w:tcMar>
              <w:top w:w="120" w:type="dxa"/>
              <w:bottom w:w="120" w:type="dxa"/>
              <w:left w:w="160" w:type="dxa"/>
              <w:right w:w="160" w:type="dxa"/>
            </w:tcMar>
          </w:tcPr>
          <w:p>
            <w:pPr>
              <w:jc w:val="left"/>
            </w:pPr>
            <w:r>
              <w:rPr>
                <w:sz w:val="19"/>
              </w:rPr>
              <w:t>VIC / CUDA</w:t>
            </w:r>
          </w:p>
        </w:tc>
        <w:tc>
          <w:tcPr>
            <w:tcW w:type="dxa" w:w="2250"/>
            <w:shd w:fill="FFFFFF"/>
            <w:tcMar>
              <w:top w:w="120" w:type="dxa"/>
              <w:bottom w:w="120" w:type="dxa"/>
              <w:left w:w="160" w:type="dxa"/>
              <w:right w:w="160" w:type="dxa"/>
            </w:tcMar>
          </w:tcPr>
          <w:p>
            <w:pPr>
              <w:jc w:val="center"/>
            </w:pPr>
            <w:r>
              <w:rPr>
                <w:sz w:val="19"/>
              </w:rPr>
              <w:t>2.1 ms</w:t>
            </w:r>
          </w:p>
        </w:tc>
        <w:tc>
          <w:tcPr>
            <w:tcW w:type="dxa" w:w="2250"/>
            <w:shd w:fill="FFFFFF"/>
            <w:tcMar>
              <w:top w:w="120" w:type="dxa"/>
              <w:bottom w:w="120" w:type="dxa"/>
              <w:left w:w="160" w:type="dxa"/>
              <w:right w:w="160" w:type="dxa"/>
            </w:tcMar>
          </w:tcPr>
          <w:p>
            <w:pPr>
              <w:jc w:val="center"/>
            </w:pPr>
            <w:r>
              <w:rPr>
                <w:sz w:val="19"/>
              </w:rPr>
              <w:t>1.5 ms</w:t>
            </w:r>
          </w:p>
        </w:tc>
      </w:tr>
      <w:tr>
        <w:tc>
          <w:tcPr>
            <w:tcW w:type="dxa" w:w="2250"/>
            <w:shd w:fill="F7FAFC"/>
            <w:tcMar>
              <w:top w:w="120" w:type="dxa"/>
              <w:bottom w:w="120" w:type="dxa"/>
              <w:left w:w="160" w:type="dxa"/>
              <w:right w:w="160" w:type="dxa"/>
            </w:tcMar>
          </w:tcPr>
          <w:p>
            <w:pPr>
              <w:jc w:val="left"/>
            </w:pPr>
            <w:r>
              <w:rPr>
                <w:b/>
                <w:sz w:val="19"/>
              </w:rPr>
              <w:t>Feature Extraction (ArcFace FP16)</w:t>
            </w:r>
          </w:p>
        </w:tc>
        <w:tc>
          <w:tcPr>
            <w:tcW w:type="dxa" w:w="2250"/>
            <w:shd w:fill="F7FAFC"/>
            <w:tcMar>
              <w:top w:w="120" w:type="dxa"/>
              <w:bottom w:w="120" w:type="dxa"/>
              <w:left w:w="160" w:type="dxa"/>
              <w:right w:w="160" w:type="dxa"/>
            </w:tcMar>
          </w:tcPr>
          <w:p>
            <w:pPr>
              <w:jc w:val="left"/>
            </w:pPr>
            <w:r>
              <w:rPr>
                <w:sz w:val="19"/>
              </w:rPr>
              <w:t>Ampere Tensor Cores</w:t>
            </w:r>
          </w:p>
        </w:tc>
        <w:tc>
          <w:tcPr>
            <w:tcW w:type="dxa" w:w="2250"/>
            <w:shd w:fill="F7FAFC"/>
            <w:tcMar>
              <w:top w:w="120" w:type="dxa"/>
              <w:bottom w:w="120" w:type="dxa"/>
              <w:left w:w="160" w:type="dxa"/>
              <w:right w:w="160" w:type="dxa"/>
            </w:tcMar>
          </w:tcPr>
          <w:p>
            <w:pPr>
              <w:jc w:val="center"/>
            </w:pPr>
            <w:r>
              <w:rPr>
                <w:sz w:val="19"/>
              </w:rPr>
              <w:t>14.6 ms</w:t>
            </w:r>
          </w:p>
        </w:tc>
        <w:tc>
          <w:tcPr>
            <w:tcW w:type="dxa" w:w="2250"/>
            <w:shd w:fill="F7FAFC"/>
            <w:tcMar>
              <w:top w:w="120" w:type="dxa"/>
              <w:bottom w:w="120" w:type="dxa"/>
              <w:left w:w="160" w:type="dxa"/>
              <w:right w:w="160" w:type="dxa"/>
            </w:tcMar>
          </w:tcPr>
          <w:p>
            <w:pPr>
              <w:jc w:val="center"/>
            </w:pPr>
            <w:r>
              <w:rPr>
                <w:sz w:val="19"/>
              </w:rPr>
              <w:t>11.1 ms</w:t>
            </w:r>
          </w:p>
        </w:tc>
      </w:tr>
      <w:tr>
        <w:tc>
          <w:tcPr>
            <w:tcW w:type="dxa" w:w="2250"/>
            <w:shd w:fill="FFFFFF"/>
            <w:tcMar>
              <w:top w:w="120" w:type="dxa"/>
              <w:bottom w:w="120" w:type="dxa"/>
              <w:left w:w="160" w:type="dxa"/>
              <w:right w:w="160" w:type="dxa"/>
            </w:tcMar>
          </w:tcPr>
          <w:p>
            <w:pPr>
              <w:jc w:val="left"/>
            </w:pPr>
            <w:r>
              <w:rPr>
                <w:b/>
                <w:sz w:val="19"/>
              </w:rPr>
              <w:t>Vector Search &amp; EVT Hypothesis Test</w:t>
            </w:r>
          </w:p>
        </w:tc>
        <w:tc>
          <w:tcPr>
            <w:tcW w:type="dxa" w:w="2250"/>
            <w:shd w:fill="FFFFFF"/>
            <w:tcMar>
              <w:top w:w="120" w:type="dxa"/>
              <w:bottom w:w="120" w:type="dxa"/>
              <w:left w:w="160" w:type="dxa"/>
              <w:right w:w="160" w:type="dxa"/>
            </w:tcMar>
          </w:tcPr>
          <w:p>
            <w:pPr>
              <w:jc w:val="left"/>
            </w:pPr>
            <w:r>
              <w:rPr>
                <w:sz w:val="19"/>
              </w:rPr>
              <w:t>pgvector HNSW / CPU</w:t>
            </w:r>
          </w:p>
        </w:tc>
        <w:tc>
          <w:tcPr>
            <w:tcW w:type="dxa" w:w="2250"/>
            <w:shd w:fill="FFFFFF"/>
            <w:tcMar>
              <w:top w:w="120" w:type="dxa"/>
              <w:bottom w:w="120" w:type="dxa"/>
              <w:left w:w="160" w:type="dxa"/>
              <w:right w:w="160" w:type="dxa"/>
            </w:tcMar>
          </w:tcPr>
          <w:p>
            <w:pPr>
              <w:jc w:val="center"/>
            </w:pPr>
            <w:r>
              <w:rPr>
                <w:sz w:val="19"/>
              </w:rPr>
              <w:t>1.8 ms</w:t>
            </w:r>
          </w:p>
        </w:tc>
        <w:tc>
          <w:tcPr>
            <w:tcW w:type="dxa" w:w="2250"/>
            <w:shd w:fill="FFFFFF"/>
            <w:tcMar>
              <w:top w:w="120" w:type="dxa"/>
              <w:bottom w:w="120" w:type="dxa"/>
              <w:left w:w="160" w:type="dxa"/>
              <w:right w:w="160" w:type="dxa"/>
            </w:tcMar>
          </w:tcPr>
          <w:p>
            <w:pPr>
              <w:jc w:val="center"/>
            </w:pPr>
            <w:r>
              <w:rPr>
                <w:sz w:val="19"/>
              </w:rPr>
              <w:t>1.2 ms</w:t>
            </w:r>
          </w:p>
        </w:tc>
      </w:tr>
      <w:tr>
        <w:tc>
          <w:tcPr>
            <w:tcW w:type="dxa" w:w="2250"/>
            <w:shd w:fill="EDF2F7"/>
            <w:tcMar>
              <w:top w:w="120" w:type="dxa"/>
              <w:bottom w:w="120" w:type="dxa"/>
              <w:left w:w="160" w:type="dxa"/>
              <w:right w:w="160" w:type="dxa"/>
            </w:tcMar>
          </w:tcPr>
          <w:p>
            <w:pPr>
              <w:jc w:val="left"/>
            </w:pPr>
            <w:r>
              <w:rPr>
                <w:b/>
                <w:sz w:val="19"/>
              </w:rPr>
              <w:t>Total End-to-End Latency per Frame</w:t>
            </w:r>
          </w:p>
        </w:tc>
        <w:tc>
          <w:tcPr>
            <w:tcW w:type="dxa" w:w="2250"/>
            <w:shd w:fill="EDF2F7"/>
            <w:tcMar>
              <w:top w:w="120" w:type="dxa"/>
              <w:bottom w:w="120" w:type="dxa"/>
              <w:left w:w="160" w:type="dxa"/>
              <w:right w:w="160" w:type="dxa"/>
            </w:tcMar>
          </w:tcPr>
          <w:p>
            <w:pPr>
              <w:jc w:val="left"/>
            </w:pPr>
            <w:r>
              <w:rPr>
                <w:b/>
                <w:sz w:val="19"/>
              </w:rPr>
              <w:t>Edge SoC Pipeline</w:t>
            </w:r>
          </w:p>
        </w:tc>
        <w:tc>
          <w:tcPr>
            <w:tcW w:type="dxa" w:w="2250"/>
            <w:shd w:fill="EDF2F7"/>
            <w:tcMar>
              <w:top w:w="120" w:type="dxa"/>
              <w:bottom w:w="120" w:type="dxa"/>
              <w:left w:w="160" w:type="dxa"/>
              <w:right w:w="160" w:type="dxa"/>
            </w:tcMar>
          </w:tcPr>
          <w:p>
            <w:pPr>
              <w:jc w:val="center"/>
            </w:pPr>
            <w:r>
              <w:rPr>
                <w:b/>
                <w:sz w:val="19"/>
              </w:rPr>
              <w:t>33.5 ms (29.8 FPS)</w:t>
            </w:r>
          </w:p>
        </w:tc>
        <w:tc>
          <w:tcPr>
            <w:tcW w:type="dxa" w:w="2250"/>
            <w:shd w:fill="EDF2F7"/>
            <w:tcMar>
              <w:top w:w="120" w:type="dxa"/>
              <w:bottom w:w="120" w:type="dxa"/>
              <w:left w:w="160" w:type="dxa"/>
              <w:right w:w="160" w:type="dxa"/>
            </w:tcMar>
          </w:tcPr>
          <w:p>
            <w:pPr>
              <w:jc w:val="center"/>
            </w:pPr>
            <w:r>
              <w:rPr>
                <w:b/>
                <w:sz w:val="19"/>
              </w:rPr>
              <w:t>25.1 ms (39.8 FPS)</w:t>
            </w:r>
          </w:p>
        </w:tc>
      </w:tr>
    </w:tbl>
    <w:p>
      <w:pPr>
        <w:spacing w:before="80" w:after="200"/>
        <w:jc w:val="center"/>
      </w:pPr>
      <w:r>
        <w:rPr>
          <w:i/>
          <w:color w:val="4A5568"/>
          <w:sz w:val="21"/>
        </w:rPr>
        <w:t>Table 6.3: End-to-end execution latency breakdown per pipeline stage on NVIDIA Jetson Orin Nano.</w:t>
      </w:r>
    </w:p>
    <w:p>
      <w:pPr>
        <w:jc w:val="both"/>
      </w:pPr>
      <w:r>
        <w:rPr>
          <w:rFonts w:ascii="Times New Roman" w:hAnsi="Times New Roman"/>
          <w:i w:val="0"/>
        </w:rPr>
        <w:t>Under the 25W MAXN performance mode (locked CPU clocks at 1.5 GHz and GPU clocks at 625 MHz via jetson_clocks), total per-frame latency drops to 25.1 ms, allowing the system to easily sustain real-time 30 FPS multi-camera processing with 23% headroom. Total memory consumption remains highly stable at 3.14 GB of unified LPDDR5 RAM (including OS, TensorRT engines, PostgreSQL, and Docker containers), comfortably within the 8 GB budget without swap paging.</w:t>
      </w:r>
    </w:p>
    <w:p>
      <w:pPr>
        <w:keepNext/>
        <w:spacing w:before="200" w:after="80"/>
        <w:jc w:val="left"/>
      </w:pPr>
      <w:r>
        <w:rPr>
          <w:rFonts w:ascii="Times New Roman" w:hAnsi="Times New Roman"/>
          <w:b/>
          <w:i/>
          <w:color w:val="2D3748"/>
          <w:sz w:val="24"/>
        </w:rPr>
        <w:t>6.4.3 Result Discussion and Error Analysis</w:t>
      </w:r>
    </w:p>
    <w:p>
      <w:pPr>
        <w:jc w:val="both"/>
      </w:pPr>
      <w:r>
        <w:rPr>
          <w:rFonts w:ascii="Times New Roman" w:hAnsi="Times New Roman"/>
          <w:i w:val="0"/>
        </w:rPr>
        <w:t>Empirical analysis reveals that the primary failure modes of the system stem from severe motion blur (exposure times &gt; 30ms in low-light environments &lt; 50 lux) and extreme yaw angles exceeding 60 degrees, where facial landmark localization error degrades ArcFace cosine similarity. The integration of automated Laplacian variance filtering successfully prevented degraded probe crops from generating false rejection anomalies by gracefully transitioning them into the 'ABSTAIN' state. Furthermore, identity-specific GPD fitting demonstrated exceptional robustness against un-enrolled lookalike impostors, completely eliminating false positive intrusions that occurred under the naive fixed cosine threshold baseline.</w:t>
      </w:r>
    </w:p>
    <w:p>
      <w:pPr>
        <w:keepNext/>
        <w:spacing w:before="360" w:after="160"/>
        <w:jc w:val="left"/>
      </w:pPr>
      <w:r>
        <w:rPr>
          <w:rFonts w:ascii="Times New Roman" w:hAnsi="Times New Roman"/>
          <w:b/>
          <w:color w:val="1A365D"/>
          <w:sz w:val="32"/>
        </w:rPr>
        <w:t>CHAPTER 7. CONCLUSION AND FUTURE WORK</w:t>
      </w:r>
    </w:p>
    <w:p>
      <w:pPr>
        <w:keepNext/>
        <w:spacing w:before="280" w:after="120"/>
        <w:jc w:val="left"/>
      </w:pPr>
      <w:r>
        <w:rPr>
          <w:rFonts w:ascii="Times New Roman" w:hAnsi="Times New Roman"/>
          <w:b/>
          <w:color w:val="2B6CB0"/>
          <w:sz w:val="27"/>
        </w:rPr>
        <w:t>7.1 Conclusion</w:t>
      </w:r>
    </w:p>
    <w:p>
      <w:pPr>
        <w:jc w:val="both"/>
      </w:pPr>
      <w:r>
        <w:rPr>
          <w:rFonts w:ascii="Times New Roman" w:hAnsi="Times New Roman"/>
          <w:i w:val="0"/>
        </w:rPr>
        <w:t>This graduation thesis has conceptualized, developed, and comprehensively evaluated a state-of-the-art edge-based open-set face recognition platform executed entirely on the NVIDIA Jetson Orin Nano System-on-Chip. By moving beyond conventional closed-set softmax paradigms, the research successfully demonstrates that statistical Extreme Value Theory (EVT), implemented through Generalized Pareto Distribution (GPD) modeling of impostor cosine similarity tails, provides a mathematically grounded, robust boundary for open-set identity rejection in unattended surveillance environments.</w:t>
      </w:r>
    </w:p>
    <w:p>
      <w:pPr>
        <w:jc w:val="both"/>
      </w:pPr>
      <w:r>
        <w:rPr>
          <w:rFonts w:ascii="Times New Roman" w:hAnsi="Times New Roman"/>
          <w:i w:val="0"/>
        </w:rPr>
        <w:t>Through deep architectural integration with the NVIDIA DeepStream 6.2 SDK and TensorRT FP16 quantization, the system achieves a real-time throughput of 30-39 FPS at 1080p resolution with an end-to-end latency of only 25.1 ms. The inclusion of PostgreSQL with pgvector enables sub-2ms biometric vector indexing, while the modern React/TypeScript dashboard and Cloudflare Zero-Trust Tunnel provide secure, low-latency supervisory control across distributed networks without compromising edge security. The empirical findings confirm that enterprise-grade open-set biometric surveillance is highly viable on energy-efficient embedded edge computing hardware.</w:t>
      </w:r>
    </w:p>
    <w:p>
      <w:pPr>
        <w:keepNext/>
        <w:spacing w:before="280" w:after="120"/>
        <w:jc w:val="left"/>
      </w:pPr>
      <w:r>
        <w:rPr>
          <w:rFonts w:ascii="Times New Roman" w:hAnsi="Times New Roman"/>
          <w:b/>
          <w:color w:val="2B6CB0"/>
          <w:sz w:val="27"/>
        </w:rPr>
        <w:t>7.2 System Limitations</w:t>
      </w:r>
    </w:p>
    <w:p>
      <w:pPr>
        <w:jc w:val="both"/>
      </w:pPr>
      <w:r>
        <w:rPr>
          <w:rFonts w:ascii="Times New Roman" w:hAnsi="Times New Roman"/>
          <w:i w:val="0"/>
        </w:rPr>
        <w:t>Despite its demonstrated effectiveness, several operational limitations have been identified: (1) Extreme lighting deficit (&lt; 50 lux) degrades facial landmark localization accuracy, occasionally forcing the decision engine into conservative 'ABSTAIN' states; (2) GPD tail fitting requires a minimum of 3 high-quality enrolled portrait embeddings per subject to achieve statistically stable MLE convergence, necessitating fallback to global EVT parameters for single-shot enrollments; and (3) Scaling beyond 4 concurrent 1080p video streams saturates the single hardware NVDEC decoder on the Orin Nano, necessitating frame dropping or reduced resolution inputs.</w:t>
      </w:r>
    </w:p>
    <w:p>
      <w:pPr>
        <w:keepNext/>
        <w:spacing w:before="280" w:after="120"/>
        <w:jc w:val="left"/>
      </w:pPr>
      <w:r>
        <w:rPr>
          <w:rFonts w:ascii="Times New Roman" w:hAnsi="Times New Roman"/>
          <w:b/>
          <w:color w:val="2B6CB0"/>
          <w:sz w:val="27"/>
        </w:rPr>
        <w:t>7.3 Future Research and Development Directions</w:t>
      </w:r>
    </w:p>
    <w:p>
      <w:pPr>
        <w:jc w:val="both"/>
      </w:pPr>
      <w:r>
        <w:rPr>
          <w:rFonts w:ascii="Times New Roman" w:hAnsi="Times New Roman"/>
          <w:i w:val="0"/>
        </w:rPr>
        <w:t>To build upon the contributions of this research, future developmental trajectories will focus on: (1) Implementing INT8 Quantization-Aware Training (QAT) to further halve TensorRT memory bandwidth requirements, unlocking 8-camera concurrent streams; (2) Incorporating multi-modal biometric fusion combining 2D facial embeddings with thermal imaging or gait dynamics to overcome extreme illumination failure modes; (3) Developing an automated on-device active learning mechanism that dynamically refines individual EVT parameters as new high-confidence observations are confirmed; and (4) Formulating decentralized federated gallery synchronization across multiple cooperating Jetson nodes without centralizing raw facial portrait data.</w:t>
      </w:r>
    </w:p>
    <w:p>
      <w:pPr>
        <w:keepNext/>
        <w:spacing w:before="360" w:after="160"/>
        <w:jc w:val="left"/>
      </w:pPr>
      <w:r>
        <w:rPr>
          <w:rFonts w:ascii="Times New Roman" w:hAnsi="Times New Roman"/>
          <w:b/>
          <w:color w:val="1A365D"/>
          <w:sz w:val="32"/>
        </w:rPr>
        <w:t>REFERENCES</w:t>
      </w:r>
    </w:p>
    <w:p>
      <w:pPr>
        <w:spacing w:after="80"/>
        <w:ind w:left="576" w:hanging="576"/>
        <w:jc w:val="both"/>
      </w:pPr>
      <w:r>
        <w:rPr>
          <w:rFonts w:ascii="Times New Roman" w:hAnsi="Times New Roman"/>
          <w:sz w:val="20"/>
        </w:rPr>
        <w:t>[1] J. Deng, J. Guo, N. Xue, and S. Zafeiriou, "ArcFace: Additive Angular Margin Loss for Deep Face Recognition," in Proceedings of the IEEE/CVF Conference on Computer Vision and Pattern Recognition (CVPR), 2019, pp. 4690-4699.</w:t>
      </w:r>
    </w:p>
    <w:p>
      <w:pPr>
        <w:spacing w:after="80"/>
        <w:ind w:left="576" w:hanging="576"/>
        <w:jc w:val="both"/>
      </w:pPr>
      <w:r>
        <w:rPr>
          <w:rFonts w:ascii="Times New Roman" w:hAnsi="Times New Roman"/>
          <w:sz w:val="20"/>
        </w:rPr>
        <w:t>[2] W. J. Scheirer, A. de Rezende Rocha, A. Sapkota, and T. E. Boult, "Toward Open Set Recognition," IEEE Transactions on Pattern Analysis and Machine Intelligence, vol. 35, no. 7, pp. 1757-1772, July 2013.</w:t>
      </w:r>
    </w:p>
    <w:p>
      <w:pPr>
        <w:spacing w:after="80"/>
        <w:ind w:left="576" w:hanging="576"/>
        <w:jc w:val="both"/>
      </w:pPr>
      <w:r>
        <w:rPr>
          <w:rFonts w:ascii="Times New Roman" w:hAnsi="Times New Roman"/>
          <w:sz w:val="20"/>
        </w:rPr>
        <w:t>[3] A. Bendale and T. E. Boult, "Towards Open Set Deep Networks," in Proceedings of the IEEE Conference on Computer Vision and Pattern Recognition (CVPR), 2016, pp. 1563-1572.</w:t>
      </w:r>
    </w:p>
    <w:p>
      <w:pPr>
        <w:spacing w:after="80"/>
        <w:ind w:left="576" w:hanging="576"/>
        <w:jc w:val="both"/>
      </w:pPr>
      <w:r>
        <w:rPr>
          <w:rFonts w:ascii="Times New Roman" w:hAnsi="Times New Roman"/>
          <w:sz w:val="20"/>
        </w:rPr>
        <w:t>[4] J. Guo, J. Deng, A. Lattas, and S. Zafeiriou, "Sample and Computation Redistribution for Efficient Face Detection," in International Conference on Learning Representations (ICLR), 2022.</w:t>
      </w:r>
    </w:p>
    <w:p>
      <w:pPr>
        <w:spacing w:after="80"/>
        <w:ind w:left="576" w:hanging="576"/>
        <w:jc w:val="both"/>
      </w:pPr>
      <w:r>
        <w:rPr>
          <w:rFonts w:ascii="Times New Roman" w:hAnsi="Times New Roman"/>
          <w:sz w:val="20"/>
        </w:rPr>
        <w:t>[5] S. Coles, An Introduction to Statistical Modeling of Extreme Values, 1st ed. London: Springer-Verlag, 2001.</w:t>
      </w:r>
    </w:p>
    <w:p>
      <w:pPr>
        <w:spacing w:after="80"/>
        <w:ind w:left="576" w:hanging="576"/>
        <w:jc w:val="both"/>
      </w:pPr>
      <w:r>
        <w:rPr>
          <w:rFonts w:ascii="Times New Roman" w:hAnsi="Times New Roman"/>
          <w:sz w:val="20"/>
        </w:rPr>
        <w:t>[6] J. Pickands, "Statistical Inference Using Extreme Order Statistics," The Annals of Statistics, vol. 3, no. 1, pp. 119-131, 1975.</w:t>
      </w:r>
    </w:p>
    <w:p>
      <w:pPr>
        <w:spacing w:after="80"/>
        <w:ind w:left="576" w:hanging="576"/>
        <w:jc w:val="both"/>
      </w:pPr>
      <w:r>
        <w:rPr>
          <w:rFonts w:ascii="Times New Roman" w:hAnsi="Times New Roman"/>
          <w:sz w:val="20"/>
        </w:rPr>
        <w:t>[7] E. M. Rudd, L. P. Jain, W. J. Scheirer, and T. E. Boult, "The Extreme Value Machine," IEEE Transactions on Pattern Analysis and Machine Intelligence, vol. 40, no. 3, pp. 762-768, March 2018.</w:t>
      </w:r>
    </w:p>
    <w:p>
      <w:pPr>
        <w:spacing w:after="80"/>
        <w:ind w:left="576" w:hanging="576"/>
        <w:jc w:val="both"/>
      </w:pPr>
      <w:r>
        <w:rPr>
          <w:rFonts w:ascii="Times New Roman" w:hAnsi="Times New Roman"/>
          <w:sz w:val="20"/>
        </w:rPr>
        <w:t>[8] NVIDIA Corporation, "NVIDIA DeepStream SDK Development Guide," Version 6.2, NVIDIA Developer Documentation, Santa Clara, CA, 2023.</w:t>
      </w:r>
    </w:p>
    <w:p>
      <w:pPr>
        <w:spacing w:after="80"/>
        <w:ind w:left="576" w:hanging="576"/>
        <w:jc w:val="both"/>
      </w:pPr>
      <w:r>
        <w:rPr>
          <w:rFonts w:ascii="Times New Roman" w:hAnsi="Times New Roman"/>
          <w:sz w:val="20"/>
        </w:rPr>
        <w:t>[9] NVIDIA Corporation, "TensorRT Developer Guide: High-Performance Deep Learning Inference," Version 8.5, NVIDIA Developer Documentation, 2023.</w:t>
      </w:r>
    </w:p>
    <w:p>
      <w:pPr>
        <w:spacing w:after="80"/>
        <w:ind w:left="576" w:hanging="576"/>
        <w:jc w:val="both"/>
      </w:pPr>
      <w:r>
        <w:rPr>
          <w:rFonts w:ascii="Times New Roman" w:hAnsi="Times New Roman"/>
          <w:sz w:val="20"/>
        </w:rPr>
        <w:t>[10] H. Wang, Y. Wang, Z. Zhou, X. Ji, D. Gong, J. Zhou, Z. Li, and W. Liu, "CosFace: Large Margin Cosine Loss for Deep Face Recognition," in Proceedings of the IEEE Conference on Computer Vision and Pattern Recognition (CVPR), 2018, pp. 5265-5274.</w:t>
      </w:r>
    </w:p>
    <w:p>
      <w:pPr>
        <w:spacing w:after="80"/>
        <w:ind w:left="576" w:hanging="576"/>
        <w:jc w:val="both"/>
      </w:pPr>
      <w:r>
        <w:rPr>
          <w:rFonts w:ascii="Times New Roman" w:hAnsi="Times New Roman"/>
          <w:sz w:val="20"/>
        </w:rPr>
        <w:t>[11] Y. Taigman, M. Yang, M. Ranzato, and L. Wolf, "DeepFace: Closing the Gap to Human-Level Performance in Face Verification," in Proceedings of the IEEE Conference on Computer Vision and Pattern Recognition (CVPR), 2014, pp. 1701-1708.</w:t>
      </w:r>
    </w:p>
    <w:p>
      <w:pPr>
        <w:spacing w:after="80"/>
        <w:ind w:left="576" w:hanging="576"/>
        <w:jc w:val="both"/>
      </w:pPr>
      <w:r>
        <w:rPr>
          <w:rFonts w:ascii="Times New Roman" w:hAnsi="Times New Roman"/>
          <w:sz w:val="20"/>
        </w:rPr>
        <w:t>[12] Y. Malkov and D. Yashunin, "Efficient and robust approximate nearest neighbors using Hierarchical Navigable Small World graphs," IEEE Transactions on Pattern Analysis and Machine Intelligence, vol. 42, no. 4, pp. 824-836, 2020.</w:t>
      </w:r>
    </w:p>
    <w:p>
      <w:pPr>
        <w:spacing w:after="80"/>
        <w:ind w:left="576" w:hanging="576"/>
        <w:jc w:val="both"/>
      </w:pPr>
      <w:r>
        <w:rPr>
          <w:rFonts w:ascii="Times New Roman" w:hAnsi="Times New Roman"/>
          <w:sz w:val="20"/>
        </w:rPr>
        <w:t>[13] P. Grother, M. Ngan, and K. Hanaoka, "Ongoing Face Recognition Vendor Test (FRVT) Part 2: Identification," NIST Interagency/Internal Report (NISTIR) 8271, National Institute of Standards and Technology, Gaithersburg, MD, Nov. 2019.</w:t>
      </w:r>
    </w:p>
    <w:p>
      <w:pPr>
        <w:spacing w:after="80"/>
        <w:ind w:left="576" w:hanging="576"/>
        <w:jc w:val="both"/>
      </w:pPr>
      <w:r>
        <w:rPr>
          <w:rFonts w:ascii="Times New Roman" w:hAnsi="Times New Roman"/>
          <w:sz w:val="20"/>
        </w:rPr>
        <w:t>[14] M. G. Bellemare, W. Dabney, and R. Munos, "A Distributional Perspective on Reinforcement Learning," in Proceedings of the 34th International Conference on Machine Learning (ICML), 2017, pp. 449-458.</w:t>
      </w:r>
    </w:p>
    <w:p>
      <w:pPr>
        <w:spacing w:after="80"/>
        <w:ind w:left="576" w:hanging="576"/>
        <w:jc w:val="both"/>
      </w:pPr>
      <w:r>
        <w:rPr>
          <w:rFonts w:ascii="Times New Roman" w:hAnsi="Times New Roman"/>
          <w:sz w:val="20"/>
        </w:rPr>
        <w:t>[15] C. G. Geyer, "Practical Markov Chain Monte Carlo," Statistical Science, vol. 7, no. 4, pp. 473-483, 1992.</w:t>
      </w:r>
    </w:p>
    <w:p>
      <w:pPr>
        <w:spacing w:after="80"/>
        <w:ind w:left="576" w:hanging="576"/>
        <w:jc w:val="both"/>
      </w:pPr>
      <w:r>
        <w:rPr>
          <w:rFonts w:ascii="Times New Roman" w:hAnsi="Times New Roman"/>
          <w:sz w:val="20"/>
        </w:rPr>
        <w:t>[16] Cloudflare Inc., "Cloudflare One: Zero Trust Network Architecture and Secure Application Tunnels Documentation," San Francisco, CA, 2024.</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1A202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