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53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МИНОБРНАУКИ РОССИИ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53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Санкт-Петербургский государственный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53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53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«ЛЭТИ» им. В.И. Ульянова (Ленина)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53"/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МО ЭВМ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53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53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53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53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53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53"/>
        <w:pBdr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53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53"/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53"/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лабораторной работе №</w:t>
      </w:r>
      <w:r>
        <w:rPr>
          <w:b/>
          <w:sz w:val="28"/>
          <w:szCs w:val="28"/>
        </w:rPr>
        <w:t xml:space="preserve">6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53"/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«Параллельные алгоритмы»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53"/>
        <w:pBdr/>
        <w:tabs>
          <w:tab w:val="left" w:leader="none" w:pos="5220"/>
        </w:tabs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sz w:val="28"/>
          <w:szCs w:val="28"/>
        </w:rPr>
        <w:t xml:space="preserve">Оптимизация доступа к памяти в модели OpenCL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53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53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53"/>
        <w:pBdr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53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53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9355" w:type="dxa"/>
        <w:tblInd w:w="-108" w:type="dxa"/>
        <w:tblBorders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27"/>
        <w:gridCol w:w="2476"/>
        <w:gridCol w:w="2752"/>
      </w:tblGrid>
      <w:tr>
        <w:trPr>
          <w:trHeight w:val="614"/>
        </w:trPr>
        <w:tc>
          <w:tcPr>
            <w:tcBorders/>
            <w:tcMar>
              <w:left w:w="108" w:type="dxa"/>
              <w:top w:w="0" w:type="dxa"/>
              <w:right w:w="108" w:type="dxa"/>
              <w:bottom w:w="0" w:type="dxa"/>
            </w:tcMar>
            <w:tcW w:w="4127" w:type="dxa"/>
            <w:vAlign w:val="bottom"/>
            <w:textDirection w:val="lrTb"/>
            <w:noWrap w:val="false"/>
          </w:tcPr>
          <w:p>
            <w:pPr>
              <w:pStyle w:val="853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0304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bottom w:val="single" w:color="00000a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76" w:type="dxa"/>
            <w:vAlign w:val="bottom"/>
            <w:textDirection w:val="lrTb"/>
            <w:noWrap w:val="false"/>
          </w:tcPr>
          <w:p>
            <w:pPr>
              <w:pStyle w:val="853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Mar>
              <w:left w:w="108" w:type="dxa"/>
              <w:top w:w="0" w:type="dxa"/>
              <w:right w:w="108" w:type="dxa"/>
              <w:bottom w:w="0" w:type="dxa"/>
            </w:tcMar>
            <w:tcW w:w="2752" w:type="dxa"/>
            <w:vAlign w:val="bottom"/>
            <w:textDirection w:val="lrTb"/>
            <w:noWrap w:val="false"/>
          </w:tcPr>
          <w:p>
            <w:pPr>
              <w:pStyle w:val="853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Аристархов И.Е.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Mar>
              <w:left w:w="108" w:type="dxa"/>
              <w:top w:w="0" w:type="dxa"/>
              <w:right w:w="108" w:type="dxa"/>
              <w:bottom w:w="0" w:type="dxa"/>
            </w:tcMar>
            <w:tcW w:w="4127" w:type="dxa"/>
            <w:vAlign w:val="bottom"/>
            <w:textDirection w:val="lrTb"/>
            <w:noWrap w:val="false"/>
          </w:tcPr>
          <w:p>
            <w:pPr>
              <w:pStyle w:val="853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a" w:sz="4" w:space="0"/>
              <w:bottom w:val="single" w:color="00000a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76" w:type="dxa"/>
            <w:vAlign w:val="bottom"/>
            <w:textDirection w:val="lrTb"/>
            <w:noWrap w:val="false"/>
          </w:tcPr>
          <w:p>
            <w:pPr>
              <w:pStyle w:val="853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Mar>
              <w:left w:w="108" w:type="dxa"/>
              <w:top w:w="0" w:type="dxa"/>
              <w:right w:w="108" w:type="dxa"/>
              <w:bottom w:w="0" w:type="dxa"/>
            </w:tcMar>
            <w:tcW w:w="2752" w:type="dxa"/>
            <w:vAlign w:val="bottom"/>
            <w:textDirection w:val="lrTb"/>
            <w:noWrap w:val="false"/>
          </w:tcPr>
          <w:p>
            <w:pPr>
              <w:pStyle w:val="853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Сергеева Е.И.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</w:tbl>
    <w:p>
      <w:pPr>
        <w:pStyle w:val="853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853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853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853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853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Санкт-Петербург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853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2023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853"/>
        <w:pageBreakBefore w:val="true"/>
        <w:pBdr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Цель работы.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53"/>
        <w:pBdr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Используя OpenCL реализовать параллельное умножение матриц.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53"/>
        <w:pBdr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53"/>
        <w:pBdr/>
        <w:spacing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Выполнение работы.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53"/>
        <w:pBdr/>
        <w:spacing w:line="360" w:lineRule="auto"/>
        <w:ind w:firstLine="709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Общий принцип работы с OpenCL был описан в предыдущей работе, поэтому данная часть будет описана кратко с подробностями в различиях.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53"/>
        <w:pBdr/>
        <w:spacing w:line="360" w:lineRule="auto"/>
        <w:ind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Сперва получается устройство (в данном случае GPU), создается на него контекст и очередь команд. Затем </w:t>
      </w:r>
      <w:r>
        <w:rPr>
          <w:sz w:val="28"/>
          <w:szCs w:val="28"/>
          <w:highlight w:val="none"/>
        </w:rPr>
        <w:t xml:space="preserve">загружается исходный код для kernel, он собирается и с ним формируется Kernel. Далее идет формирование переменных. Именно здесь и лежит основное отличие с предыдущей работой, где использовалось 2D изображение, когда как тут требуется создать 3 двумерных ма</w:t>
      </w:r>
      <w:r>
        <w:rPr>
          <w:sz w:val="28"/>
          <w:szCs w:val="28"/>
          <w:highlight w:val="none"/>
        </w:rPr>
        <w:t xml:space="preserve">ссива. Это можно сделать, создав одномерные буферы с ручным контролем перебора индексов у них. Для первых двух буферов (для матриц перемножения) передается не только размер, но и начальное значение, когда последний (для результата) остается без последнего.</w:t>
      </w:r>
      <w:r>
        <w:rPr>
          <w:bCs/>
          <w:i/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Style w:val="853"/>
        <w:pBdr/>
        <w:spacing w:line="360" w:lineRule="auto"/>
        <w:ind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Теперь буферы и переменная размера привязываются к Kernel и создается задача на вычисление в очереди. Остается дождаться конца вычислений и очистить память.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53"/>
        <w:pBdr/>
        <w:spacing w:line="360" w:lineRule="auto"/>
        <w:ind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Далее перейдем к программе. В ней было решено использовать локальную память, которая общая в пределах рабочей группы. Это позволит переиспользовать память и уменьшить количество запросов в глобальную память.</w:t>
      </w:r>
      <w:r>
        <w:rPr>
          <w:sz w:val="28"/>
          <w:szCs w:val="28"/>
          <w:highlight w:val="none"/>
        </w:rPr>
      </w:r>
    </w:p>
    <w:p>
      <w:pPr>
        <w:pStyle w:val="853"/>
        <w:pBdr/>
        <w:spacing w:line="360" w:lineRule="auto"/>
        <w:ind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Каждый рабочий элемент в группе ответственен за загрузку своего участка локальной памяти (которая имеет форму квадрата). Далее производится операция перемножения в пределах этого блока, после чего загружается следующий блок. </w:t>
      </w:r>
      <w:r>
        <w:rPr>
          <w:sz w:val="28"/>
          <w:szCs w:val="28"/>
          <w:highlight w:val="none"/>
        </w:rPr>
      </w:r>
    </w:p>
    <w:p>
      <w:pPr>
        <w:pStyle w:val="853"/>
        <w:pBdr/>
        <w:spacing w:line="360" w:lineRule="auto"/>
        <w:ind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Остается добавить, что производимые вычисления в данной программе сравнивались с правильными результатами, рассчитанными с помощью прошлой работы.</w:t>
      </w:r>
      <w:r>
        <w:rPr>
          <w:sz w:val="28"/>
          <w:szCs w:val="28"/>
          <w:highlight w:val="none"/>
        </w:rPr>
      </w:r>
    </w:p>
    <w:p>
      <w:pPr>
        <w:pStyle w:val="853"/>
        <w:pBdr/>
        <w:spacing/>
        <w:ind w:firstLine="720"/>
        <w:rPr>
          <w:b/>
          <w:bCs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53"/>
        <w:pBdr/>
        <w:spacing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853"/>
        <w:pBdr/>
        <w:spacing/>
        <w:ind w:firstLine="720"/>
        <w:rPr>
          <w:b/>
          <w:bCs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853"/>
        <w:pBdr/>
        <w:spacing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Анализ.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53"/>
        <w:pBdr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Вычисления производились на Nvidia GTX 1650 4 Гб. Рабочая группа выставлялась в значение 32x32 (большие значения не поддерживаются). </w:t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pStyle w:val="853"/>
        <w:pBdr/>
        <w:spacing w:line="360" w:lineRule="auto"/>
        <w:ind w:firstLine="709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Были получены следующие результаты: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tbl>
      <w:tblPr>
        <w:tblStyle w:val="889"/>
        <w:tblW w:w="0" w:type="auto"/>
        <w:tblBorders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Style w:val="853"/>
              <w:pBdr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Размер матрицы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Style w:val="853"/>
              <w:pBdr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Время на CPU</w:t>
            </w:r>
            <w:r>
              <w:rPr>
                <w:sz w:val="28"/>
                <w:szCs w:val="28"/>
              </w:rPr>
              <w:t xml:space="preserve">, сек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Style w:val="853"/>
              <w:pBdr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Время на GPU, сек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Style w:val="853"/>
              <w:pBdr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128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Style w:val="853"/>
              <w:pBdr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0,064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Style w:val="853"/>
              <w:pBdr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0,008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Style w:val="853"/>
              <w:pBdr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256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Style w:val="853"/>
              <w:pBdr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0,486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Style w:val="853"/>
              <w:pBdr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0,022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Style w:val="853"/>
              <w:pBdr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512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Style w:val="853"/>
              <w:pBdr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1,902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Style w:val="853"/>
              <w:pBdr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0,098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Style w:val="853"/>
              <w:pBdr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1024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Style w:val="853"/>
              <w:pBdr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14,267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Style w:val="853"/>
              <w:pBdr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0,463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Style w:val="853"/>
              <w:pBdr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2048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Style w:val="853"/>
              <w:pBdr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119,558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Style w:val="853"/>
              <w:pBdr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1,709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Style w:val="853"/>
        <w:pBdr/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53"/>
        <w:pBdr/>
        <w:spacing w:line="360" w:lineRule="auto"/>
        <w:ind w:firstLine="709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CPU реализация брала количество потоков по размеру матрицы (в одной из предыдущих работ был сделан вывод, что это лучший подход по скорости выполнения).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53"/>
        <w:pBdr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Из таблицы прекрасно видно, что GPU реализация выигрывает в десятки раз, относительно CPU реализации. </w:t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pStyle w:val="853"/>
        <w:pBdr/>
        <w:spacing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53"/>
        <w:pBdr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Выводы.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53"/>
        <w:pBdr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лабораторной работы была разработана программа производящ</w:t>
      </w:r>
      <w:r>
        <w:rPr>
          <w:sz w:val="28"/>
          <w:szCs w:val="28"/>
        </w:rPr>
        <w:t xml:space="preserve">а</w:t>
      </w:r>
      <w:r>
        <w:rPr>
          <w:sz w:val="28"/>
          <w:szCs w:val="28"/>
        </w:rPr>
        <w:t xml:space="preserve">я умножение матриц</w:t>
      </w:r>
      <w:r>
        <w:rPr>
          <w:sz w:val="28"/>
          <w:szCs w:val="28"/>
        </w:rPr>
        <w:t xml:space="preserve">, с использованием GPU на OpenCL. Сравнение данной программы с ранней реализацией на CPU показало, что GPU во много раз быстрее производит умножение.</w:t>
      </w:r>
      <w:r>
        <w:rPr>
          <w:sz w:val="28"/>
          <w:szCs w:val="28"/>
        </w:rPr>
      </w:r>
      <w:r>
        <w:rPr>
          <w:sz w:val="28"/>
          <w:szCs w:val="28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OpenSymbol">
    <w:panose1 w:val="05010000000000000000"/>
  </w:font>
  <w:font w:name="Courier New">
    <w:panose1 w:val="02070409020205020404"/>
  </w:font>
  <w:font w:name="Arimo">
    <w:panose1 w:val="02000603000000000000"/>
  </w:font>
  <w:font w:name="Times New Roman">
    <w:panose1 w:val="02020603050405020304"/>
  </w:font>
  <w:font w:name="Arial">
    <w:panose1 w:val="020B0604020202020204"/>
  </w:font>
  <w:font w:name="Noto Sans CJK SC">
    <w:panose1 w:val="020B0500000000000000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rPr>
          <w:color w:val="000000"/>
        </w:rP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styleLink w:val="886"/>
    <w:lvl w:ilvl="0">
      <w:isLgl w:val="false"/>
      <w:lvlJc w:val="left"/>
      <w:lvlText w:val=""/>
      <w:numFmt w:val="bullet"/>
      <w:pPr>
        <w:pBdr/>
        <w:spacing/>
        <w:ind w:hanging="360" w:left="1429"/>
      </w:pPr>
      <w:pStyle w:val="886"/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/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/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">
    <w:styleLink w:val="888"/>
    <w:lvl w:ilvl="0">
      <w:isLgl w:val="false"/>
      <w:lvlJc w:val="left"/>
      <w:lvlText w:val=""/>
      <w:numFmt w:val="bullet"/>
      <w:pPr>
        <w:pBdr/>
        <w:spacing/>
        <w:ind w:hanging="360" w:left="1429"/>
      </w:pPr>
      <w:pStyle w:val="888"/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/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/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/>
      <w:start w:val="1"/>
      <w:suff w:val="tab"/>
    </w:lvl>
  </w:abstractNum>
  <w:abstractNum w:abstractNumId="3">
    <w:styleLink w:val="884"/>
    <w:lvl w:ilvl="0">
      <w:isLgl w:val="false"/>
      <w:lvlJc w:val="left"/>
      <w:lvlText w:val=""/>
      <w:numFmt w:val="bullet"/>
      <w:pPr>
        <w:pBdr/>
        <w:spacing/>
        <w:ind w:hanging="360" w:left="1069"/>
      </w:pPr>
      <w:pStyle w:val="884"/>
      <w:rPr>
        <w:rFonts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/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/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/>
      <w:start w:val="1"/>
      <w:suff w:val="tab"/>
    </w:lvl>
  </w:abstractNum>
  <w:abstractNum w:abstractNumId="4">
    <w:styleLink w:val="887"/>
    <w:lvl w:ilvl="0">
      <w:isLgl w:val="false"/>
      <w:lvlJc w:val="left"/>
      <w:lvlText w:val=""/>
      <w:numFmt w:val="bullet"/>
      <w:pPr>
        <w:pBdr/>
        <w:spacing/>
        <w:ind w:hanging="360" w:left="1429"/>
      </w:pPr>
      <w:pStyle w:val="887"/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/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/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/>
      <w:start w:val="1"/>
      <w:suff w:val="tab"/>
    </w:lvl>
  </w:abstractNum>
  <w:abstractNum w:abstractNumId="5">
    <w:styleLink w:val="885"/>
    <w:lvl w:ilvl="0">
      <w:isLgl w:val="false"/>
      <w:lvlJc w:val="left"/>
      <w:lvlText w:val=""/>
      <w:numFmt w:val="bullet"/>
      <w:pPr>
        <w:pBdr/>
        <w:spacing/>
        <w:ind w:hanging="360" w:left="1069"/>
      </w:pPr>
      <w:pStyle w:val="885"/>
      <w:rPr>
        <w:rFonts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/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/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/>
      <w:start w:val="1"/>
      <w:suff w:val="tab"/>
    </w:lvl>
  </w:abstractNum>
  <w:abstractNum w:abstractNumId="6">
    <w:styleLink w:val="881"/>
    <w:lvl w:ilvl="0">
      <w:isLgl w:val="false"/>
      <w:lvlJc w:val="left"/>
      <w:lvlText w:val="%1."/>
      <w:numFmt w:val="decimal"/>
      <w:pPr>
        <w:pBdr/>
        <w:spacing/>
        <w:ind w:hanging="360" w:left="1069"/>
      </w:pPr>
      <w:pStyle w:val="881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1.%2.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1.%2.%3.%4.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1.%2.%3.%4.%5.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1.%2.%3.%4.%5.%6.%7.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1.%2.%3.%4.%5.%6.%7.%8.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7">
    <w:styleLink w:val="882"/>
    <w:lvl w:ilvl="0">
      <w:isLgl w:val="false"/>
      <w:lvlJc w:val="left"/>
      <w:lvlText w:val="–"/>
      <w:numFmt w:val="bullet"/>
      <w:pPr>
        <w:pBdr/>
        <w:spacing/>
        <w:ind w:hanging="360" w:left="1418"/>
      </w:pPr>
      <w:pStyle w:val="882"/>
      <w:rPr>
        <w:rFonts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eastAsia="Wingdings" w:cs="Wingdings"/>
      </w:rPr>
      <w:start w:val="1"/>
      <w:suff w:val="tab"/>
    </w:lvl>
  </w:abstractNum>
  <w:abstractNum w:abstractNumId="8">
    <w:styleLink w:val="883"/>
    <w:lvl w:ilvl="0">
      <w:isLgl w:val="false"/>
      <w:lvlJc w:val="left"/>
      <w:lvlText w:val=""/>
      <w:numFmt w:val="bullet"/>
      <w:pPr>
        <w:pBdr/>
        <w:spacing/>
        <w:ind w:hanging="360" w:left="1080"/>
      </w:pPr>
      <w:pStyle w:val="883"/>
      <w:rPr>
        <w:rFonts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/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/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 w:eastAsia="Noto Sans CJK SC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Noto Sans CJK SC" w:cs="Calibri"/>
        <w:sz w:val="22"/>
        <w:szCs w:val="22"/>
        <w:lang w:val="en-US" w:eastAsia="en-US" w:bidi="ar-SA"/>
      </w:rPr>
    </w:rPrDefault>
    <w:pPrDefault>
      <w:pPr>
        <w:widowControl w:val="false"/>
        <w:pBdr/>
        <w:spacing w:after="160" w:afterAutospacing="0" w:before="0" w:beforeAutospacing="0" w:line="25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4">
    <w:name w:val="Heading 1"/>
    <w:basedOn w:val="849"/>
    <w:next w:val="849"/>
    <w:link w:val="67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basedOn w:val="850"/>
    <w:link w:val="67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6">
    <w:name w:val="Heading 2"/>
    <w:basedOn w:val="849"/>
    <w:next w:val="849"/>
    <w:link w:val="67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basedOn w:val="850"/>
    <w:link w:val="67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8">
    <w:name w:val="Heading 3"/>
    <w:basedOn w:val="849"/>
    <w:next w:val="849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basedOn w:val="850"/>
    <w:link w:val="67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0">
    <w:name w:val="Heading 4"/>
    <w:basedOn w:val="849"/>
    <w:next w:val="849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basedOn w:val="850"/>
    <w:link w:val="68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49"/>
    <w:next w:val="849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basedOn w:val="850"/>
    <w:link w:val="68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49"/>
    <w:next w:val="849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basedOn w:val="850"/>
    <w:link w:val="6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49"/>
    <w:next w:val="849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basedOn w:val="850"/>
    <w:link w:val="6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49"/>
    <w:next w:val="849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basedOn w:val="850"/>
    <w:link w:val="6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49"/>
    <w:next w:val="849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basedOn w:val="850"/>
    <w:link w:val="69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2">
    <w:name w:val="No Spacing"/>
    <w:uiPriority w:val="1"/>
    <w:qFormat/>
    <w:pPr>
      <w:pBdr/>
      <w:spacing w:after="0" w:before="0" w:line="240" w:lineRule="auto"/>
      <w:ind/>
    </w:pPr>
  </w:style>
  <w:style w:type="paragraph" w:styleId="693">
    <w:name w:val="Title"/>
    <w:basedOn w:val="849"/>
    <w:next w:val="849"/>
    <w:link w:val="694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4">
    <w:name w:val="Title Char"/>
    <w:basedOn w:val="850"/>
    <w:link w:val="693"/>
    <w:uiPriority w:val="10"/>
    <w:pPr>
      <w:pBdr/>
      <w:spacing/>
      <w:ind/>
    </w:pPr>
    <w:rPr>
      <w:sz w:val="48"/>
      <w:szCs w:val="48"/>
    </w:rPr>
  </w:style>
  <w:style w:type="paragraph" w:styleId="695">
    <w:name w:val="Subtitle"/>
    <w:basedOn w:val="849"/>
    <w:next w:val="849"/>
    <w:link w:val="696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6">
    <w:name w:val="Subtitle Char"/>
    <w:basedOn w:val="850"/>
    <w:link w:val="695"/>
    <w:uiPriority w:val="11"/>
    <w:pPr>
      <w:pBdr/>
      <w:spacing/>
      <w:ind/>
    </w:pPr>
    <w:rPr>
      <w:sz w:val="24"/>
      <w:szCs w:val="24"/>
    </w:rPr>
  </w:style>
  <w:style w:type="paragraph" w:styleId="697">
    <w:name w:val="Quote"/>
    <w:basedOn w:val="849"/>
    <w:next w:val="849"/>
    <w:link w:val="698"/>
    <w:uiPriority w:val="29"/>
    <w:qFormat/>
    <w:pPr>
      <w:pBdr/>
      <w:spacing/>
      <w:ind w:right="720" w:left="720"/>
    </w:pPr>
    <w:rPr>
      <w:i/>
    </w:rPr>
  </w:style>
  <w:style w:type="character" w:styleId="698">
    <w:name w:val="Quote Char"/>
    <w:link w:val="697"/>
    <w:uiPriority w:val="29"/>
    <w:pPr>
      <w:pBdr/>
      <w:spacing/>
      <w:ind/>
    </w:pPr>
    <w:rPr>
      <w:i/>
    </w:rPr>
  </w:style>
  <w:style w:type="paragraph" w:styleId="699">
    <w:name w:val="Intense Quote"/>
    <w:basedOn w:val="849"/>
    <w:next w:val="849"/>
    <w:link w:val="70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0">
    <w:name w:val="Intense Quote Char"/>
    <w:link w:val="699"/>
    <w:uiPriority w:val="30"/>
    <w:pPr>
      <w:pBdr/>
      <w:spacing/>
      <w:ind/>
    </w:pPr>
    <w:rPr>
      <w:i/>
    </w:rPr>
  </w:style>
  <w:style w:type="paragraph" w:styleId="701">
    <w:name w:val="Header"/>
    <w:basedOn w:val="849"/>
    <w:link w:val="70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2">
    <w:name w:val="Header Char"/>
    <w:basedOn w:val="850"/>
    <w:link w:val="701"/>
    <w:uiPriority w:val="99"/>
    <w:pPr>
      <w:pBdr/>
      <w:spacing/>
      <w:ind/>
    </w:pPr>
  </w:style>
  <w:style w:type="paragraph" w:styleId="703">
    <w:name w:val="Footer"/>
    <w:basedOn w:val="849"/>
    <w:link w:val="7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4">
    <w:name w:val="Footer Char"/>
    <w:basedOn w:val="850"/>
    <w:link w:val="703"/>
    <w:uiPriority w:val="99"/>
    <w:pPr>
      <w:pBdr/>
      <w:spacing/>
      <w:ind/>
    </w:pPr>
  </w:style>
  <w:style w:type="character" w:styleId="705">
    <w:name w:val="Caption Char"/>
    <w:basedOn w:val="857"/>
    <w:link w:val="703"/>
    <w:uiPriority w:val="99"/>
    <w:pPr>
      <w:pBdr/>
      <w:spacing/>
      <w:ind/>
    </w:pPr>
  </w:style>
  <w:style w:type="table" w:styleId="706">
    <w:name w:val="Table Grid Light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1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2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1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2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3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5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6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2">
    <w:name w:val="footnote text"/>
    <w:basedOn w:val="849"/>
    <w:link w:val="83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3">
    <w:name w:val="Footnote Text Char"/>
    <w:link w:val="832"/>
    <w:uiPriority w:val="99"/>
    <w:pPr>
      <w:pBdr/>
      <w:spacing/>
      <w:ind/>
    </w:pPr>
    <w:rPr>
      <w:sz w:val="18"/>
    </w:rPr>
  </w:style>
  <w:style w:type="character" w:styleId="834">
    <w:name w:val="footnote reference"/>
    <w:basedOn w:val="850"/>
    <w:uiPriority w:val="99"/>
    <w:unhideWhenUsed/>
    <w:pPr>
      <w:pBdr/>
      <w:spacing/>
      <w:ind/>
    </w:pPr>
    <w:rPr>
      <w:vertAlign w:val="superscript"/>
    </w:rPr>
  </w:style>
  <w:style w:type="paragraph" w:styleId="835">
    <w:name w:val="endnote text"/>
    <w:basedOn w:val="849"/>
    <w:link w:val="83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6">
    <w:name w:val="Endnote Text Char"/>
    <w:link w:val="835"/>
    <w:uiPriority w:val="99"/>
    <w:pPr>
      <w:pBdr/>
      <w:spacing/>
      <w:ind/>
    </w:pPr>
    <w:rPr>
      <w:sz w:val="20"/>
    </w:rPr>
  </w:style>
  <w:style w:type="character" w:styleId="837">
    <w:name w:val="endnote reference"/>
    <w:basedOn w:val="850"/>
    <w:uiPriority w:val="99"/>
    <w:semiHidden/>
    <w:unhideWhenUsed/>
    <w:pPr>
      <w:pBdr/>
      <w:spacing/>
      <w:ind/>
    </w:pPr>
    <w:rPr>
      <w:vertAlign w:val="superscript"/>
    </w:rPr>
  </w:style>
  <w:style w:type="paragraph" w:styleId="838">
    <w:name w:val="toc 1"/>
    <w:basedOn w:val="849"/>
    <w:next w:val="849"/>
    <w:uiPriority w:val="39"/>
    <w:unhideWhenUsed/>
    <w:pPr>
      <w:pBdr/>
      <w:spacing w:after="57"/>
      <w:ind w:right="0" w:firstLine="0" w:left="0"/>
    </w:pPr>
  </w:style>
  <w:style w:type="paragraph" w:styleId="839">
    <w:name w:val="toc 2"/>
    <w:basedOn w:val="849"/>
    <w:next w:val="849"/>
    <w:uiPriority w:val="39"/>
    <w:unhideWhenUsed/>
    <w:pPr>
      <w:pBdr/>
      <w:spacing w:after="57"/>
      <w:ind w:right="0" w:firstLine="0" w:left="283"/>
    </w:pPr>
  </w:style>
  <w:style w:type="paragraph" w:styleId="840">
    <w:name w:val="toc 3"/>
    <w:basedOn w:val="849"/>
    <w:next w:val="849"/>
    <w:uiPriority w:val="39"/>
    <w:unhideWhenUsed/>
    <w:pPr>
      <w:pBdr/>
      <w:spacing w:after="57"/>
      <w:ind w:right="0" w:firstLine="0" w:left="567"/>
    </w:pPr>
  </w:style>
  <w:style w:type="paragraph" w:styleId="841">
    <w:name w:val="toc 4"/>
    <w:basedOn w:val="849"/>
    <w:next w:val="849"/>
    <w:uiPriority w:val="39"/>
    <w:unhideWhenUsed/>
    <w:pPr>
      <w:pBdr/>
      <w:spacing w:after="57"/>
      <w:ind w:right="0" w:firstLine="0" w:left="850"/>
    </w:pPr>
  </w:style>
  <w:style w:type="paragraph" w:styleId="842">
    <w:name w:val="toc 5"/>
    <w:basedOn w:val="849"/>
    <w:next w:val="849"/>
    <w:uiPriority w:val="39"/>
    <w:unhideWhenUsed/>
    <w:pPr>
      <w:pBdr/>
      <w:spacing w:after="57"/>
      <w:ind w:right="0" w:firstLine="0" w:left="1134"/>
    </w:pPr>
  </w:style>
  <w:style w:type="paragraph" w:styleId="843">
    <w:name w:val="toc 6"/>
    <w:basedOn w:val="849"/>
    <w:next w:val="849"/>
    <w:uiPriority w:val="39"/>
    <w:unhideWhenUsed/>
    <w:pPr>
      <w:pBdr/>
      <w:spacing w:after="57"/>
      <w:ind w:right="0" w:firstLine="0" w:left="1417"/>
    </w:pPr>
  </w:style>
  <w:style w:type="paragraph" w:styleId="844">
    <w:name w:val="toc 7"/>
    <w:basedOn w:val="849"/>
    <w:next w:val="849"/>
    <w:uiPriority w:val="39"/>
    <w:unhideWhenUsed/>
    <w:pPr>
      <w:pBdr/>
      <w:spacing w:after="57"/>
      <w:ind w:right="0" w:firstLine="0" w:left="1701"/>
    </w:pPr>
  </w:style>
  <w:style w:type="paragraph" w:styleId="845">
    <w:name w:val="toc 8"/>
    <w:basedOn w:val="849"/>
    <w:next w:val="849"/>
    <w:uiPriority w:val="39"/>
    <w:unhideWhenUsed/>
    <w:pPr>
      <w:pBdr/>
      <w:spacing w:after="57"/>
      <w:ind w:right="0" w:firstLine="0" w:left="1984"/>
    </w:pPr>
  </w:style>
  <w:style w:type="paragraph" w:styleId="846">
    <w:name w:val="toc 9"/>
    <w:basedOn w:val="849"/>
    <w:next w:val="849"/>
    <w:uiPriority w:val="39"/>
    <w:unhideWhenUsed/>
    <w:pPr>
      <w:pBdr/>
      <w:spacing w:after="57"/>
      <w:ind w:right="0" w:firstLine="0" w:left="2268"/>
    </w:pPr>
  </w:style>
  <w:style w:type="paragraph" w:styleId="847">
    <w:name w:val="TOC Heading"/>
    <w:uiPriority w:val="39"/>
    <w:unhideWhenUsed/>
    <w:pPr>
      <w:pBdr/>
      <w:spacing/>
      <w:ind/>
    </w:pPr>
  </w:style>
  <w:style w:type="paragraph" w:styleId="848">
    <w:name w:val="table of figures"/>
    <w:basedOn w:val="849"/>
    <w:next w:val="849"/>
    <w:uiPriority w:val="99"/>
    <w:unhideWhenUsed/>
    <w:pPr>
      <w:pBdr/>
      <w:spacing w:after="0" w:afterAutospacing="0"/>
      <w:ind/>
    </w:pPr>
  </w:style>
  <w:style w:type="paragraph" w:styleId="849" w:default="1">
    <w:name w:val="Normal"/>
    <w:qFormat/>
    <w:pPr>
      <w:pBdr/>
      <w:spacing/>
      <w:ind/>
    </w:pPr>
  </w:style>
  <w:style w:type="character" w:styleId="850" w:default="1">
    <w:name w:val="Default Paragraph Font"/>
    <w:uiPriority w:val="1"/>
    <w:semiHidden/>
    <w:unhideWhenUsed/>
    <w:pPr>
      <w:pBdr/>
      <w:spacing/>
      <w:ind/>
    </w:pPr>
  </w:style>
  <w:style w:type="table" w:styleId="85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2" w:default="1">
    <w:name w:val="No List"/>
    <w:uiPriority w:val="99"/>
    <w:semiHidden/>
    <w:unhideWhenUsed/>
    <w:pPr>
      <w:pBdr/>
      <w:spacing/>
      <w:ind/>
    </w:pPr>
  </w:style>
  <w:style w:type="paragraph" w:styleId="853" w:customStyle="1">
    <w:name w:val="Standard"/>
    <w:pPr>
      <w:widowControl w:val="true"/>
      <w:pBdr/>
      <w:spacing w:after="0" w:line="288" w:lineRule="auto"/>
      <w:ind w:firstLine="425"/>
      <w:jc w:val="both"/>
    </w:pPr>
    <w:rPr>
      <w:rFonts w:ascii="Times New Roman" w:hAnsi="Times New Roman" w:cs="Times New Roman"/>
      <w:sz w:val="24"/>
      <w:szCs w:val="24"/>
      <w:lang w:val="ru-RU"/>
    </w:rPr>
  </w:style>
  <w:style w:type="paragraph" w:styleId="854" w:customStyle="1">
    <w:name w:val="Heading"/>
    <w:basedOn w:val="853"/>
    <w:next w:val="855"/>
    <w:pPr>
      <w:keepNext w:val="true"/>
      <w:pBdr/>
      <w:spacing w:after="120" w:before="240"/>
      <w:ind/>
    </w:pPr>
    <w:rPr>
      <w:rFonts w:ascii="Arimo" w:hAnsi="Arimo" w:cs="Arimo"/>
      <w:sz w:val="28"/>
      <w:szCs w:val="28"/>
    </w:rPr>
  </w:style>
  <w:style w:type="paragraph" w:styleId="855" w:customStyle="1">
    <w:name w:val="Text body"/>
    <w:basedOn w:val="853"/>
    <w:pPr>
      <w:pBdr/>
      <w:spacing w:after="120"/>
      <w:ind/>
    </w:pPr>
  </w:style>
  <w:style w:type="paragraph" w:styleId="856">
    <w:name w:val="List"/>
    <w:basedOn w:val="855"/>
    <w:pPr>
      <w:pBdr/>
      <w:spacing/>
      <w:ind/>
    </w:pPr>
    <w:rPr>
      <w:rFonts w:cs="Arimo"/>
    </w:rPr>
  </w:style>
  <w:style w:type="paragraph" w:styleId="857">
    <w:name w:val="Caption"/>
    <w:basedOn w:val="853"/>
    <w:pPr>
      <w:pBdr/>
      <w:spacing w:after="200" w:line="240" w:lineRule="auto"/>
      <w:ind/>
    </w:pPr>
    <w:rPr>
      <w:i/>
      <w:iCs/>
      <w:color w:val="44546a"/>
      <w:sz w:val="18"/>
      <w:szCs w:val="18"/>
    </w:rPr>
  </w:style>
  <w:style w:type="paragraph" w:styleId="858" w:customStyle="1">
    <w:name w:val="Index"/>
    <w:basedOn w:val="853"/>
    <w:pPr>
      <w:suppressLineNumbers w:val="true"/>
      <w:pBdr/>
      <w:spacing/>
      <w:ind/>
    </w:pPr>
    <w:rPr>
      <w:rFonts w:cs="Arimo"/>
    </w:rPr>
  </w:style>
  <w:style w:type="paragraph" w:styleId="859">
    <w:name w:val="List Paragraph"/>
    <w:basedOn w:val="853"/>
    <w:pPr>
      <w:pBdr/>
      <w:spacing/>
      <w:ind w:left="720"/>
    </w:pPr>
  </w:style>
  <w:style w:type="paragraph" w:styleId="860" w:customStyle="1">
    <w:name w:val="Code"/>
    <w:basedOn w:val="853"/>
    <w:pPr>
      <w:pBdr/>
      <w:spacing/>
      <w:ind w:firstLine="720"/>
    </w:pPr>
    <w:rPr>
      <w:rFonts w:ascii="Courier New" w:hAnsi="Courier New" w:cs="Courier New"/>
      <w:i/>
    </w:rPr>
  </w:style>
  <w:style w:type="paragraph" w:styleId="861" w:customStyle="1">
    <w:name w:val="Подрисуночная подпись"/>
    <w:basedOn w:val="853"/>
    <w:pPr>
      <w:pBdr/>
      <w:spacing w:after="140"/>
      <w:ind/>
      <w:jc w:val="center"/>
    </w:pPr>
  </w:style>
  <w:style w:type="paragraph" w:styleId="862" w:customStyle="1">
    <w:name w:val="Рисунок"/>
    <w:basedOn w:val="853"/>
    <w:pPr>
      <w:pBdr/>
      <w:spacing w:after="140" w:before="140"/>
      <w:ind w:firstLine="0"/>
      <w:jc w:val="center"/>
    </w:pPr>
  </w:style>
  <w:style w:type="paragraph" w:styleId="863" w:customStyle="1">
    <w:name w:val="Ащщщщщщ"/>
    <w:basedOn w:val="853"/>
    <w:pPr>
      <w:pBdr/>
      <w:spacing w:line="360" w:lineRule="auto"/>
      <w:ind w:firstLine="709"/>
    </w:pPr>
    <w:rPr>
      <w:rFonts w:ascii="Calibri" w:hAnsi="Calibri"/>
      <w:sz w:val="28"/>
      <w:szCs w:val="28"/>
      <w:lang w:val="en-US"/>
    </w:rPr>
  </w:style>
  <w:style w:type="paragraph" w:styleId="864" w:customStyle="1">
    <w:name w:val="Pop"/>
    <w:basedOn w:val="860"/>
    <w:pPr>
      <w:pBdr/>
      <w:spacing/>
      <w:ind w:firstLine="0"/>
    </w:pPr>
    <w:rPr>
      <w:b/>
      <w:i w:val="0"/>
      <w:lang w:val="en-US"/>
    </w:rPr>
  </w:style>
  <w:style w:type="paragraph" w:styleId="865" w:customStyle="1">
    <w:name w:val="Table Contents"/>
    <w:basedOn w:val="853"/>
    <w:pPr>
      <w:suppressLineNumbers w:val="true"/>
      <w:pBdr/>
      <w:spacing/>
      <w:ind/>
    </w:pPr>
  </w:style>
  <w:style w:type="paragraph" w:styleId="866" w:customStyle="1">
    <w:name w:val="Table Heading"/>
    <w:basedOn w:val="865"/>
    <w:pPr>
      <w:pBdr/>
      <w:spacing/>
      <w:ind/>
      <w:jc w:val="center"/>
    </w:pPr>
    <w:rPr>
      <w:b/>
      <w:bCs/>
    </w:rPr>
  </w:style>
  <w:style w:type="character" w:styleId="867" w:customStyle="1">
    <w:name w:val="Internet link"/>
    <w:basedOn w:val="850"/>
    <w:pPr>
      <w:pBdr/>
      <w:spacing/>
      <w:ind/>
    </w:pPr>
    <w:rPr>
      <w:color w:val="0563c1"/>
      <w:u w:val="single"/>
    </w:rPr>
  </w:style>
  <w:style w:type="character" w:styleId="868">
    <w:name w:val="Emphasis"/>
    <w:pPr>
      <w:pBdr/>
      <w:spacing/>
      <w:ind/>
    </w:pPr>
    <w:rPr>
      <w:i w:val="0"/>
      <w:iCs w:val="0"/>
      <w:sz w:val="28"/>
      <w:szCs w:val="28"/>
    </w:rPr>
  </w:style>
  <w:style w:type="character" w:styleId="869" w:customStyle="1">
    <w:name w:val="Code Знак"/>
    <w:basedOn w:val="850"/>
    <w:pPr>
      <w:pBdr/>
      <w:spacing/>
      <w:ind/>
    </w:pPr>
    <w:rPr>
      <w:rFonts w:ascii="Courier New" w:hAnsi="Courier New" w:cs="Courier New"/>
      <w:i/>
      <w:sz w:val="24"/>
      <w:szCs w:val="24"/>
      <w:lang w:val="ru-RU"/>
    </w:rPr>
  </w:style>
  <w:style w:type="character" w:styleId="870" w:customStyle="1">
    <w:name w:val="Рисунок Знак"/>
    <w:basedOn w:val="850"/>
    <w:pPr>
      <w:pBdr/>
      <w:spacing/>
      <w:ind/>
    </w:pPr>
    <w:rPr>
      <w:rFonts w:ascii="Times New Roman" w:hAnsi="Times New Roman" w:cs="Times New Roman"/>
      <w:sz w:val="24"/>
      <w:szCs w:val="24"/>
      <w:lang w:val="ru-RU"/>
    </w:rPr>
  </w:style>
  <w:style w:type="character" w:styleId="871" w:customStyle="1">
    <w:name w:val="Ащщщщщщ_character"/>
    <w:basedOn w:val="868"/>
    <w:pPr>
      <w:pBdr/>
      <w:spacing/>
      <w:ind/>
    </w:pPr>
    <w:rPr>
      <w:i w:val="0"/>
      <w:iCs w:val="0"/>
      <w:sz w:val="28"/>
      <w:szCs w:val="28"/>
    </w:rPr>
  </w:style>
  <w:style w:type="character" w:styleId="872">
    <w:name w:val="Book Title"/>
    <w:basedOn w:val="850"/>
    <w:pPr>
      <w:pBdr/>
      <w:spacing/>
      <w:ind/>
    </w:pPr>
    <w:rPr>
      <w:b/>
      <w:bCs/>
      <w:smallCaps/>
      <w:spacing w:val="5"/>
    </w:rPr>
  </w:style>
  <w:style w:type="character" w:styleId="873" w:customStyle="1">
    <w:name w:val="Pop Char"/>
    <w:basedOn w:val="869"/>
    <w:pPr>
      <w:pBdr/>
      <w:spacing/>
      <w:ind/>
    </w:pPr>
    <w:rPr>
      <w:rFonts w:ascii="Courier New" w:hAnsi="Courier New" w:cs="Courier New"/>
      <w:b/>
      <w:i w:val="0"/>
      <w:sz w:val="24"/>
      <w:szCs w:val="24"/>
      <w:lang w:val="ru-RU"/>
    </w:rPr>
  </w:style>
  <w:style w:type="character" w:styleId="874" w:customStyle="1">
    <w:name w:val="ListLabel 1"/>
    <w:pPr>
      <w:pBdr/>
      <w:spacing/>
      <w:ind/>
    </w:pPr>
    <w:rPr>
      <w:rFonts w:eastAsia="Arial" w:cs="Arial"/>
    </w:rPr>
  </w:style>
  <w:style w:type="character" w:styleId="875" w:customStyle="1">
    <w:name w:val="ListLabel 2"/>
    <w:pPr>
      <w:pBdr/>
      <w:spacing/>
      <w:ind/>
    </w:pPr>
    <w:rPr>
      <w:rFonts w:eastAsia="Courier New" w:cs="Courier New"/>
    </w:rPr>
  </w:style>
  <w:style w:type="character" w:styleId="876" w:customStyle="1">
    <w:name w:val="ListLabel 3"/>
    <w:pPr>
      <w:pBdr/>
      <w:spacing/>
      <w:ind/>
    </w:pPr>
    <w:rPr>
      <w:rFonts w:eastAsia="Wingdings" w:cs="Wingdings"/>
    </w:rPr>
  </w:style>
  <w:style w:type="character" w:styleId="877" w:customStyle="1">
    <w:name w:val="ListLabel 4"/>
    <w:pPr>
      <w:pBdr/>
      <w:spacing/>
      <w:ind/>
    </w:pPr>
    <w:rPr>
      <w:rFonts w:eastAsia="Symbol" w:cs="Symbol"/>
    </w:rPr>
  </w:style>
  <w:style w:type="character" w:styleId="878" w:customStyle="1">
    <w:name w:val="ListLabel 5"/>
    <w:pPr>
      <w:pBdr/>
      <w:spacing/>
      <w:ind/>
    </w:pPr>
    <w:rPr>
      <w:rFonts w:cs="Times New Roman"/>
    </w:rPr>
  </w:style>
  <w:style w:type="character" w:styleId="879" w:customStyle="1">
    <w:name w:val="ListLabel 6"/>
    <w:pPr>
      <w:pBdr/>
      <w:spacing/>
      <w:ind/>
    </w:pPr>
    <w:rPr>
      <w:rFonts w:cs="Courier New"/>
    </w:rPr>
  </w:style>
  <w:style w:type="character" w:styleId="880" w:customStyle="1">
    <w:name w:val="Bullet Symbols"/>
    <w:pPr>
      <w:pBdr/>
      <w:spacing/>
      <w:ind/>
    </w:pPr>
    <w:rPr>
      <w:rFonts w:ascii="OpenSymbol" w:hAnsi="OpenSymbol" w:eastAsia="OpenSymbol" w:cs="OpenSymbol"/>
    </w:rPr>
  </w:style>
  <w:style w:type="numbering" w:styleId="881" w:customStyle="1">
    <w:name w:val="WWNum1"/>
    <w:basedOn w:val="852"/>
    <w:pPr>
      <w:numPr>
        <w:ilvl w:val="0"/>
        <w:numId w:val="1"/>
      </w:numPr>
      <w:pBdr/>
      <w:spacing/>
      <w:ind/>
    </w:pPr>
  </w:style>
  <w:style w:type="numbering" w:styleId="882" w:customStyle="1">
    <w:name w:val="WWNum2"/>
    <w:basedOn w:val="852"/>
    <w:pPr>
      <w:numPr>
        <w:ilvl w:val="0"/>
        <w:numId w:val="2"/>
      </w:numPr>
      <w:pBdr/>
      <w:spacing/>
      <w:ind/>
    </w:pPr>
  </w:style>
  <w:style w:type="numbering" w:styleId="883" w:customStyle="1">
    <w:name w:val="WWNum3"/>
    <w:basedOn w:val="852"/>
    <w:pPr>
      <w:numPr>
        <w:ilvl w:val="0"/>
        <w:numId w:val="3"/>
      </w:numPr>
      <w:pBdr/>
      <w:spacing/>
      <w:ind/>
    </w:pPr>
  </w:style>
  <w:style w:type="numbering" w:styleId="884" w:customStyle="1">
    <w:name w:val="WWNum4"/>
    <w:basedOn w:val="852"/>
    <w:pPr>
      <w:numPr>
        <w:ilvl w:val="0"/>
        <w:numId w:val="4"/>
      </w:numPr>
      <w:pBdr/>
      <w:spacing/>
      <w:ind/>
    </w:pPr>
  </w:style>
  <w:style w:type="numbering" w:styleId="885" w:customStyle="1">
    <w:name w:val="WWNum5"/>
    <w:basedOn w:val="852"/>
    <w:pPr>
      <w:numPr>
        <w:ilvl w:val="0"/>
        <w:numId w:val="5"/>
      </w:numPr>
      <w:pBdr/>
      <w:spacing/>
      <w:ind/>
    </w:pPr>
  </w:style>
  <w:style w:type="numbering" w:styleId="886" w:customStyle="1">
    <w:name w:val="WWNum6"/>
    <w:basedOn w:val="852"/>
    <w:pPr>
      <w:numPr>
        <w:ilvl w:val="0"/>
        <w:numId w:val="6"/>
      </w:numPr>
      <w:pBdr/>
      <w:spacing/>
      <w:ind/>
    </w:pPr>
  </w:style>
  <w:style w:type="numbering" w:styleId="887" w:customStyle="1">
    <w:name w:val="WWNum7"/>
    <w:basedOn w:val="852"/>
    <w:pPr>
      <w:numPr>
        <w:ilvl w:val="0"/>
        <w:numId w:val="7"/>
      </w:numPr>
      <w:pBdr/>
      <w:spacing/>
      <w:ind/>
    </w:pPr>
  </w:style>
  <w:style w:type="numbering" w:styleId="888" w:customStyle="1">
    <w:name w:val="WWNum8"/>
    <w:basedOn w:val="852"/>
    <w:pPr>
      <w:numPr>
        <w:ilvl w:val="0"/>
        <w:numId w:val="8"/>
      </w:numPr>
      <w:pBdr/>
      <w:spacing/>
      <w:ind/>
    </w:pPr>
  </w:style>
  <w:style w:type="table" w:styleId="889">
    <w:name w:val="Table Grid"/>
    <w:basedOn w:val="851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0">
    <w:name w:val="Placeholder Text"/>
    <w:basedOn w:val="850"/>
    <w:uiPriority w:val="99"/>
    <w:semiHidden/>
    <w:pPr>
      <w:pBdr/>
      <w:spacing/>
      <w:ind/>
    </w:pPr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Илья Аристархов</dc:creator>
  <cp:revision>7</cp:revision>
  <dcterms:created xsi:type="dcterms:W3CDTF">2023-10-15T11:04:00Z</dcterms:created>
  <dcterms:modified xsi:type="dcterms:W3CDTF">2023-12-05T09:56:37Z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0.000000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