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Contributi testuali per la tesi UX UI</w:t>
      </w:r>
    </w:p>
    <w:p>
      <w:pPr>
        <w:pStyle w:val="Subtitle"/>
      </w:pPr>
      <w:r>
        <w:t>Design della Comunicazione AANT Roma</w:t>
      </w:r>
    </w:p>
    <w:p>
      <w:r>
        <w:t>La raccolta comprende quattro bozze per l’integrazione nella tesi: introduzione e metodo, risultati della ricerca, proposta progettuale e valutazione prevista. Il testo conserva le basi dei questionari e distingue le ipotesi progettuali dalle esperienze osservate. Non costituisce una tesi definitiva.</w:t>
      </w:r>
    </w:p>
    <w:p>
      <w:pPr>
        <w:pStyle w:val="Heading1"/>
      </w:pPr>
      <w:r>
        <w:t>Introduzione e metodo</w:t>
      </w:r>
    </w:p>
    <w:p>
      <w:pPr>
        <w:pStyle w:val="Heading2"/>
      </w:pPr>
      <w:r>
        <w:t>1 Obiettivo del progetto</w:t>
      </w:r>
    </w:p>
    <w:p>
      <w:r>
        <w:rPr>
          <w:rFonts w:ascii="Arial" w:hAnsi="Arial" w:eastAsia="Arial" w:cs="Arial"/>
          <w:b w:val="0"/>
          <w:color w:val="000000"/>
        </w:rPr>
        <w:t>Scegliere un luogo richiede di mettere insieme informazioni diverse. Il prezzo e la distanza possono essere semplici da confrontare; capire se un ambiente sarà adatto all'occasione è meno immediato. Una fotografia mostra una parte dello spazio, mentre una recensione restituisce il punto di vista di chi lo ha frequentato, in un momento e con aspettative che possono essere diversi dai propri. Il progetto nasce dall'interesse per questa distanza tra ciò che si riesce a sapere prima di una visita e ciò che si scopre sul posto.</w:t>
      </w:r>
    </w:p>
    <w:p>
      <w:r>
        <w:rPr>
          <w:rFonts w:ascii="Arial" w:hAnsi="Arial" w:eastAsia="Arial" w:cs="Arial"/>
          <w:b w:val="0"/>
          <w:color w:val="000000"/>
        </w:rPr>
        <w:t>L'obiettivo della tesi è progettare un'applicazione che aiuti a confrontare luoghi attraverso informazioni pratiche, condizioni dell'ambiente e testimonianze contestualizzate. La copertura iniziale prevista è tutta Italia. Questo non richiede che il prototipo contenga già ogni città: il catalogo dimostrativo serve a mettere alla prova i percorsi, mentre la struttura deve permettere di cambiare città o zona senza confonderle con la posizione della persona.</w:t>
      </w:r>
    </w:p>
    <w:p>
      <w:r>
        <w:rPr>
          <w:rFonts w:ascii="Arial" w:hAnsi="Arial" w:eastAsia="Arial" w:cs="Arial"/>
          <w:b w:val="0"/>
          <w:color w:val="000000"/>
        </w:rPr>
        <w:t>Il progetto si concentra su due situazioni d'uso: esplorare individualmente e decidere dove andare con amici. Nel primo caso la persona cerca, confronta e sceglie; nel secondo deve anche rendere espliciti alcuni criteri e capire se gli altri hanno davvero aderito alla proposta. A questi percorsi si collega il contributo dopo una visita. La recensione non è soltanto l'ultima schermata: è una delle fonti che permettono alle altre persone di valutare un luogo.</w:t>
      </w:r>
    </w:p>
    <w:p>
      <w:r>
        <w:rPr>
          <w:rFonts w:ascii="Arial" w:hAnsi="Arial" w:eastAsia="Arial" w:cs="Arial"/>
          <w:b w:val="0"/>
          <w:color w:val="000000"/>
        </w:rPr>
        <w:t>L'assistente AI è previsto nei tre contesti, con compiti differenti. Nella ricerca aiuta a esprimere criteri e a leggere alternative; nella chat sostiene il confronto senza decidere per il gruppo; nella recensione propone una formulazione degli appunti senza aggiungere esperienze. L'interesse progettuale riguarda soprattutto il modo in cui la persona comprende, corregge o rifiuta l'aiuto. Le prestazioni di un modello reale non sono oggetto di verifica nel prototipo Figma, dove le risposte saranno predisposte.</w:t>
      </w:r>
    </w:p>
    <w:p>
      <w:r>
        <w:rPr>
          <w:rFonts w:ascii="Arial" w:hAnsi="Arial" w:eastAsia="Arial" w:cs="Arial"/>
          <w:b w:val="0"/>
          <w:color w:val="000000"/>
        </w:rPr>
        <w:t>La tesi non assume che l'app possa garantire sicurezza, benessere o appartenenza. Questi temi motivano l'attenzione all'esperienza dei luoghi, ma il lavoro può valutare compiti più circoscritti: trovare un'informazione, capire quali criteri sono applicati, distinguere un suggerimento da una decisione e controllare un contributo prima dell'invio. Risparmio di tempo, uso continuativo e impatto sociale restano obiettivi da studiare oltre questa fase.</w:t>
      </w:r>
    </w:p>
    <w:p>
      <w:pPr>
        <w:pStyle w:val="Heading2"/>
      </w:pPr>
      <w:r>
        <w:t>2 Metodo progettuale</w:t>
      </w:r>
    </w:p>
    <w:p>
      <w:r>
        <w:rPr>
          <w:rFonts w:ascii="Arial" w:hAnsi="Arial" w:eastAsia="Arial" w:cs="Arial"/>
          <w:b w:val="0"/>
          <w:color w:val="000000"/>
        </w:rPr>
        <w:t xml:space="preserve">Ho impostato il progetto secondo un approccio centrato sulle persone. ISO 9241-210:2019 descrive la progettazione centrata sull'essere umano attraverso la comprensione di utenti, compiti e contesti, il loro coinvolgimento, la valutazione con gli utenti, l'iterazione, l'attenzione all'intera esperienza e il contributo di competenze diverse. Il riferimento utilizzato è la scheda ufficiale e la preview del testo, non la norma integrale. </w:t>
      </w:r>
      <w:hyperlink r:id="rId10">
        <w:r>
          <w:rPr>
            <w:rFonts w:ascii="Arial" w:hAnsi="Arial"/>
            <w:color w:val="000000"/>
            <w:u w:val="single"/>
          </w:rPr>
          <w:t>ISO 9241-210:2019</w:t>
        </w:r>
      </w:hyperlink>
      <w:r>
        <w:rPr>
          <w:rFonts w:ascii="Arial" w:hAnsi="Arial" w:eastAsia="Arial" w:cs="Arial"/>
          <w:b w:val="0"/>
          <w:color w:val="000000"/>
        </w:rPr>
        <w:t>.</w:t>
      </w:r>
    </w:p>
    <w:p>
      <w:r>
        <w:rPr>
          <w:rFonts w:ascii="Arial" w:hAnsi="Arial" w:eastAsia="Arial" w:cs="Arial"/>
          <w:b w:val="0"/>
          <w:color w:val="000000"/>
        </w:rPr>
        <w:t xml:space="preserve">L'attenzione precoce agli utenti, la misurazione empirica dell'uso e l'iterazione compaiono anche nel lavoro di Gould e Lewis. Li considero orientamenti del progetto, distinguendoli dalla formulazione della norma. Raccogliere opinioni su un concetto è utile per scegliere cosa esplorare, ma non sostituisce l'osservazione delle persone mentre provano a svolgere un compito. </w:t>
      </w:r>
      <w:hyperlink r:id="rId11">
        <w:r>
          <w:rPr>
            <w:rFonts w:ascii="Arial" w:hAnsi="Arial"/>
            <w:color w:val="000000"/>
            <w:u w:val="single"/>
          </w:rPr>
          <w:t>Gould e Lewis, 1985</w:t>
        </w:r>
      </w:hyperlink>
      <w:r>
        <w:rPr>
          <w:rFonts w:ascii="Arial" w:hAnsi="Arial" w:eastAsia="Arial" w:cs="Arial"/>
          <w:b w:val="0"/>
          <w:color w:val="000000"/>
        </w:rPr>
        <w:t>.</w:t>
      </w:r>
    </w:p>
    <w:p>
      <w:r>
        <w:rPr>
          <w:rFonts w:ascii="Arial" w:hAnsi="Arial" w:eastAsia="Arial" w:cs="Arial"/>
          <w:b w:val="0"/>
          <w:color w:val="000000"/>
        </w:rPr>
        <w:t xml:space="preserve">Il percorso è organizzato in Empathize, Define, Ideate e Prototype, seguite da Valutazione e Test. Il riferimento alle sei fasi, compresa Implement, appartiene al modello presentato da Sarah Gibbons; non è una divisione obbligatoria dell'intero Design Thinking. L'implementazione di un servizio funzionante rimane uno sviluppo futuro. L'ordine dei capitoli aiuta a leggere il lavoro, mentre le revisioni possono riportare da una schermata al requisito o dalla valutazione a una decisione precedente. </w:t>
      </w:r>
      <w:hyperlink r:id="rId12">
        <w:r>
          <w:rPr>
            <w:rFonts w:ascii="Arial" w:hAnsi="Arial"/>
            <w:color w:val="000000"/>
            <w:u w:val="single"/>
          </w:rPr>
          <w:t>Gibbons, 2016</w:t>
        </w:r>
      </w:hyperlink>
      <w:r>
        <w:rPr>
          <w:rFonts w:ascii="Arial" w:hAnsi="Arial" w:eastAsia="Arial" w:cs="Arial"/>
          <w:b w:val="0"/>
          <w:color w:val="000000"/>
        </w:rPr>
        <w:t>.</w:t>
      </w:r>
    </w:p>
    <w:p>
      <w:r>
        <w:rPr>
          <w:rFonts w:ascii="Arial" w:hAnsi="Arial" w:eastAsia="Arial" w:cs="Arial"/>
          <w:b w:val="0"/>
          <w:color w:val="000000"/>
        </w:rPr>
        <w:t>Nella ricerca distinguo dati numerici dei questionari, materiale discorsivo delle interviste e osservazioni del progettista. La valutazione del concetto e l'osservazione dei compiti hanno funzioni diverse: la prima orienta le scelte da esplorare, la seconda permette di verificare come vengono comprese e utilizzate.</w:t>
      </w:r>
    </w:p>
    <w:p>
      <w:pPr>
        <w:pStyle w:val="Heading2"/>
      </w:pPr>
      <w:r>
        <w:t>3 Campioni e trattamento dei dati</w:t>
      </w:r>
    </w:p>
    <w:p>
      <w:r>
        <w:rPr>
          <w:rFonts w:ascii="Arial" w:hAnsi="Arial" w:eastAsia="Arial" w:cs="Arial"/>
          <w:b w:val="0"/>
          <w:color w:val="000000"/>
        </w:rPr>
        <w:t>La base quantitativa disponibile comprende due export. Il primo contiene 50 risposte, raccolte dal 22 dicembre 2025 al 21 gennaio 2026; il secondo 33, dal 25 maggio all'8 giugno 2026. Sono i periodi registrati nei file, con indicazioni EET/EEST: non permettono di ricostruire città e fuso effettivi dei partecipanti. I questionari non hanno un identificatore comune, perciò non posso appaiare le risposte, trattare il secondo come misura delle stesse persone o dichiarare un totale di 83 persone distinte.</w:t>
      </w:r>
    </w:p>
    <w:p>
      <w:r>
        <w:rPr>
          <w:rFonts w:ascii="Arial" w:hAnsi="Arial" w:eastAsia="Arial" w:cs="Arial"/>
          <w:b w:val="0"/>
          <w:color w:val="000000"/>
        </w:rPr>
        <w:t>Nel primo export 17 persone dichiarano di studiare, 30 di lavorare e tre nessuna delle due condizioni. Il modulo separa un ramo per gli studenti da un ramo per le altre 33 persone. Quest'ultimo contiene domande sul lavoro e sul co-working, ma comprende anche chi non lavora. Nell'analisi uso quindi «non studenti» per il ramo intero e «lavoratori» quando applico il filtro sulle 30 persone che dichiarano di lavorare. Tra gli studenti, nove sono fuorisede.</w:t>
      </w:r>
    </w:p>
    <w:p>
      <w:r>
        <w:rPr>
          <w:rFonts w:ascii="Arial" w:hAnsi="Arial" w:eastAsia="Arial" w:cs="Arial"/>
          <w:b w:val="0"/>
          <w:color w:val="000000"/>
        </w:rPr>
        <w:t>Il CSV contiene 66 colonne e alcune domande hanno intestazioni ripetute nei due rami. La lettura per posizione delle colonne conserva entrambi i percorsi, evitando che una risposta sovrascriva l'altra. Le celle vuote al di fuori del ramo assegnato sono vuoti strutturali. Il controllo non ha rilevato risposte mancanti nelle domande strutturate del ramo pertinente, né righe o vettori di risposte esattamente duplicati. Questo non dimostra, da solo, l'identità unica di ogni rispondente.</w:t>
      </w:r>
    </w:p>
    <w:p>
      <w:r>
        <w:rPr>
          <w:rFonts w:ascii="Arial" w:hAnsi="Arial" w:eastAsia="Arial" w:cs="Arial"/>
          <w:b w:val="0"/>
          <w:color w:val="000000"/>
        </w:rPr>
        <w:t>Calcolo le percentuali sulle risposte valide alla singola domanda. Per le domande multiple conto le persone che selezionano ciascuna opzione: la somma delle percentuali può superare il 100%. Nelle scale conservo tutti i valori da 1 a 5, anche quelli con frequenza zero. Quando accorpo 4 e 5 lo dichiaro; le medie descrivono le risposte del campione e non dimostrano differenze nella popolazione.</w:t>
      </w:r>
    </w:p>
    <w:p>
      <w:r>
        <w:rPr>
          <w:rFonts w:ascii="Arial" w:hAnsi="Arial" w:eastAsia="Arial" w:cs="Arial"/>
          <w:b w:val="0"/>
          <w:color w:val="000000"/>
        </w:rPr>
        <w:t>La ricerca qualitativa riguarda tre persone uniche, intervistate negli stessi due round. Il reclutamento è avvenuto attraverso conoscenze dirette e una rete indiretta di amici; Roma, Milano e Amsterdam sono i contesti citati. Amsterdam resta un contesto della ricerca, fuori dalla copertura iniziale del prodotto. I casi non rappresentano la popolazione delle tre città e i questionari non rappresentano tutta Italia. Non uso percentuali per presentare i temi delle tre persone o dichiarare una saturazione non documentata.</w:t>
      </w:r>
    </w:p>
    <w:p>
      <w:r>
        <w:rPr>
          <w:rFonts w:ascii="Arial" w:hAnsi="Arial" w:eastAsia="Arial" w:cs="Arial"/>
          <w:b w:val="0"/>
          <w:color w:val="000000"/>
        </w:rPr>
        <w:t>Le stesse tre persone sono previste per il confronto delle style tile e i test formativi. La familiarità con il progetto e il possibile apprendimento limitano l'indipendenza di queste valutazioni e devono essere considerati nella lettura dei risultati.</w:t>
      </w:r>
    </w:p>
    <w:p>
      <w:pPr>
        <w:pStyle w:val="Heading1"/>
      </w:pPr>
      <w:r>
        <w:t>Risultati della ricerca</w:t>
      </w:r>
    </w:p>
    <w:p>
      <w:pPr>
        <w:pStyle w:val="Heading2"/>
      </w:pPr>
      <w:r>
        <w:t>1 Primo questionario</w:t>
      </w:r>
    </w:p>
    <w:p>
      <w:r>
        <w:rPr>
          <w:rFonts w:ascii="Arial" w:hAnsi="Arial" w:eastAsia="Arial" w:cs="Arial"/>
          <w:b w:val="0"/>
          <w:color w:val="000000"/>
        </w:rPr>
        <w:t>Dopo l'analisi dei competitor ho raccolto 50 risposte a un primo questionario, per capire come le persone scelgono i luoghi e quali informazioni usano prima di andarci. Le risposte forniscono indicazioni per il progetto, senza permettere di descrivere tutti i giovani o tutti gli abitanti di una città. Il percorso dedicato allo studio e quello dedicato alle altre persone sono stati mantenuti distinti nell'analisi.</w:t>
      </w:r>
    </w:p>
    <w:p>
      <w:r>
        <w:rPr>
          <w:rFonts w:ascii="Arial" w:hAnsi="Arial" w:eastAsia="Arial" w:cs="Arial"/>
          <w:b w:val="0"/>
          <w:color w:val="000000"/>
        </w:rPr>
        <w:t>Dieci studenti su 17 preferiscono studiare a casa e sette fuori. Tra i nove fuorisede, cinque scelgono la casa. Tra i 30 lavoratori, 19 preferiscono la casa, sei un luogo esterno e cinque dichiarano indifferenza. La preferenza non ne spiega la ragione: può riguardare comodità, tipo di attività o condizioni disponibili altrove. Non ne deduco che gli spazi esterni siano inadeguati, né che ogni studente abbia gli stessi bisogni di chi si è trasferito per studiare.</w:t>
      </w:r>
    </w:p>
    <w:p>
      <w:r>
        <w:rPr>
          <w:rFonts w:ascii="Arial" w:hAnsi="Arial" w:eastAsia="Arial" w:cs="Arial"/>
          <w:b w:val="0"/>
          <w:color w:val="000000"/>
        </w:rPr>
        <w:t>Atmosfera, distanza da casa e budget sono i criteri più selezionati, rispettivamente da 37, 30 e 27 persone su 50. La domanda permette più risposte. Accoglienza e possibilità di co-working sono indicate da 12 e 10 persone; le aggiunte libere comprendono anche rumore, affollamento e pertinenza del co-working nel proprio contesto. Il progetto deve poter mostrare condizioni concrete e lasciare che la persona scelga quali contano per l'occasione, senza imporre una graduatoria unica.</w:t>
      </w:r>
    </w:p>
    <w:p>
      <w:pPr>
        <w:keepNext/>
        <w:spacing w:before="60" w:after="60" w:line="240" w:lineRule="auto"/>
        <w:jc w:val="center"/>
      </w:pPr>
      <w:r>
        <w:drawing>
          <wp:inline xmlns:a="http://schemas.openxmlformats.org/drawingml/2006/main" xmlns:pic="http://schemas.openxmlformats.org/drawingml/2006/picture">
            <wp:extent cx="5903999" cy="4116904"/>
            <wp:docPr id="1" name="Picture 1" descr="Criteri di scelta del primo sondaggio"/>
            <wp:cNvGraphicFramePr>
              <a:graphicFrameLocks noChangeAspect="1"/>
            </wp:cNvGraphicFramePr>
            <a:graphic>
              <a:graphicData uri="http://schemas.openxmlformats.org/drawingml/2006/picture">
                <pic:pic>
                  <pic:nvPicPr>
                    <pic:cNvPr id="0" name="S04.png"/>
                    <pic:cNvPicPr/>
                  </pic:nvPicPr>
                  <pic:blipFill>
                    <a:blip r:embed="rId13"/>
                    <a:stretch>
                      <a:fillRect/>
                    </a:stretch>
                  </pic:blipFill>
                  <pic:spPr>
                    <a:xfrm>
                      <a:off x="0" y="0"/>
                      <a:ext cx="5903999" cy="4116904"/>
                    </a:xfrm>
                    <a:prstGeom prst="rect"/>
                  </pic:spPr>
                </pic:pic>
              </a:graphicData>
            </a:graphic>
          </wp:inline>
        </w:drawing>
      </w:r>
    </w:p>
    <w:p>
      <w:pPr>
        <w:pStyle w:val="Caption"/>
        <w:spacing w:after="140" w:line="240" w:lineRule="auto"/>
      </w:pPr>
      <w:r>
        <w:rPr>
          <w:rFonts w:ascii="Arial" w:hAnsi="Arial" w:eastAsia="Arial" w:cs="Arial"/>
          <w:color w:val="000000"/>
          <w:sz w:val="19"/>
        </w:rPr>
        <w:t>Figura 1. Criteri di scelta dichiarati nel primo questionario. Fonte e basi sono riportate nel grafico S04; la domanda ammette risposte multiple.</w:t>
      </w:r>
    </w:p>
    <w:p>
      <w:r>
        <w:rPr>
          <w:rFonts w:ascii="Arial" w:hAnsi="Arial" w:eastAsia="Arial" w:cs="Arial"/>
          <w:b w:val="0"/>
          <w:color w:val="000000"/>
        </w:rPr>
        <w:t>Nelle recensioni si cercano soprattutto qualità dei servizi, prezzi e immagini: 45, 39 e 22 persone su 50 selezionano queste opzioni. Atmosfera e accoglienza sono indicate da 16, i vincoli da 13. Questo mi aiuta a definire la gerarchia della scheda luogo: praticità e condizioni dell'esperienza devono restare leggibili insieme. La domanda riguarda ciò che viene cercato nelle recensioni; non misura automaticamente ciò che manca nei servizi esistenti.</w:t>
      </w:r>
    </w:p>
    <w:p>
      <w:r>
        <w:rPr>
          <w:rFonts w:ascii="Arial" w:hAnsi="Arial" w:eastAsia="Arial" w:cs="Arial"/>
          <w:b w:val="0"/>
          <w:color w:val="000000"/>
        </w:rPr>
        <w:t>La fiducia cambia secondo la situazione. Con meno di dieci recensioni si fidano 18 persone su 50; quando i testi sono molto simili, 29. Alla domanda sulla veridicità, che richiama anche recensioni scritte con AI, rispondono positivamente in 28. I risultati non descrivono una sfiducia condivisa da tutti. Sono invece 33 le persone che dichiarano una delusione dopo aver visitato un luogo con recensioni positive. Il dato suggerisce di approfondire contesto e aspettative, ma non dimostra che quelle recensioni fossero false.</w:t>
      </w:r>
    </w:p>
    <w:p>
      <w:r>
        <w:rPr>
          <w:rFonts w:ascii="Arial" w:hAnsi="Arial" w:eastAsia="Arial" w:cs="Arial"/>
          <w:b w:val="0"/>
          <w:color w:val="000000"/>
        </w:rPr>
        <w:t>La proposta di una mappa per trovare luoghi in base alle attività possibili riceve 45 valutazioni nei valori 4–5, con media 4,32 su 5. È un interesse verso un concetto descritto nel modulo. Lo uso per motivare la prototipazione; il funzionamento di mappa, lista e scheda dovrà essere osservato in compiti concreti. Il questionario non misura l'uso di un'interfaccia e non verifica il ruolo di un chatbot.</w:t>
      </w:r>
    </w:p>
    <w:p>
      <w:pPr>
        <w:pStyle w:val="Heading2"/>
      </w:pPr>
      <w:r>
        <w:t>2 Secondo questionario</w:t>
      </w:r>
    </w:p>
    <w:p>
      <w:r>
        <w:rPr>
          <w:rFonts w:ascii="Arial" w:hAnsi="Arial" w:eastAsia="Arial" w:cs="Arial"/>
          <w:b w:val="0"/>
          <w:color w:val="000000"/>
        </w:rPr>
        <w:t>Nel secondo questionario ho approfondito la distanza tra le informazioni disponibili prima della visita e l'esperienza vissuta. Le 33 risposte riguardano episodi di disagio, criteri di scelta, reazioni a un'esperienza negativa e fiducia verso una piattaforma descritta nel modulo. Sedici persone hanno 18–24 anni, 16 hanno 25–34 anni e una almeno 35. Questo dato descrive il campione; non consente di sostituire età e attività con etichette generazionali.</w:t>
      </w:r>
    </w:p>
    <w:p>
      <w:r>
        <w:rPr>
          <w:rFonts w:ascii="Arial" w:hAnsi="Arial" w:eastAsia="Arial" w:cs="Arial"/>
          <w:b w:val="0"/>
          <w:color w:val="000000"/>
        </w:rPr>
        <w:t>Tredici persone su 33 scelgono 4–5 per l'evitamento di un posto che temono possa non essere adatto. Sono otto per la differenza tra descrizione e luogo visitato, sei per esigenze pubblicizzate ma non rispettate e quattro per l'uscita anticipata dovuta al disagio. Sedici indicano 4–5 per il disagio legato agli altri clienti e 11 per il cambiamento di comportamento dello staff secondo gruppo o identità. Sono domande distinte: non riassumo questi episodi in una frequenza unica del disagio.</w:t>
      </w:r>
    </w:p>
    <w:p>
      <w:r>
        <w:rPr>
          <w:rFonts w:ascii="Arial" w:hAnsi="Arial" w:eastAsia="Arial" w:cs="Arial"/>
          <w:b w:val="0"/>
          <w:color w:val="000000"/>
        </w:rPr>
        <w:t>La domanda sulle esigenze non rispettate è compilata da tutti, anche da chi non dichiara esigenze particolari. Il risultato riguarda quindi le 33 risposte e non soltanto un sottogruppo con bisogni specifici. Anche la formulazione delle domande limita la lettura: un punteggio alto riferisce l'esperienza dichiarata, senza verificare dall'esterno il comportamento del locale o le sue cause.</w:t>
      </w:r>
    </w:p>
    <w:p>
      <w:r>
        <w:rPr>
          <w:rFonts w:ascii="Arial" w:hAnsi="Arial" w:eastAsia="Arial" w:cs="Arial"/>
          <w:b w:val="0"/>
          <w:color w:val="000000"/>
        </w:rPr>
        <w:t>Le azioni dopo un'esperienza negativa possono coesistere. Ventisette persone selezionano il mancato ritorno, 22 il racconto ad amici o familiari e 11 la recensione negativa. Nove selezionano sia «non ci torno più» sia la recensione. Non posso quindi chiamare il mancato ritorno «silenzio» o dire che tutte queste esperienze siano invisibili. Due risposte combinano «nulla» con altre azioni: le conservo, segnalando l'incoerenza senza eliminare i partecipanti.</w:t>
      </w:r>
    </w:p>
    <w:p>
      <w:pPr>
        <w:keepNext/>
        <w:spacing w:before="60" w:after="60" w:line="240" w:lineRule="auto"/>
        <w:jc w:val="center"/>
      </w:pPr>
      <w:r>
        <w:drawing>
          <wp:inline xmlns:a="http://schemas.openxmlformats.org/drawingml/2006/main" xmlns:pic="http://schemas.openxmlformats.org/drawingml/2006/picture">
            <wp:extent cx="5903999" cy="3969304"/>
            <wp:docPr id="2" name="Picture 2" descr="Reazioni dopo un esperienza negativa"/>
            <wp:cNvGraphicFramePr>
              <a:graphicFrameLocks noChangeAspect="1"/>
            </wp:cNvGraphicFramePr>
            <a:graphic>
              <a:graphicData uri="http://schemas.openxmlformats.org/drawingml/2006/picture">
                <pic:pic>
                  <pic:nvPicPr>
                    <pic:cNvPr id="0" name="S09.png"/>
                    <pic:cNvPicPr/>
                  </pic:nvPicPr>
                  <pic:blipFill>
                    <a:blip r:embed="rId14"/>
                    <a:stretch>
                      <a:fillRect/>
                    </a:stretch>
                  </pic:blipFill>
                  <pic:spPr>
                    <a:xfrm>
                      <a:off x="0" y="0"/>
                      <a:ext cx="5903999" cy="3969304"/>
                    </a:xfrm>
                    <a:prstGeom prst="rect"/>
                  </pic:spPr>
                </pic:pic>
              </a:graphicData>
            </a:graphic>
          </wp:inline>
        </w:drawing>
      </w:r>
    </w:p>
    <w:p>
      <w:pPr>
        <w:pStyle w:val="Caption"/>
        <w:spacing w:after="140" w:line="240" w:lineRule="auto"/>
      </w:pPr>
      <w:r>
        <w:rPr>
          <w:rFonts w:ascii="Arial" w:hAnsi="Arial" w:eastAsia="Arial" w:cs="Arial"/>
          <w:color w:val="000000"/>
          <w:sz w:val="19"/>
        </w:rPr>
        <w:t>Figura 2. Azioni dichiarate dopo un'esperienza negativa. Il grafico S09 mantiene le opzioni multiple; il mancato ritorno non esclude una recensione.</w:t>
      </w:r>
    </w:p>
    <w:p>
      <w:r>
        <w:rPr>
          <w:rFonts w:ascii="Arial" w:hAnsi="Arial" w:eastAsia="Arial" w:cs="Arial"/>
          <w:b w:val="0"/>
          <w:color w:val="000000"/>
        </w:rPr>
        <w:t>Tra i sei fattori proposti, le medie maggiori riguardano sentirsi al sicuro, 4,21 su 5, sentirsi accolti e non giudicati, 4,18, e informazioni chiare e oneste, 4,15. Seguono tranquillità, 3,45, esigenze alimentari, 3,06, e possibilità di portare un animale, 2,39. Il confronto vale per questi fattori e questo campione. Non dimostra che tutti gli aspetti emotivi contino più di tutti quelli pratici. Un bisogno meno selezionato può essere un vincolo decisivo per una singola persona.</w:t>
      </w:r>
    </w:p>
    <w:p>
      <w:pPr>
        <w:keepNext/>
        <w:spacing w:before="60" w:after="60" w:line="240" w:lineRule="auto"/>
        <w:jc w:val="center"/>
      </w:pPr>
      <w:r>
        <w:drawing>
          <wp:inline xmlns:a="http://schemas.openxmlformats.org/drawingml/2006/main" xmlns:pic="http://schemas.openxmlformats.org/drawingml/2006/picture">
            <wp:extent cx="5266285" cy="4608000"/>
            <wp:docPr id="3" name="Picture 3" descr="Importanza dei fattori di scelta nel secondo sondaggio"/>
            <wp:cNvGraphicFramePr>
              <a:graphicFrameLocks noChangeAspect="1"/>
            </wp:cNvGraphicFramePr>
            <a:graphic>
              <a:graphicData uri="http://schemas.openxmlformats.org/drawingml/2006/picture">
                <pic:pic>
                  <pic:nvPicPr>
                    <pic:cNvPr id="0" name="S10.png"/>
                    <pic:cNvPicPr/>
                  </pic:nvPicPr>
                  <pic:blipFill>
                    <a:blip r:embed="rId15"/>
                    <a:stretch>
                      <a:fillRect/>
                    </a:stretch>
                  </pic:blipFill>
                  <pic:spPr>
                    <a:xfrm>
                      <a:off x="0" y="0"/>
                      <a:ext cx="5266285" cy="4608000"/>
                    </a:xfrm>
                    <a:prstGeom prst="rect"/>
                  </pic:spPr>
                </pic:pic>
              </a:graphicData>
            </a:graphic>
          </wp:inline>
        </w:drawing>
      </w:r>
    </w:p>
    <w:p>
      <w:pPr>
        <w:pStyle w:val="Caption"/>
        <w:spacing w:after="140" w:line="240" w:lineRule="auto"/>
      </w:pPr>
      <w:r>
        <w:rPr>
          <w:rFonts w:ascii="Arial" w:hAnsi="Arial" w:eastAsia="Arial" w:cs="Arial"/>
          <w:color w:val="000000"/>
          <w:sz w:val="19"/>
        </w:rPr>
        <w:t>Figura 3. Distribuzioni dei sei fattori proposti nel secondo questionario. Il grafico S10 affianca distribuzioni e medie descrittive.</w:t>
      </w:r>
    </w:p>
    <w:p>
      <w:r>
        <w:rPr>
          <w:rFonts w:ascii="Arial" w:hAnsi="Arial" w:eastAsia="Arial" w:cs="Arial"/>
          <w:b w:val="0"/>
          <w:color w:val="000000"/>
        </w:rPr>
        <w:t>La compagnia abituale più indicata è quella degli amici, con 21 risposte, seguita dal partner, con 11, e dalla famiglia, con una. Questo contesto sostiene l'esplorazione di un percorso per scegliere con amici. Non misura il comfort da soli o in compagnia. L'item dedicato a questa alternativa usa la scala «per niente»–«tanto», ma non chiarisce quale delle due condizioni venga valutata. I punteggi 1, 2 e 3 osservati non sono categorie; conservo la distribuzione 16, 9, 8, 0, 0 e non la uso per ricavare una preferenza.</w:t>
      </w:r>
    </w:p>
    <w:p>
      <w:r>
        <w:rPr>
          <w:rFonts w:ascii="Arial" w:hAnsi="Arial" w:eastAsia="Arial" w:cs="Arial"/>
          <w:b w:val="0"/>
          <w:color w:val="000000"/>
        </w:rPr>
        <w:t>La piattaforma dedicata a benessere e inclusività riceve 26 valutazioni nei valori 4–5, con media 4,12 su 5. Sono invece 16 i valori 4–5 alla domanda sull'aver scelto un posto basandosi su recensioni di questo tipo. Una domanda riguarda la fiducia in un concetto presentato positivamente, l'altra richiama scelte precedenti. Nessuna delle due dimostra adozione futura o superiorità rispetto ai servizi esistenti.</w:t>
      </w:r>
    </w:p>
    <w:p>
      <w:pPr>
        <w:pStyle w:val="Heading2"/>
      </w:pPr>
      <w:r>
        <w:t>3 Risposte aperte</w:t>
      </w:r>
    </w:p>
    <w:p>
      <w:r>
        <w:rPr>
          <w:rFonts w:ascii="Arial" w:hAnsi="Arial" w:eastAsia="Arial" w:cs="Arial"/>
          <w:b w:val="0"/>
          <w:color w:val="000000"/>
        </w:rPr>
        <w:t>Ho mantenuto le risposte aperte come materiale descrittivo, separato dalle interviste. Nel primo export le aggiunte precisano condizioni come tavoli, silenzio e quantità di persone, oppure spiegano che il co-working interessa solo in determinate situazioni. Nel secondo una nota richiama la soggettività delle esperienze e un'altra attribuisce alla compagnia un ruolo nel sentirsi accolti. Questi casi aiutano a formulare requisiti più precisi, senza diventare frequenze dei temi.</w:t>
      </w:r>
    </w:p>
    <w:p>
      <w:r>
        <w:rPr>
          <w:rFonts w:ascii="Arial" w:hAnsi="Arial" w:eastAsia="Arial" w:cs="Arial"/>
          <w:b w:val="0"/>
          <w:color w:val="000000"/>
        </w:rPr>
        <w:t>È presente anche un caso contrario all'interesse universale per la piattaforma: una persona dichiara scarso interesse personale, pur attribuendo valore alla trasparenza di immagini e atmosfera. Lo mantengo nella lettura perché impedisce di trasformare un giudizio favorevole sul concetto in una previsione di uso per tutti. Le risposte aperte sono usate per precisare condizioni e interpretazioni, senza sostituire le frequenze delle domande strutturate.</w:t>
      </w:r>
    </w:p>
    <w:p>
      <w:pPr>
        <w:pStyle w:val="Heading1"/>
      </w:pPr>
      <w:r>
        <w:t>Proposta progettuale</w:t>
      </w:r>
    </w:p>
    <w:p>
      <w:pPr>
        <w:pStyle w:val="Heading2"/>
      </w:pPr>
      <w:r>
        <w:t>3 Define</w:t>
      </w:r>
    </w:p>
    <w:p>
      <w:pPr>
        <w:pStyle w:val="Heading3"/>
      </w:pPr>
      <w:r>
        <w:t>3 1 Personas e scenari</w:t>
      </w:r>
    </w:p>
    <w:p>
      <w:r>
        <w:rPr>
          <w:rFonts w:ascii="Arial" w:hAnsi="Arial" w:eastAsia="Arial" w:cs="Arial"/>
          <w:b w:val="0"/>
          <w:color w:val="000000"/>
        </w:rPr>
        <w:t>Vanessa, Jacopo e Ginevra sono i riferimenti narrativi del progetto. Vanessa vive a Milano e cerca di conoscere una città nuova; Jacopo, anch'egli a Milano, affronta la scelta con un gruppo di amici; Ginevra vive a Roma e valuta spesso da sola se un luogo valga la trasferta. Questi contesti orientano i compiti, mentre l'applicazione è prevista inizialmente per tutta Italia.</w:t>
      </w:r>
    </w:p>
    <w:p>
      <w:r>
        <w:rPr>
          <w:rFonts w:ascii="Arial" w:hAnsi="Arial" w:eastAsia="Arial" w:cs="Arial"/>
          <w:b w:val="0"/>
          <w:color w:val="000000"/>
        </w:rPr>
        <w:t>Le personas sono costruzioni progettuali che organizzano situazioni e bisogni; non sono ancora validate come rappresentazioni dei partecipanti. Le attribuzioni di pensieri ed emozioni restano interpretazioni, senza essere presentate come citazioni o misure. Le tre figure vengono considerate senza una graduatoria.</w:t>
      </w:r>
    </w:p>
    <w:p>
      <w:r>
        <w:rPr>
          <w:rFonts w:ascii="Arial" w:hAnsi="Arial" w:eastAsia="Arial" w:cs="Arial"/>
          <w:b w:val="0"/>
          <w:color w:val="000000"/>
        </w:rPr>
        <w:t>Il prototipo è delimitato attraverso i compiti, senza una persona primaria. Lo scenario individuale riguarda scoperta e confronto; quello con amici aggiunge criteri condivisi e risposte alla proposta. Studio e lavoro fuori casa rimangono occasioni possibili, ma non sono il compito principale attuale. La recensione attraversa entrambi gli scenari perché permette di raccontare una visita e rendere quel contributo disponibile ad altri.</w:t>
      </w:r>
    </w:p>
    <w:p>
      <w:pPr>
        <w:pStyle w:val="Heading3"/>
      </w:pPr>
      <w:r>
        <w:t>3 2 Dalle evidenze ai requisiti</w:t>
      </w:r>
    </w:p>
    <w:p>
      <w:r>
        <w:rPr>
          <w:rFonts w:ascii="Arial" w:hAnsi="Arial" w:eastAsia="Arial" w:cs="Arial"/>
          <w:b w:val="0"/>
          <w:color w:val="000000"/>
        </w:rPr>
        <w:t>La prima sintesi riguarda la leggibilità dei criteri. Atmosfera, distanza e budget sono frequentemente selezionati nel primo questionario, mentre servizi, prezzi e immagini sono cercati nelle recensioni. Per il progetto propongo di renderli reperibili nella scheda e utilizzabili nella ricerca. Il dato sostiene l'attenzione a queste informazioni; la loro disposizione e la distinzione fra vincolo e preferenza sono decisioni da verificare.</w:t>
      </w:r>
    </w:p>
    <w:p>
      <w:r>
        <w:rPr>
          <w:rFonts w:ascii="Arial" w:hAnsi="Arial" w:eastAsia="Arial" w:cs="Arial"/>
          <w:b w:val="0"/>
          <w:color w:val="000000"/>
        </w:rPr>
        <w:t>La seconda riguarda il contesto delle testimonianze. La fiducia cambia secondo la domanda e 33 persone dichiarano delusione nonostante recensioni positive. Per questo propongo di distinguere informazioni del gestore, contributi degli utenti e riepiloghi, mostrando quando e in quale situazione si riferiscono all'esperienza. Non prometto di eliminare le recensioni false né considero una fotografia dell'utente una verifica automatica della realtà.</w:t>
      </w:r>
    </w:p>
    <w:p>
      <w:r>
        <w:rPr>
          <w:rFonts w:ascii="Arial" w:hAnsi="Arial" w:eastAsia="Arial" w:cs="Arial"/>
          <w:b w:val="0"/>
          <w:color w:val="000000"/>
        </w:rPr>
        <w:t>La terza riguarda il passaggio dall'esperienza al contributo. Il racconto a persone vicine è più selezionato della recensione negativa, ma le due azioni possono coesistere. Un percorso breve e un aiuto facoltativo alla scrittura potrebbero ridurre l'impegno richiesto per contribuire. È una proposta: il questionario non dimostra che la lunghezza del flusso sia la causa della mancata recensione o che ogni persona desideri essere sollecitata.</w:t>
      </w:r>
    </w:p>
    <w:p>
      <w:r>
        <w:rPr>
          <w:rFonts w:ascii="Arial" w:hAnsi="Arial" w:eastAsia="Arial" w:cs="Arial"/>
          <w:b w:val="0"/>
          <w:color w:val="000000"/>
        </w:rPr>
        <w:t>Sul piano sociale, gli amici sono la compagnia abituale più indicata nel secondo questionario. Il compito proposto riguarda una decisione di uscita circoscritta. Chat, inviti e regola di conferma sono ipotesi per esplorare questa situazione; il dato sulla compagnia non dimostra che siano la soluzione più adatta.</w:t>
      </w:r>
    </w:p>
    <w:p>
      <w:r>
        <w:rPr>
          <w:rFonts w:ascii="Arial" w:hAnsi="Arial" w:eastAsia="Arial" w:cs="Arial"/>
          <w:b w:val="0"/>
          <w:color w:val="000000"/>
        </w:rPr>
        <w:t>La relazione tra ricerca e interfaccia è descritta attraverso una matrice che collega fonte, limite, interpretazione e requisito alle schermate e alle verifiche previste. La scelta di un componente resta una decisione progettuale anche quando risponde a un bisogno emerso nella ricerca.</w:t>
      </w:r>
    </w:p>
    <w:p>
      <w:pPr>
        <w:pStyle w:val="Heading3"/>
      </w:pPr>
      <w:r>
        <w:t>3 3 Domanda di progetto</w:t>
      </w:r>
    </w:p>
    <w:p>
      <w:r>
        <w:rPr>
          <w:rFonts w:ascii="Arial" w:hAnsi="Arial" w:eastAsia="Arial" w:cs="Arial"/>
          <w:b w:val="0"/>
          <w:color w:val="000000"/>
        </w:rPr>
        <w:t>La domanda di progetto è: come può un'app aiutare una persona o un gruppo di amici a confrontare luoghi in Italia usando informazioni pratiche ed esperienziali comprensibili, mantenendo il controllo sui criteri e sulla scelta?</w:t>
      </w:r>
    </w:p>
    <w:p>
      <w:r>
        <w:rPr>
          <w:rFonts w:ascii="Arial" w:hAnsi="Arial" w:eastAsia="Arial" w:cs="Arial"/>
          <w:b w:val="0"/>
          <w:color w:val="000000"/>
        </w:rPr>
        <w:t>Il problema viene delimitato alla decisione e al contributo. Non richiede che il servizio risolva isolamento, mobilità urbana o accessibilità reale degli spazi. Può rendere visibile una condizione o un'informazione mancante; non può garantire che una persona si sentirà a proprio agio. Questo limite aiuta a progettare azioni verificabili e a formulare conclusioni proporzionate ai materiali raccolti.</w:t>
      </w:r>
    </w:p>
    <w:p>
      <w:pPr>
        <w:pStyle w:val="Heading2"/>
      </w:pPr>
      <w:r>
        <w:t>4 Ideate</w:t>
      </w:r>
    </w:p>
    <w:p>
      <w:pPr>
        <w:pStyle w:val="Heading3"/>
      </w:pPr>
      <w:r>
        <w:t>4 1 Domande e alternative considerate</w:t>
      </w:r>
    </w:p>
    <w:p>
      <w:r>
        <w:rPr>
          <w:rFonts w:ascii="Arial" w:hAnsi="Arial" w:eastAsia="Arial" w:cs="Arial"/>
          <w:b w:val="0"/>
          <w:color w:val="000000"/>
        </w:rPr>
        <w:t>Il confronto delle alternative riguarda il compito che sostengono, la dipendenza dai dati e la possibilità di rappresentarle nel prototipo. La selezione proposta privilegia informazioni contestualizzate e controlli comprensibili, rinviando le funzioni che richiedono una raccolta continua o verifiche non realizzabili in questa fase.</w:t>
      </w:r>
    </w:p>
    <w:p>
      <w:r>
        <w:rPr>
          <w:rFonts w:ascii="Arial" w:hAnsi="Arial" w:eastAsia="Arial" w:cs="Arial"/>
          <w:b w:val="0"/>
          <w:color w:val="000000"/>
        </w:rPr>
        <w:t>La prima domanda è come rendere leggibili le condizioni di un ambiente prima della visita. Le alternative comprendono tag, grafici per fascia oraria, un punteggio di comfort e affollamento in tempo reale. Per il nucleo mantengo dimensioni separate, come rumore, luce e affollamento, accompagnate da periodo e provenienza. Un punteggio unico mescolerebbe condizioni e gradimento: un ambiente molto vivace può essere desiderabile per un'occasione e inadatto per un'altra. L'affollamento live rimane uno sviluppo futuro, perché richiede raccolta e aggiornamento che il prototipo non realizza.</w:t>
      </w:r>
    </w:p>
    <w:p>
      <w:r>
        <w:rPr>
          <w:rFonts w:ascii="Arial" w:hAnsi="Arial" w:eastAsia="Arial" w:cs="Arial"/>
          <w:b w:val="0"/>
          <w:color w:val="000000"/>
        </w:rPr>
        <w:t>La seconda domanda riguarda la comprensione di accoglienza e sicurezza percepita. Le domande guidate alla recensione possono aiutare a raccontare un episodio concreto; un badge di «sicurezza verificata» rischia invece di presentare una garanzia che le testimonianze non possono offrire. Mantengo contributi contestualizzati e tag con significato descritto. Non assegno certificazioni di inclusività sulla base di pochi giudizi o di una media.</w:t>
      </w:r>
    </w:p>
    <w:p>
      <w:r>
        <w:rPr>
          <w:rFonts w:ascii="Arial" w:hAnsi="Arial" w:eastAsia="Arial" w:cs="Arial"/>
          <w:b w:val="0"/>
          <w:color w:val="000000"/>
        </w:rPr>
        <w:t>La terza domanda è come confrontare informazioni dichiarate e vissute. La galleria distingue media del luogo e degli utenti, con fonte visibile anche quando l'immagine viene ingrandita. Il confronto può aiutare la lettura, ma non verifica autenticità o attualità. Le informazioni discordanti restano distinguibili: se un servizio è dichiarato dal gestore e un contributo racconta un'eccezione, l'interfaccia espone i due elementi e il loro contesto, invece di risolverli con un indicatore di affidabilità inventato.</w:t>
      </w:r>
    </w:p>
    <w:p>
      <w:r>
        <w:rPr>
          <w:rFonts w:ascii="Arial" w:hAnsi="Arial" w:eastAsia="Arial" w:cs="Arial"/>
          <w:b w:val="0"/>
          <w:color w:val="000000"/>
        </w:rPr>
        <w:t>La quarta riguarda il contributo dopo una visita. Il nucleo comprende domande brevi, appunti, bozza, aiuto AI facoltativo e controllo prima dell'invio. La scelta dell'identità mostrata non viene chiamata anonimato assoluto: il nome può non apparire pubblicamente senza che il servizio rinunci a collegare il contributo a un account. Promemoria da permanenza, reputazione automatica e badge di frequenza non sono necessari per completare questo compito e restano fuori dal prototipo iniziale.</w:t>
      </w:r>
    </w:p>
    <w:p>
      <w:pPr>
        <w:pStyle w:val="Heading3"/>
      </w:pPr>
      <w:r>
        <w:t>4 2 Concept e perimetro</w:t>
      </w:r>
    </w:p>
    <w:p>
      <w:r>
        <w:rPr>
          <w:rFonts w:ascii="Arial" w:hAnsi="Arial" w:eastAsia="Arial" w:cs="Arial"/>
          <w:b w:val="0"/>
          <w:color w:val="000000"/>
        </w:rPr>
        <w:t>Il concept collega scoperta, valutazione e confronto, usando lo stesso luogo come riferimento in mappa, lista, assistente, salvati e proposta agli amici. Non occorre ricominciare la ricerca quando si apre una scheda o si aggiunge un'alternativa alla chat. Il contesto conserva città, criteri e punto da cui sono riferite eventuali distanze. La persona può esplorare un'altra città italiana senza autorizzare la posizione.</w:t>
      </w:r>
    </w:p>
    <w:p>
      <w:r>
        <w:rPr>
          <w:rFonts w:ascii="Arial" w:hAnsi="Arial" w:eastAsia="Arial" w:cs="Arial"/>
          <w:b w:val="0"/>
          <w:color w:val="000000"/>
        </w:rPr>
        <w:t>Ho concentrato il nucleo su tre esiti: scegliere un luogo individualmente, riconoscere lo stato di una scelta con amici e controllare un contributo. Feed generale, follower, incontro con sconosciuti, pagamenti e prenotazioni non entrano in questi percorsi. Anche il riepilogo periodico delle visite e le notifiche vengono rinviati. La loro esclusione non è un giudizio sul valore futuro: evita di attribuire al prototipo capacità non necessarie ai compiti scelti.</w:t>
      </w:r>
    </w:p>
    <w:p>
      <w:r>
        <w:rPr>
          <w:rFonts w:ascii="Arial" w:hAnsi="Arial" w:eastAsia="Arial" w:cs="Arial"/>
          <w:b w:val="0"/>
          <w:color w:val="000000"/>
        </w:rPr>
        <w:t>Il catalogo dimostrativo contiene otto luoghi fittizi distribuiti tra Roma e Milano, per rendere visibile il cambio di area. La selezione delle città è una scelta reversibile della demo e non restringe la copertura italiana prevista. Ogni informazione predisposta deve coincidere tra card, scheda, risposta AI e chat; gli indicatori d'atmosfera dell'app restano separati dai grafici reali dei questionari.</w:t>
      </w:r>
    </w:p>
    <w:p>
      <w:pPr>
        <w:pStyle w:val="Heading3"/>
      </w:pPr>
      <w:r>
        <w:t>4 3 Assistente per la ricerca</w:t>
      </w:r>
    </w:p>
    <w:p>
      <w:r>
        <w:rPr>
          <w:rFonts w:ascii="Arial" w:hAnsi="Arial" w:eastAsia="Arial" w:cs="Arial"/>
          <w:b w:val="0"/>
          <w:color w:val="000000"/>
        </w:rPr>
        <w:t>Nella ricerca l'assistente parte da ciò che la persona dichiara e dal contesto geografico visibile. Una richiesta come «un posto tranquillo dove stare con due amici» non basta a definire città, budget o significato di tranquillo. Il sistema deve chiedere solo il chiarimento necessario e rendere visibile l'interpretazione, per esempio traducendo la richiesta in criteri modificabili. La conversazione non sostituisce filtri e lista: li usa come rappresentazione controllabile della stessa ricerca.</w:t>
      </w:r>
    </w:p>
    <w:p>
      <w:r>
        <w:rPr>
          <w:rFonts w:ascii="Arial" w:hAnsi="Arial" w:eastAsia="Arial" w:cs="Arial"/>
          <w:b w:val="0"/>
          <w:color w:val="000000"/>
        </w:rPr>
        <w:t>Le risposte aprono le normali card del catalogo, con motivi di corrispondenza e limiti. Se manca il dato sul rumore, il luogo non viene presentato come sicuramente silenzioso. Se nessuna alternativa rispetta un vincolo, l'assistente chiede quale criterio la persona vuole modificare. Il vincolo non viene allentato per produrre comunque una risposta. Quando una città è ambigua, il chiarimento viene prima dei risultati; fuori dalla copertura italiana il sistema espone il limite.</w:t>
      </w:r>
    </w:p>
    <w:p>
      <w:r>
        <w:rPr>
          <w:rFonts w:ascii="Arial" w:hAnsi="Arial" w:eastAsia="Arial" w:cs="Arial"/>
          <w:b w:val="0"/>
          <w:color w:val="000000"/>
        </w:rPr>
        <w:t>Il passaggio a lista, scheda o filtri conserva i criteri. La persona può correggere un valore, annullare una richiesta o continuare senza AI. L'indisponibilità del chatbot non rende impossibile la ricerca. Nel prototipo questi comportamenti sono scenari predisposti: permettono di osservare comprensione e controllo, non la precisione di un modello aperto a qualsiasi richiesta.</w:t>
      </w:r>
    </w:p>
    <w:p>
      <w:pPr>
        <w:pStyle w:val="Heading3"/>
      </w:pPr>
      <w:r>
        <w:t>4 4 Assistente nella scelta con amici</w:t>
      </w:r>
    </w:p>
    <w:p>
      <w:r>
        <w:rPr>
          <w:rFonts w:ascii="Arial" w:hAnsi="Arial" w:eastAsia="Arial" w:cs="Arial"/>
          <w:b w:val="0"/>
          <w:color w:val="000000"/>
        </w:rPr>
        <w:t>Nella proposta di uscita il contesto appartiene al gruppo: città, occasione e criteri condivisi volontariamente. Le preferenze private o le conversazioni individuali non entrano automaticamente nella richiesta. Un partecipante può dichiarare un vincolo utile senza spiegare la ragione personale. L'assistente interviene quando chiamato e il suo autore rimane distinguibile da quello dei messaggi umani.</w:t>
      </w:r>
    </w:p>
    <w:p>
      <w:r>
        <w:rPr>
          <w:rFonts w:ascii="Arial" w:hAnsi="Arial" w:eastAsia="Arial" w:cs="Arial"/>
          <w:b w:val="0"/>
          <w:color w:val="000000"/>
        </w:rPr>
        <w:t>La risposta mette a confronto alternative e compromessi, senza scegliere per gli amici. Invito, partecipazione, preferenza per un luogo e conferma dell'uscita sono stati diversi. La regola proposta richiede la conferma esplicita di tutti i partecipanti che hanno aderito e nessun invito ancora pendente per presentare l'accordo del gruppo completo. Chi declina l'invito rimane visibile, senza votare o bloccare la decisione. Finché un invito o una conferma è in attesa, oppure la proposta è contestata, l'esito resta provvisorio. Il silenzio non viene interpretato come accordo; un cambiamento importante del luogo o dei criteri riapre la conferma.</w:t>
      </w:r>
    </w:p>
    <w:p>
      <w:r>
        <w:rPr>
          <w:rFonts w:ascii="Arial" w:hAnsi="Arial" w:eastAsia="Arial" w:cs="Arial"/>
          <w:b w:val="0"/>
          <w:color w:val="000000"/>
        </w:rPr>
        <w:t>Questa regola è da verificare. Le risposte simulate degli amici nel test individuale consentiranno di osservare se la persona capisce chi ha risposto e come riaprire la scelta. Non dimostrano che un gruppo reale si coordini meglio o che la conversazione richieda meno tempo. Il confronto non include l'ottimizzazione dei tragitti dalle case di tutti: ogni partecipante può poi aprire la destinazione nel proprio navigatore.</w:t>
      </w:r>
    </w:p>
    <w:p>
      <w:pPr>
        <w:pStyle w:val="Heading3"/>
      </w:pPr>
      <w:r>
        <w:t>4 5 Assistente per la recensione</w:t>
      </w:r>
    </w:p>
    <w:p>
      <w:r>
        <w:rPr>
          <w:rFonts w:ascii="Arial" w:hAnsi="Arial" w:eastAsia="Arial" w:cs="Arial"/>
          <w:b w:val="0"/>
          <w:color w:val="000000"/>
        </w:rPr>
        <w:t>L'aiuto alla recensione parte da appunti, risposte guidate e visita dichiarata dall'autore. Può proporre una domanda neutra o riordinare il testo, ma non completare con fatti plausibili, copiare esperienze altrui o attenuare una critica per renderla più gradevole. La proposta viene mostrata separatamente dalla bozza, così che si possano confrontare contenuto iniziale e modifica.</w:t>
      </w:r>
    </w:p>
    <w:p>
      <w:r>
        <w:rPr>
          <w:rFonts w:ascii="Arial" w:hAnsi="Arial" w:eastAsia="Arial" w:cs="Arial"/>
          <w:b w:val="0"/>
          <w:color w:val="000000"/>
        </w:rPr>
        <w:t>Applicare il suggerimento e pubblicare sono azioni distinte. La persona può rifiutare, correggere o continuare manualmente; l'anteprima mantiene visibilità e identità mostrata comprensibili prima dell'invio. L'uscita conserva una bozza e un errore non deve perdere gli appunti o produrre un doppio invio. Nel prototipo l'esito dell'invio è simulato e dichiarato durante la valutazione.</w:t>
      </w:r>
    </w:p>
    <w:p>
      <w:r>
        <w:rPr>
          <w:rFonts w:ascii="Arial" w:hAnsi="Arial" w:eastAsia="Arial" w:cs="Arial"/>
          <w:b w:val="0"/>
          <w:color w:val="000000"/>
        </w:rPr>
        <w:t>Il ruolo dell'AI cambia quindi nei tre contesti, ma mantiene un limite comune: propone sulla base dei dati disponibili e lascia riconoscibile la decisione umana. Una risposta convincente non è, da sola, prova di correttezza. Fonti, incertezza e possibilità di correzione devono essere parti dell'interazione, non una nota lontana dal punto in cui la persona sceglie.</w:t>
      </w:r>
    </w:p>
    <w:p>
      <w:pPr>
        <w:pStyle w:val="Heading2"/>
      </w:pPr>
      <w:r>
        <w:t>5 Prototype</w:t>
      </w:r>
    </w:p>
    <w:p>
      <w:pPr>
        <w:pStyle w:val="Heading3"/>
      </w:pPr>
      <w:r>
        <w:t>5 1 Architettura delle informazioni</w:t>
      </w:r>
    </w:p>
    <w:p>
      <w:r>
        <w:rPr>
          <w:rFonts w:ascii="Arial" w:hAnsi="Arial" w:eastAsia="Arial" w:cs="Arial"/>
          <w:b w:val="0"/>
          <w:color w:val="000000"/>
        </w:rPr>
        <w:t>L'architettura proposta organizza quattro aree: Esplora, Salvati, Chat e Profilo. Esplora contiene mappa, lista e accessi al luogo; Salvati permette di riprendere una scelta; Chat raccoglie proposte di uscita circoscritte; Profilo ospita preferenze, contributi e bozze. L'assistente è trasversale e ha anche richiami contestuali. Le etichette e il numero di aree appartengono alla proposta architetturale e saranno valutati rispetto alla reperibilità delle informazioni nei compiti.</w:t>
      </w:r>
    </w:p>
    <w:p>
      <w:r>
        <w:rPr>
          <w:rFonts w:ascii="Arial" w:hAnsi="Arial" w:eastAsia="Arial" w:cs="Arial"/>
          <w:b w:val="0"/>
          <w:color w:val="000000"/>
        </w:rPr>
        <w:t>Distinguo gli oggetti dalle schermate e dalle azioni. Il luogo è l'oggetto condiviso; una card lo rappresenta; la ricerca è una funzione; il campo di ricerca è un componente. L'inventario descrive le strutture della schermata separando i componenti dai contenuti dimostrativi dei singoli locali. Questa distinzione permette di progettare gerarchia e relazioni prima di usare il catalogo dimostrativo.</w:t>
      </w:r>
    </w:p>
    <w:p>
      <w:r>
        <w:rPr>
          <w:rFonts w:ascii="Arial" w:hAnsi="Arial" w:eastAsia="Arial" w:cs="Arial"/>
          <w:b w:val="0"/>
          <w:color w:val="000000"/>
        </w:rPr>
        <w:t>Il contesto geografico contiene città o comune, zona e riferimento delle eventuali distanze. Il criterio può essere una preferenza oppure un vincolo. Le informazioni sul luogo distinguono dichiarazione, testimonianza, riepilogo e dato assente. La proposta di uscita collega partecipanti, alternative e risposte; la recensione collega visita, contenuto, visibilità e stato della bozza. In questo modo la stessa scheda può essere aperta dalla mappa, dall'AI o dal gruppo senza duplicare il luogo.</w:t>
      </w:r>
    </w:p>
    <w:p>
      <w:pPr>
        <w:pStyle w:val="Heading3"/>
      </w:pPr>
      <w:r>
        <w:t>5 2 Inventario delle schermate e gerarchia</w:t>
      </w:r>
    </w:p>
    <w:p>
      <w:r>
        <w:rPr>
          <w:rFonts w:ascii="Arial" w:hAnsi="Arial" w:eastAsia="Arial" w:cs="Arial"/>
          <w:b w:val="0"/>
          <w:color w:val="000000"/>
        </w:rPr>
        <w:t>L'inventario comprende 21 strutture di schermata. Gli identificativi servono a collegare architettura e flussi: filtri, galleria o dettaglio possono essere overlay o varianti senza richiedere una pagina autonoma. L'inventario completo specifica per ciascuna scopo, componenti, ingresso, azione primaria, uscita e stati. La sintesi seguente ne rende leggibile il rapporto con i compiti.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2048"/>
        <w:gridCol w:w="1954"/>
        <w:gridCol w:w="5523"/>
      </w:tblGrid>
      <w:tr>
        <w:trPr>
          <w:tblHeader/>
          <w:cantSplit/>
        </w:trPr>
        <w:tc>
          <w:tcPr>
            <w:tcW w:type="dxa" w:w="2048"/>
            <w:vAlign w:val="center"/>
            <w:shd w:fill="E8E8E8"/>
          </w:tcPr>
          <w:p>
            <w:pPr>
              <w:spacing w:before="0" w:after="0" w:line="252" w:lineRule="auto"/>
            </w:pPr>
            <w:r>
              <w:rPr>
                <w:rFonts w:ascii="Arial" w:hAnsi="Arial" w:eastAsia="Arial" w:cs="Arial"/>
                <w:b/>
                <w:color w:val="000000"/>
                <w:sz w:val="19"/>
              </w:rPr>
              <w:t>Gruppo</w:t>
            </w:r>
          </w:p>
        </w:tc>
        <w:tc>
          <w:tcPr>
            <w:tcW w:type="dxa" w:w="1954"/>
            <w:vAlign w:val="center"/>
            <w:shd w:fill="E8E8E8"/>
          </w:tcPr>
          <w:p>
            <w:pPr>
              <w:spacing w:before="0" w:after="0" w:line="252" w:lineRule="auto"/>
            </w:pPr>
            <w:r>
              <w:rPr>
                <w:rFonts w:ascii="Arial" w:hAnsi="Arial" w:eastAsia="Arial" w:cs="Arial"/>
                <w:b/>
                <w:color w:val="000000"/>
                <w:sz w:val="19"/>
              </w:rPr>
              <w:t>Schermate</w:t>
            </w:r>
          </w:p>
        </w:tc>
        <w:tc>
          <w:tcPr>
            <w:tcW w:type="dxa" w:w="5523"/>
            <w:vAlign w:val="center"/>
            <w:shd w:fill="E8E8E8"/>
          </w:tcPr>
          <w:p>
            <w:pPr>
              <w:spacing w:before="0" w:after="0" w:line="252" w:lineRule="auto"/>
            </w:pPr>
            <w:r>
              <w:rPr>
                <w:rFonts w:ascii="Arial" w:hAnsi="Arial" w:eastAsia="Arial" w:cs="Arial"/>
                <w:b/>
                <w:color w:val="000000"/>
                <w:sz w:val="19"/>
              </w:rPr>
              <w:t>Gerarchia e relazione con il compito</w:t>
            </w:r>
          </w:p>
        </w:tc>
      </w:tr>
      <w:tr>
        <w:trPr>
          <w:cantSplit/>
        </w:trPr>
        <w:tc>
          <w:tcPr>
            <w:tcW w:type="dxa" w:w="2048"/>
            <w:vAlign w:val="center"/>
          </w:tcPr>
          <w:p>
            <w:pPr>
              <w:spacing w:before="0" w:after="0" w:line="252" w:lineRule="auto"/>
            </w:pPr>
            <w:r>
              <w:rPr>
                <w:rFonts w:ascii="Arial" w:hAnsi="Arial" w:eastAsia="Arial" w:cs="Arial"/>
                <w:b w:val="0"/>
                <w:color w:val="000000"/>
                <w:sz w:val="19"/>
              </w:rPr>
              <w:t>Avvio e ricerca</w:t>
            </w:r>
          </w:p>
        </w:tc>
        <w:tc>
          <w:tcPr>
            <w:tcW w:type="dxa" w:w="1954"/>
            <w:vAlign w:val="center"/>
          </w:tcPr>
          <w:p>
            <w:pPr>
              <w:spacing w:before="0" w:after="0" w:line="252" w:lineRule="auto"/>
            </w:pPr>
            <w:r>
              <w:rPr>
                <w:rFonts w:ascii="Arial" w:hAnsi="Arial" w:eastAsia="Arial" w:cs="Arial"/>
                <w:b w:val="0"/>
                <w:color w:val="000000"/>
                <w:sz w:val="19"/>
              </w:rPr>
              <w:t>S01–S04</w:t>
            </w:r>
          </w:p>
        </w:tc>
        <w:tc>
          <w:tcPr>
            <w:tcW w:type="dxa" w:w="5523"/>
            <w:vAlign w:val="center"/>
          </w:tcPr>
          <w:p>
            <w:pPr>
              <w:spacing w:before="0" w:after="0" w:line="252" w:lineRule="auto"/>
            </w:pPr>
            <w:r>
              <w:rPr>
                <w:rFonts w:ascii="Arial" w:hAnsi="Arial" w:eastAsia="Arial" w:cs="Arial"/>
                <w:b w:val="0"/>
                <w:color w:val="000000"/>
                <w:sz w:val="19"/>
              </w:rPr>
              <w:t>Città/zona, ricerca, criteri, mappa/lista e filtri; scelta dell'area anche senza GPS</w:t>
            </w:r>
          </w:p>
        </w:tc>
      </w:tr>
      <w:tr>
        <w:trPr>
          <w:cantSplit/>
        </w:trPr>
        <w:tc>
          <w:tcPr>
            <w:tcW w:type="dxa" w:w="2048"/>
            <w:vAlign w:val="center"/>
          </w:tcPr>
          <w:p>
            <w:pPr>
              <w:spacing w:before="0" w:after="0" w:line="252" w:lineRule="auto"/>
            </w:pPr>
            <w:r>
              <w:rPr>
                <w:rFonts w:ascii="Arial" w:hAnsi="Arial" w:eastAsia="Arial" w:cs="Arial"/>
                <w:b w:val="0"/>
                <w:color w:val="000000"/>
                <w:sz w:val="19"/>
              </w:rPr>
              <w:t>Valutazione del luogo</w:t>
            </w:r>
          </w:p>
        </w:tc>
        <w:tc>
          <w:tcPr>
            <w:tcW w:type="dxa" w:w="1954"/>
            <w:vAlign w:val="center"/>
          </w:tcPr>
          <w:p>
            <w:pPr>
              <w:spacing w:before="0" w:after="0" w:line="252" w:lineRule="auto"/>
            </w:pPr>
            <w:r>
              <w:rPr>
                <w:rFonts w:ascii="Arial" w:hAnsi="Arial" w:eastAsia="Arial" w:cs="Arial"/>
                <w:b w:val="0"/>
                <w:color w:val="000000"/>
                <w:sz w:val="19"/>
              </w:rPr>
              <w:t>S05–S09</w:t>
            </w:r>
          </w:p>
        </w:tc>
        <w:tc>
          <w:tcPr>
            <w:tcW w:type="dxa" w:w="5523"/>
            <w:vAlign w:val="center"/>
          </w:tcPr>
          <w:p>
            <w:pPr>
              <w:spacing w:before="0" w:after="0" w:line="252" w:lineRule="auto"/>
            </w:pPr>
            <w:r>
              <w:rPr>
                <w:rFonts w:ascii="Arial" w:hAnsi="Arial" w:eastAsia="Arial" w:cs="Arial"/>
                <w:b w:val="0"/>
                <w:color w:val="000000"/>
                <w:sz w:val="19"/>
              </w:rPr>
              <w:t>Praticità, azioni, atmosfera, media, recensioni e origine del dato; approfondimenti sulla stessa scheda</w:t>
            </w:r>
          </w:p>
        </w:tc>
      </w:tr>
      <w:tr>
        <w:trPr>
          <w:cantSplit/>
        </w:trPr>
        <w:tc>
          <w:tcPr>
            <w:tcW w:type="dxa" w:w="2048"/>
            <w:vAlign w:val="center"/>
          </w:tcPr>
          <w:p>
            <w:pPr>
              <w:spacing w:before="0" w:after="0" w:line="252" w:lineRule="auto"/>
            </w:pPr>
            <w:r>
              <w:rPr>
                <w:rFonts w:ascii="Arial" w:hAnsi="Arial" w:eastAsia="Arial" w:cs="Arial"/>
                <w:b w:val="0"/>
                <w:color w:val="000000"/>
                <w:sz w:val="19"/>
              </w:rPr>
              <w:t>Assistente individuale</w:t>
            </w:r>
          </w:p>
        </w:tc>
        <w:tc>
          <w:tcPr>
            <w:tcW w:type="dxa" w:w="1954"/>
            <w:vAlign w:val="center"/>
          </w:tcPr>
          <w:p>
            <w:pPr>
              <w:spacing w:before="0" w:after="0" w:line="252" w:lineRule="auto"/>
            </w:pPr>
            <w:r>
              <w:rPr>
                <w:rFonts w:ascii="Arial" w:hAnsi="Arial" w:eastAsia="Arial" w:cs="Arial"/>
                <w:b w:val="0"/>
                <w:color w:val="000000"/>
                <w:sz w:val="19"/>
              </w:rPr>
              <w:t>S10</w:t>
            </w:r>
          </w:p>
        </w:tc>
        <w:tc>
          <w:tcPr>
            <w:tcW w:type="dxa" w:w="5523"/>
            <w:vAlign w:val="center"/>
          </w:tcPr>
          <w:p>
            <w:pPr>
              <w:spacing w:before="0" w:after="0" w:line="252" w:lineRule="auto"/>
            </w:pPr>
            <w:r>
              <w:rPr>
                <w:rFonts w:ascii="Arial" w:hAnsi="Arial" w:eastAsia="Arial" w:cs="Arial"/>
                <w:b w:val="0"/>
                <w:color w:val="000000"/>
                <w:sz w:val="19"/>
              </w:rPr>
              <w:t>Messaggi, chiarimenti, criteri correggibili e card standard; ritorno alla ricerca</w:t>
            </w:r>
          </w:p>
        </w:tc>
      </w:tr>
      <w:tr>
        <w:trPr>
          <w:cantSplit/>
        </w:trPr>
        <w:tc>
          <w:tcPr>
            <w:tcW w:type="dxa" w:w="2048"/>
            <w:vAlign w:val="center"/>
          </w:tcPr>
          <w:p>
            <w:pPr>
              <w:spacing w:before="0" w:after="0" w:line="252" w:lineRule="auto"/>
            </w:pPr>
            <w:r>
              <w:rPr>
                <w:rFonts w:ascii="Arial" w:hAnsi="Arial" w:eastAsia="Arial" w:cs="Arial"/>
                <w:b w:val="0"/>
                <w:color w:val="000000"/>
                <w:sz w:val="19"/>
              </w:rPr>
              <w:t>Scelta con amici</w:t>
            </w:r>
          </w:p>
        </w:tc>
        <w:tc>
          <w:tcPr>
            <w:tcW w:type="dxa" w:w="1954"/>
            <w:vAlign w:val="center"/>
          </w:tcPr>
          <w:p>
            <w:pPr>
              <w:spacing w:before="0" w:after="0" w:line="252" w:lineRule="auto"/>
            </w:pPr>
            <w:r>
              <w:rPr>
                <w:rFonts w:ascii="Arial" w:hAnsi="Arial" w:eastAsia="Arial" w:cs="Arial"/>
                <w:b w:val="0"/>
                <w:color w:val="000000"/>
                <w:sz w:val="19"/>
              </w:rPr>
              <w:t>S11–S14</w:t>
            </w:r>
          </w:p>
        </w:tc>
        <w:tc>
          <w:tcPr>
            <w:tcW w:type="dxa" w:w="5523"/>
            <w:vAlign w:val="center"/>
          </w:tcPr>
          <w:p>
            <w:pPr>
              <w:spacing w:before="0" w:after="0" w:line="252" w:lineRule="auto"/>
            </w:pPr>
            <w:r>
              <w:rPr>
                <w:rFonts w:ascii="Arial" w:hAnsi="Arial" w:eastAsia="Arial" w:cs="Arial"/>
                <w:b w:val="0"/>
                <w:color w:val="000000"/>
                <w:sz w:val="19"/>
              </w:rPr>
              <w:t>Proposte, invito, criteri condivisi, alternative, risposte ed esito; decisione distinta dall'AI</w:t>
            </w:r>
          </w:p>
        </w:tc>
      </w:tr>
      <w:tr>
        <w:trPr>
          <w:cantSplit/>
        </w:trPr>
        <w:tc>
          <w:tcPr>
            <w:tcW w:type="dxa" w:w="2048"/>
            <w:vAlign w:val="center"/>
          </w:tcPr>
          <w:p>
            <w:pPr>
              <w:spacing w:before="0" w:after="0" w:line="252" w:lineRule="auto"/>
            </w:pPr>
            <w:r>
              <w:rPr>
                <w:rFonts w:ascii="Arial" w:hAnsi="Arial" w:eastAsia="Arial" w:cs="Arial"/>
                <w:b w:val="0"/>
                <w:color w:val="000000"/>
                <w:sz w:val="19"/>
              </w:rPr>
              <w:t>Contributo</w:t>
            </w:r>
          </w:p>
        </w:tc>
        <w:tc>
          <w:tcPr>
            <w:tcW w:type="dxa" w:w="1954"/>
            <w:vAlign w:val="center"/>
          </w:tcPr>
          <w:p>
            <w:pPr>
              <w:spacing w:before="0" w:after="0" w:line="252" w:lineRule="auto"/>
            </w:pPr>
            <w:r>
              <w:rPr>
                <w:rFonts w:ascii="Arial" w:hAnsi="Arial" w:eastAsia="Arial" w:cs="Arial"/>
                <w:b w:val="0"/>
                <w:color w:val="000000"/>
                <w:sz w:val="19"/>
              </w:rPr>
              <w:t>S15–S18</w:t>
            </w:r>
          </w:p>
        </w:tc>
        <w:tc>
          <w:tcPr>
            <w:tcW w:type="dxa" w:w="5523"/>
            <w:vAlign w:val="center"/>
          </w:tcPr>
          <w:p>
            <w:pPr>
              <w:spacing w:before="0" w:after="0" w:line="252" w:lineRule="auto"/>
            </w:pPr>
            <w:r>
              <w:rPr>
                <w:rFonts w:ascii="Arial" w:hAnsi="Arial" w:eastAsia="Arial" w:cs="Arial"/>
                <w:b w:val="0"/>
                <w:color w:val="000000"/>
                <w:sz w:val="19"/>
              </w:rPr>
              <w:t>Visita e domande, appunti, aiuto, anteprima/visibilità ed esito; bozza recuperabile</w:t>
            </w:r>
          </w:p>
        </w:tc>
      </w:tr>
      <w:tr>
        <w:trPr>
          <w:cantSplit/>
        </w:trPr>
        <w:tc>
          <w:tcPr>
            <w:tcW w:type="dxa" w:w="2048"/>
            <w:vAlign w:val="center"/>
          </w:tcPr>
          <w:p>
            <w:pPr>
              <w:spacing w:before="0" w:after="0" w:line="252" w:lineRule="auto"/>
            </w:pPr>
            <w:r>
              <w:rPr>
                <w:rFonts w:ascii="Arial" w:hAnsi="Arial" w:eastAsia="Arial" w:cs="Arial"/>
                <w:b w:val="0"/>
                <w:color w:val="000000"/>
                <w:sz w:val="19"/>
              </w:rPr>
              <w:t>Ripresa e uscita</w:t>
            </w:r>
          </w:p>
        </w:tc>
        <w:tc>
          <w:tcPr>
            <w:tcW w:type="dxa" w:w="1954"/>
            <w:vAlign w:val="center"/>
          </w:tcPr>
          <w:p>
            <w:pPr>
              <w:spacing w:before="0" w:after="0" w:line="252" w:lineRule="auto"/>
            </w:pPr>
            <w:r>
              <w:rPr>
                <w:rFonts w:ascii="Arial" w:hAnsi="Arial" w:eastAsia="Arial" w:cs="Arial"/>
                <w:b w:val="0"/>
                <w:color w:val="000000"/>
                <w:sz w:val="19"/>
              </w:rPr>
              <w:t>S19–S21</w:t>
            </w:r>
          </w:p>
        </w:tc>
        <w:tc>
          <w:tcPr>
            <w:tcW w:type="dxa" w:w="5523"/>
            <w:vAlign w:val="center"/>
          </w:tcPr>
          <w:p>
            <w:pPr>
              <w:spacing w:before="0" w:after="0" w:line="252" w:lineRule="auto"/>
            </w:pPr>
            <w:r>
              <w:rPr>
                <w:rFonts w:ascii="Arial" w:hAnsi="Arial" w:eastAsia="Arial" w:cs="Arial"/>
                <w:b w:val="0"/>
                <w:color w:val="000000"/>
                <w:sz w:val="19"/>
              </w:rPr>
              <w:t>Salvati, profilo/bozze e navigazione esterna; conservazione del contesto</w:t>
            </w:r>
          </w:p>
        </w:tc>
      </w:tr>
    </w:tbl>
    <w:p>
      <w:pPr>
        <w:spacing w:after="60" w:before="0" w:line="72" w:lineRule="auto"/>
      </w:pPr>
      <w:r>
        <w:rPr>
          <w:rFonts w:ascii="Arial" w:hAnsi="Arial" w:eastAsia="Arial" w:cs="Arial"/>
          <w:color w:val="000000"/>
          <w:sz w:val="6"/>
        </w:rPr>
      </w:r>
    </w:p>
    <w:p>
      <w:r>
        <w:rPr>
          <w:rFonts w:ascii="Arial" w:hAnsi="Arial" w:eastAsia="Arial" w:cs="Arial"/>
          <w:b w:val="0"/>
          <w:color w:val="000000"/>
        </w:rPr>
        <w:t>Nella scheda S05 prezzi, servizi e condizioni pratiche non devono scomparire dietro il racconto dell'atmosfera. Le azioni di salvare, proporre e navigare sono reperibili senza confonderle con l'accesso alle recensioni. La galleria S07 espone la provenienza dei media; le recensioni S08 mostrano contesto della visita e identità scelta. S09 rende leggibile perché un'informazione è insufficiente, vecchia o discordante.</w:t>
      </w:r>
    </w:p>
    <w:p>
      <w:r>
        <w:rPr>
          <w:rFonts w:ascii="Arial" w:hAnsi="Arial" w:eastAsia="Arial" w:cs="Arial"/>
          <w:b w:val="0"/>
          <w:color w:val="000000"/>
        </w:rPr>
        <w:t>Gli indicatori di atmosfera in S06 separano dimensioni, fascia oraria, periodo e copertura dei contributi. Un'assenza di osservazioni resta «dato non disponibile», non uno zero di rumore o un giudizio negativo sul luogo. La scala deve spiegare cosa misura; il riepilogo testuale permette di leggere il significato senza dipendere soltanto da un grafico o da un colore.</w:t>
      </w:r>
    </w:p>
    <w:p>
      <w:pPr>
        <w:pStyle w:val="Heading3"/>
      </w:pPr>
      <w:r>
        <w:t>5 3 Flussi e ritorni</w:t>
      </w:r>
    </w:p>
    <w:p>
      <w:r>
        <w:rPr>
          <w:rFonts w:ascii="Arial" w:hAnsi="Arial" w:eastAsia="Arial" w:cs="Arial"/>
          <w:b w:val="0"/>
          <w:color w:val="000000"/>
        </w:rPr>
        <w:t>Il percorso individuale comincia dalla scelta dell'area, prosegue con ricerca o assistente, passa al confronto dei risultati e alla scheda. Termina con una scelta salvata o con l'apertura consapevole della navigazione esterna. La visita soddisfacente non è l'esito che il prototipo può garantire. Il recupero principale riguarda nessun risultato o un criterio interpretato male: la persona modifica il criterio e torna a una lista coerente senza perdere il contesto geografico.</w:t>
      </w:r>
    </w:p>
    <w:p>
      <w:r>
        <w:rPr>
          <w:rFonts w:ascii="Arial" w:hAnsi="Arial" w:eastAsia="Arial" w:cs="Arial"/>
          <w:b w:val="0"/>
          <w:color w:val="000000"/>
        </w:rPr>
        <w:t>Il percorso con amici parte da una proposta nuova o da un luogo già trovato. Dopo l'invito si condividono soltanto i criteri scelti, si confrontano alternative e si risponde al luogo proposto. L'esito distingue accordo e attesa. Un vincolo incompatibile o una proposta contestata richiede una modifica esplicita; la conferma precedente non continua a valere automaticamente. Il partecipante può sempre aprire la stessa scheda usata nella ricerca.</w:t>
      </w:r>
    </w:p>
    <w:p>
      <w:r>
        <w:rPr>
          <w:rFonts w:ascii="Arial" w:hAnsi="Arial" w:eastAsia="Arial" w:cs="Arial"/>
          <w:b w:val="0"/>
          <w:color w:val="000000"/>
        </w:rPr>
        <w:t>Il contributo parte dalla visita dichiarata o dalla ripresa di una bozza. Domande e appunti precedono l'aiuto facoltativo; confronto, anteprima e visibilità precedono l'invio. Il recupero riguarda uscita, suggerimento errato o fallimento simulato dell'invio. La sequenza rende possibile completare il contributo senza AI e vedere il proprio giudizio prima di renderlo disponibile agli altri.</w:t>
      </w:r>
    </w:p>
    <w:p>
      <w:r>
        <w:rPr>
          <w:rFonts w:ascii="Arial" w:hAnsi="Arial" w:eastAsia="Arial" w:cs="Arial"/>
          <w:b w:val="0"/>
          <w:color w:val="000000"/>
        </w:rPr>
        <w:t>I journey confrontano una ricostruzione del percorso attuale con un'esperienza attesa, mantenendo bisogno iniziale, occasione, vincoli e punto di arrivo. Il percorso proposto non è un'esperienza osservata. Trasporti e coordinamento reale restano condizioni esterne; non si attribuiscono al progetto curve emotive misurate o risparmi di tempo.</w:t>
      </w:r>
    </w:p>
    <w:p>
      <w:pPr>
        <w:pStyle w:val="Heading3"/>
      </w:pPr>
      <w:r>
        <w:t>5 4 Wireframe e stati problematici</w:t>
      </w:r>
    </w:p>
    <w:p>
      <w:r>
        <w:rPr>
          <w:rFonts w:ascii="Arial" w:hAnsi="Arial" w:eastAsia="Arial" w:cs="Arial"/>
          <w:b w:val="0"/>
          <w:color w:val="000000"/>
        </w:rPr>
        <w:t>I wireframe rappresentano mappa, lista, scheda e recensione, rendendo espliciti i controlli e i ritorni. La Home serve a orientarsi: le testimonianze vengono approfondite nella scheda, anziché comparire come piccole anteprime nel punto iniziale. La barra di navigazione usa etichette leggibili e l'assistente ha un accesso riconoscibile; il solo segno più non ne spiega la funzione.</w:t>
      </w:r>
    </w:p>
    <w:p>
      <w:r>
        <w:rPr>
          <w:rFonts w:ascii="Arial" w:hAnsi="Arial" w:eastAsia="Arial" w:cs="Arial"/>
          <w:b w:val="0"/>
          <w:color w:val="000000"/>
        </w:rPr>
        <w:t>Il pannello sulla mappa ha stati ridotto, intermedio ed espanso. Il cambio di stato conserva selezione e criteri. La mappa rimane nel contesto di provenienza, ma l'espansione può occupare la schermata se serve a leggere un testo lungo. Scroll, chiusura e ritorno devono avere un comportamento coerente anche quando il contenuto occupa più spazio.</w:t>
      </w:r>
    </w:p>
    <w:p>
      <w:r>
        <w:rPr>
          <w:rFonts w:ascii="Arial" w:hAnsi="Arial" w:eastAsia="Arial" w:cs="Arial"/>
          <w:b w:val="0"/>
          <w:color w:val="000000"/>
        </w:rPr>
        <w:t>Per ciascun flusso considero almeno un problema recuperabile, oltre al percorso ordinario: posizione negata e scelta manuale, nessun risultato, informazione insufficiente, errore d'interpretazione, partecipante in attesa, AI indisponibile o bozza non ancora inviata. Le varianti rendono espliciti gli stati che impediscono il compito o cambiano una decisione.</w:t>
      </w:r>
    </w:p>
    <w:p>
      <w:r>
        <w:rPr>
          <w:rFonts w:ascii="Arial" w:hAnsi="Arial" w:eastAsia="Arial" w:cs="Arial"/>
          <w:b w:val="0"/>
          <w:color w:val="000000"/>
        </w:rPr>
        <w:t>Il passaggio a Maps esterne è un'uscita riconoscibile. Il prototipo simulerà la scelta del navigatore e il ritorno alla scheda o alla proposta, mantenendo luogo e area. Non realizza itinerari reali, disponibilità dei mezzi o calcolo dei tempi di viaggio. Una distanza riferita a un punto dichiarato non viene trasformata in durata del tragitto senza una fonte adeguata.</w:t>
      </w:r>
    </w:p>
    <w:p>
      <w:pPr>
        <w:pStyle w:val="Heading3"/>
      </w:pPr>
      <w:r>
        <w:t>5 5 Due style tile e design system</w:t>
      </w:r>
    </w:p>
    <w:p>
      <w:r>
        <w:rPr>
          <w:rFonts w:ascii="Arial" w:hAnsi="Arial" w:eastAsia="Arial" w:cs="Arial"/>
          <w:b w:val="0"/>
          <w:color w:val="000000"/>
        </w:rPr>
        <w:t>Le due style tile confrontano direzioni visive usando gli stessi contenuti e componenti: palette con ruoli, gerarchia tipografica, pulsanti, campo di ricerca, tag, card luogo e recensione, messaggio AI e campione di atmosfera. Mantengo quantità d'informazione e complessità confrontabili, così che il giudizio non dipenda dal fatto che una proposta contiene più funzioni o meno testo. I pannelli sono proposte statiche, non un prototipo testato.</w:t>
      </w:r>
    </w:p>
    <w:p>
      <w:r>
        <w:rPr>
          <w:rFonts w:ascii="Arial" w:hAnsi="Arial" w:eastAsia="Arial" w:cs="Arial"/>
          <w:b w:val="0"/>
          <w:color w:val="000000"/>
        </w:rPr>
        <w:t>La scelta della direzione rimane aperta. Il confronto con le tre persone dovrà raccogliere chiarezza, fiducia percepita, accoglienza, adeguatezza e motivi, oltre alla preferenza. L'ordine A/B verrà alternato dove possibile e registrato; con tre partecipanti non può essere perfettamente bilanciato. Anche «nessuna» e i giudizi contrari verranno conservati. La preferenza estetica non dimostra usabilità o affidabilità del servizio.</w:t>
      </w:r>
    </w:p>
    <w:p>
      <w:r>
        <w:rPr>
          <w:rFonts w:ascii="Arial" w:hAnsi="Arial" w:eastAsia="Arial" w:cs="Arial"/>
          <w:b w:val="0"/>
          <w:color w:val="000000"/>
        </w:rPr>
        <w:t>La proposta A mantiene crema e terracotta, Georgia e Trebuchet MS. B riprende la mia tavola: rosa #FD87BA, verde #ADE25D, viola #9E6CDA, giallo #FCEC52 e turchese #80EFED, titoli Boldonse e corpo Forma DJR Text, sostituito nell'anteprima da Helvetica Neue. SNODO è provvisorio. Contenuti, controlli e compiti restano uguali; il confronto con gli utenti deve ancora avvenire.</w:t>
      </w:r>
    </w:p>
    <w:p>
      <w:r>
        <w:rPr>
          <w:rFonts w:ascii="Arial" w:hAnsi="Arial" w:eastAsia="Arial" w:cs="Arial"/>
          <w:b w:val="0"/>
          <w:color w:val="000000"/>
        </w:rPr>
        <w:t>Il design system ha una base provvisoria mentre si attende il confronto. Token A/B e specifiche comuni descrivono ruoli di colore, testo, spaziature, bordi, varianti e stati. La versione definitiva dipenderà sia dal feedback sia dai bisogni dei flussi. Il controllo di contrasti o dimensioni è riferito agli elementi controllati; non viene presentato come conformità generale del prodotto. Gli asset statici sono modificabili e importabili, ma non implementano da soli tastiera, lettore di schermo o collegamenti nativi Figma.</w:t>
      </w:r>
    </w:p>
    <w:p>
      <w:pPr>
        <w:pStyle w:val="Heading3"/>
      </w:pPr>
      <w:r>
        <w:t>5 6 Catalogo e prototipo</w:t>
      </w:r>
    </w:p>
    <w:p>
      <w:r>
        <w:rPr>
          <w:rFonts w:ascii="Arial" w:hAnsi="Arial" w:eastAsia="Arial" w:cs="Arial"/>
          <w:b w:val="0"/>
          <w:color w:val="000000"/>
        </w:rPr>
        <w:t>Il prototipo Figma deve collegare i tre percorsi, con punto iniziale e reset per ciascun compito. Il catalogo contiene dati dimostrativi dichiarati: nomi, orari, recensioni, immagini e indicatori non costituiscono informazioni aggiornate di locali reali. Le risposte AI e gli eventi degli amici sono predisposti. L'interazione dimostra uno scenario progettato, senza far credere che un backend, un modello o un sistema multiutente siano già funzionanti.</w:t>
      </w:r>
    </w:p>
    <w:p>
      <w:r>
        <w:rPr>
          <w:rFonts w:ascii="Arial" w:hAnsi="Arial" w:eastAsia="Arial" w:cs="Arial"/>
          <w:b w:val="0"/>
          <w:color w:val="000000"/>
        </w:rPr>
        <w:t>Gli artefatti comprendono una mappa generale, un inventario delle 21 schermate, tre user flow e 21 wireframe base con 12 varianti di stato. Le tavole statiche precisano stati, ritorni e componenti necessari ai compiti; la loro verifica visiva riguarda la struttura rappresentata e non equivale a una valutazione delle interazioni.</w:t>
      </w:r>
    </w:p>
    <w:p>
      <w:r>
        <w:rPr>
          <w:rFonts w:ascii="Arial" w:hAnsi="Arial" w:eastAsia="Arial" w:cs="Arial"/>
          <w:b w:val="0"/>
          <w:color w:val="000000"/>
        </w:rPr>
        <w:t>Il file nativo Figma dovrà rendere percorribili le sequenze, conservare il contesto e permettere il recupero degli errori. I collegamenti, gli scroll e i punti di partenza saranno verificati prima delle sessioni. La valutazione con le persone riguarderà una versione identificata del prototipo, distinta dalle tavole statiche.</w:t>
      </w:r>
    </w:p>
    <w:p>
      <w:pPr>
        <w:pStyle w:val="Heading1"/>
      </w:pPr>
      <w:r>
        <w:t>Valutazione prevista</w:t>
      </w:r>
    </w:p>
    <w:p>
      <w:r>
        <w:rPr>
          <w:rFonts w:ascii="Arial" w:hAnsi="Arial" w:eastAsia="Arial" w:cs="Arial"/>
          <w:b w:val="0"/>
          <w:color w:val="000000"/>
        </w:rPr>
        <w:t>La valutazione formativa coinvolgerà le stesse tre persone delle interviste. Ogni persona proverà i tre compiti con istruzioni neutrali e scenari dimostrativi. Il facilitatore annoterà versione, ordine, esito autonomo o con aiuto, difficoltà e interpretazioni. La partecipazione di ogni persona ai tre flussi aiuta a distinguere differenze individuali e differenze fra percorsi; eventuali compiti non svolti verranno comunque registrati.</w:t>
      </w:r>
    </w:p>
    <w:p>
      <w:r>
        <w:rPr>
          <w:rFonts w:ascii="Arial" w:hAnsi="Arial" w:eastAsia="Arial" w:cs="Arial"/>
          <w:b w:val="0"/>
          <w:color w:val="000000"/>
        </w:rPr>
        <w:t>Nel compito individuale osserverò se città e criteri sono compresi e correggibili, come viene letto un dato mancante e quale informazione sostiene la scelta. Nel compito sociale osserverò distinzione fra invito, proposta e accordo, risposta in attesa e modifica di un vincolo. Nel contributo osserverò controllo degli appunti, rifiuto o applicazione dell'AI, comprensione della visibilità e recupero della bozza. Sono verifiche previste, senza risultati compilati.</w:t>
      </w:r>
    </w:p>
    <w:p>
      <w:r>
        <w:rPr>
          <w:rFonts w:ascii="Arial" w:hAnsi="Arial" w:eastAsia="Arial" w:cs="Arial"/>
          <w:b w:val="0"/>
          <w:color w:val="000000"/>
        </w:rPr>
        <w:t>Se le risposte degli amici sono simulate, il test individuale riguarda la comprensione del flusso. Un'eventuale attività delle tre persone insieme andrà descritta separatamente, senza contarle come tre nuovi partecipanti. I tempi rilevati saranno riferimenti delle sessioni, non una prova causale del vantaggio dell'AI. La familiarità con il progetto e la piccola base limitano l'estensione dei risultati.</w:t>
      </w:r>
    </w:p>
    <w:p>
      <w:r>
        <w:rPr>
          <w:rFonts w:ascii="Arial" w:hAnsi="Arial" w:eastAsia="Arial" w:cs="Arial"/>
          <w:b w:val="0"/>
          <w:color w:val="000000"/>
        </w:rPr>
        <w:t>Per ogni problema emerso occorrerà collegare l'osservazione alla modifica e all'eventuale verifica successiva. Una modifica non ritestata rimarrà tale. I risultati saranno analizzati dopo le sessioni, distinguendo osservazioni, interpretazioni, modifiche e verifiche successive. Il piano non anticipa una direzione UI selezionata o benefici d'uso dimostrati.</w:t>
      </w:r>
    </w:p>
    <w:sectPr w:rsidR="00FC693F" w:rsidRPr="0006063C" w:rsidSect="00034616">
      <w:footerReference w:type="default" r:id="rId9"/>
      <w:pgSz w:w="11906" w:h="16838"/>
      <w:pgMar w:top="1077" w:right="1191" w:bottom="1077" w:left="1191"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s="Arial"/>
        <w:color w:val="000000"/>
        <w:sz w:val="16"/>
      </w:rPr>
      <w:t xml:space="preserve">Tesi UX UI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64" w:lineRule="auto"/>
    </w:pPr>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40" w:line="269" w:lineRule="auto"/>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280" w:after="120" w:line="269" w:lineRule="auto"/>
      <w:outlineLvl w:val="1"/>
    </w:pPr>
    <w:rPr>
      <w:rFonts w:asciiTheme="majorHAnsi" w:eastAsiaTheme="majorEastAsia" w:hAnsiTheme="majorHAnsi" w:cstheme="majorBidi" w:ascii="Arial" w:hAnsi="Arial"/>
      <w:b/>
      <w:bCs/>
      <w:color w:val="000000"/>
      <w:sz w:val="27"/>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69" w:lineRule="auto"/>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80" w:line="269" w:lineRule="auto" w:before="0"/>
      <w:contextualSpacing/>
    </w:pPr>
    <w:rPr>
      <w:rFonts w:asciiTheme="majorHAnsi" w:eastAsiaTheme="majorEastAsia" w:hAnsiTheme="majorHAnsi" w:cstheme="majorBidi" w:ascii="Arial" w:hAnsi="Arial"/>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00" w:line="269" w:lineRule="auto"/>
    </w:pPr>
    <w:rPr>
      <w:rFonts w:asciiTheme="majorHAnsi" w:eastAsiaTheme="majorEastAsia" w:hAnsiTheme="majorHAnsi" w:cstheme="majorBidi" w:ascii="Arial" w:hAnsi="Arial"/>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80" w:line="269" w:lineRule="auto"/>
      <w:contextualSpacing/>
    </w:pPr>
    <w:rPr>
      <w:rFonts w:ascii="Arial" w:hAnsi="Arial"/>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80" w:line="269" w:lineRule="auto"/>
      <w:contextualSpacing/>
    </w:pPr>
    <w:rPr>
      <w:rFonts w:ascii="Arial" w:hAnsi="Arial"/>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so.org/standard/77520.html" TargetMode="External"/><Relationship Id="rId11" Type="http://schemas.openxmlformats.org/officeDocument/2006/relationships/hyperlink" Target="https://research.ibm.com/publications/designing-for-usability-key-principles-and-what-designers-think--1" TargetMode="External"/><Relationship Id="rId12" Type="http://schemas.openxmlformats.org/officeDocument/2006/relationships/hyperlink" Target="https://www.nngroup.com/articles/design-thinking/"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Contributi testuali per la tesi UX UI</dc:title>
  <dc:subject>Bozze accademiche per integrazione nella tesi</dc:subject>
  <dc:creator/>
  <cp:keywords>AANT UX UI Figma Word</cp:keywords>
  <dc:description>generated by python-docx</dc:description>
  <cp:lastModifiedBy/>
  <cp:revision>1</cp:revision>
  <dcterms:created xsi:type="dcterms:W3CDTF">2013-12-23T23:15:00Z</dcterms:created>
  <dcterms:modified xsi:type="dcterms:W3CDTF">2013-12-23T23:15:00Z</dcterms:modified>
  <cp:category/>
</cp:coreProperties>
</file>