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FFF23" w14:textId="77777777" w:rsidR="004B232D" w:rsidRPr="004B232D" w:rsidRDefault="00E93CA1" w:rsidP="004B232D">
      <w:pPr>
        <w:pStyle w:val="Body"/>
        <w:jc w:val="both"/>
        <w:rPr>
          <w:rFonts w:ascii="Times New Roman" w:eastAsia="Times New Roman" w:hAnsi="Times New Roman" w:cs="Times New Roman"/>
          <w:b/>
          <w:bCs/>
          <w:color w:val="FF0000"/>
          <w:sz w:val="20"/>
          <w:szCs w:val="20"/>
        </w:rPr>
      </w:pPr>
      <w:r>
        <w:rPr>
          <w:rFonts w:ascii="Times New Roman" w:hAnsi="Times New Roman" w:cs="Times New Roman"/>
          <w:b/>
          <w:bCs/>
          <w:color w:val="FF0000"/>
          <w:sz w:val="20"/>
          <w:szCs w:val="20"/>
          <w:lang w:eastAsia="zh-TW"/>
        </w:rPr>
        <w:t>A160: Chinese L</w:t>
      </w:r>
      <w:r w:rsidRPr="004B232D">
        <w:rPr>
          <w:rFonts w:ascii="Times New Roman" w:hAnsi="Times New Roman" w:cs="Times New Roman"/>
          <w:b/>
          <w:bCs/>
          <w:color w:val="FF0000"/>
          <w:sz w:val="20"/>
          <w:szCs w:val="20"/>
          <w:lang w:eastAsia="zh-TW"/>
        </w:rPr>
        <w:t xml:space="preserve">anguage Version of </w:t>
      </w:r>
      <w:proofErr w:type="spellStart"/>
      <w:r w:rsidRPr="004B232D">
        <w:rPr>
          <w:rFonts w:ascii="Times New Roman" w:hAnsi="Times New Roman" w:cs="Times New Roman"/>
          <w:b/>
          <w:bCs/>
          <w:color w:val="FF0000"/>
          <w:sz w:val="20"/>
          <w:szCs w:val="20"/>
          <w:lang w:eastAsia="zh-TW"/>
        </w:rPr>
        <w:t>Faff’s</w:t>
      </w:r>
      <w:proofErr w:type="spellEnd"/>
      <w:r w:rsidRPr="004B232D">
        <w:rPr>
          <w:rFonts w:ascii="Times New Roman" w:hAnsi="Times New Roman" w:cs="Times New Roman"/>
          <w:b/>
          <w:bCs/>
          <w:color w:val="FF0000"/>
          <w:sz w:val="20"/>
          <w:szCs w:val="20"/>
          <w:lang w:eastAsia="zh-TW"/>
        </w:rPr>
        <w:t xml:space="preserve"> (2015, 2017) Pitching Template – Cued</w:t>
      </w:r>
      <w:r w:rsidR="004B232D" w:rsidRPr="004B232D">
        <w:rPr>
          <w:rFonts w:ascii="Times New Roman" w:hAnsi="Times New Roman" w:cs="Times New Roman"/>
          <w:b/>
          <w:bCs/>
          <w:color w:val="FF0000"/>
          <w:sz w:val="20"/>
          <w:szCs w:val="20"/>
        </w:rPr>
        <w:t xml:space="preserve"> </w:t>
      </w:r>
    </w:p>
    <w:tbl>
      <w:tblPr>
        <w:tblStyle w:val="TableNormal1"/>
        <w:tblW w:w="13864"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552"/>
        <w:gridCol w:w="4111"/>
        <w:gridCol w:w="1418"/>
        <w:gridCol w:w="2126"/>
        <w:gridCol w:w="2125"/>
        <w:gridCol w:w="1532"/>
      </w:tblGrid>
      <w:tr w:rsidR="004B232D" w:rsidRPr="0084156B" w14:paraId="2A60ACE4" w14:textId="77777777" w:rsidTr="008D1B53">
        <w:trPr>
          <w:trHeight w:val="767"/>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DBC750" w14:textId="77777777" w:rsidR="004B232D" w:rsidRPr="0084156B" w:rsidRDefault="00E93CA1" w:rsidP="008D1B53">
            <w:pPr>
              <w:pStyle w:val="Body"/>
              <w:spacing w:after="200" w:line="276" w:lineRule="auto"/>
              <w:jc w:val="both"/>
              <w:rPr>
                <w:rFonts w:ascii="Times New Roman" w:eastAsia="Times New Roman" w:hAnsi="Times New Roman" w:cs="Times New Roman"/>
                <w:b/>
                <w:bCs/>
                <w:sz w:val="16"/>
                <w:szCs w:val="16"/>
                <w:u w:color="000000"/>
              </w:rPr>
            </w:pPr>
            <w:r w:rsidRPr="00E93CA1">
              <w:rPr>
                <w:rFonts w:ascii="Times New Roman" w:eastAsia="新細明體" w:hAnsi="Times New Roman" w:cs="Times New Roman"/>
                <w:b/>
                <w:bCs/>
                <w:sz w:val="16"/>
                <w:szCs w:val="16"/>
                <w:u w:color="000000"/>
                <w:lang w:eastAsia="zh-TW"/>
              </w:rPr>
              <w:t>Pitcher’s Name</w:t>
            </w:r>
          </w:p>
          <w:p w14:paraId="167A53F5" w14:textId="77777777" w:rsidR="004B232D" w:rsidRPr="0084156B" w:rsidRDefault="00E93CA1" w:rsidP="008D1B53">
            <w:pPr>
              <w:pStyle w:val="Body"/>
              <w:spacing w:after="200" w:line="276" w:lineRule="auto"/>
              <w:jc w:val="both"/>
              <w:rPr>
                <w:rFonts w:ascii="Times New Roman" w:hAnsi="Times New Roman" w:cs="Times New Roman"/>
                <w:sz w:val="16"/>
                <w:szCs w:val="16"/>
              </w:rPr>
            </w:pPr>
            <w:r w:rsidRPr="00E93CA1">
              <w:rPr>
                <w:rFonts w:ascii="SimSun" w:eastAsia="新細明體" w:hAnsi="SimSun" w:cs="SimSun" w:hint="eastAsia"/>
                <w:b/>
                <w:bCs/>
                <w:sz w:val="16"/>
                <w:szCs w:val="16"/>
                <w:u w:color="000000"/>
                <w:lang w:eastAsia="zh-TW"/>
              </w:rPr>
              <w:t>論文寫作者姓名</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F39646" w14:textId="77777777" w:rsidR="004B232D" w:rsidRPr="007D1E07" w:rsidRDefault="00673934" w:rsidP="008D1B53">
            <w:pPr>
              <w:pStyle w:val="Body"/>
              <w:jc w:val="both"/>
              <w:rPr>
                <w:rFonts w:ascii="Times New Roman" w:eastAsiaTheme="minorEastAsia" w:hAnsi="Times New Roman" w:cs="Times New Roman"/>
                <w:color w:val="000000" w:themeColor="text1"/>
                <w:sz w:val="16"/>
                <w:szCs w:val="16"/>
              </w:rPr>
            </w:pPr>
            <w:r w:rsidRPr="007D1E07">
              <w:rPr>
                <w:rFonts w:ascii="Times New Roman" w:eastAsia="新細明體" w:hAnsi="Times New Roman" w:cs="Times New Roman" w:hint="eastAsia"/>
                <w:color w:val="000000" w:themeColor="text1"/>
                <w:sz w:val="16"/>
                <w:szCs w:val="16"/>
                <w:u w:color="FF0000"/>
                <w:lang w:eastAsia="zh-TW"/>
              </w:rPr>
              <w:t>李伯修</w:t>
            </w:r>
          </w:p>
        </w:tc>
        <w:tc>
          <w:tcPr>
            <w:tcW w:w="1418"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tcPr>
          <w:p w14:paraId="34D8E514" w14:textId="77777777" w:rsidR="004B232D" w:rsidRPr="0084156B" w:rsidRDefault="00E93CA1" w:rsidP="008D1B53">
            <w:pPr>
              <w:pStyle w:val="Body"/>
              <w:jc w:val="both"/>
              <w:rPr>
                <w:rFonts w:ascii="Times New Roman" w:eastAsia="Times New Roman" w:hAnsi="Times New Roman" w:cs="Times New Roman"/>
                <w:sz w:val="16"/>
                <w:szCs w:val="16"/>
                <w:u w:color="000000"/>
              </w:rPr>
            </w:pPr>
            <w:proofErr w:type="spellStart"/>
            <w:r w:rsidRPr="00E93CA1">
              <w:rPr>
                <w:rFonts w:ascii="Times New Roman" w:eastAsia="新細明體" w:hAnsi="Times New Roman" w:cs="Times New Roman"/>
                <w:sz w:val="16"/>
                <w:szCs w:val="16"/>
                <w:u w:color="000000"/>
                <w:lang w:eastAsia="zh-TW"/>
              </w:rPr>
              <w:t>FoR</w:t>
            </w:r>
            <w:proofErr w:type="spellEnd"/>
            <w:r w:rsidRPr="00E93CA1">
              <w:rPr>
                <w:rFonts w:ascii="Times New Roman" w:eastAsia="新細明體" w:hAnsi="Times New Roman" w:cs="Times New Roman"/>
                <w:sz w:val="16"/>
                <w:szCs w:val="16"/>
                <w:u w:color="000000"/>
                <w:lang w:eastAsia="zh-TW"/>
              </w:rPr>
              <w:t xml:space="preserve"> category</w:t>
            </w:r>
          </w:p>
          <w:p w14:paraId="7FD90E99" w14:textId="77777777" w:rsidR="004B232D" w:rsidRPr="0084156B" w:rsidRDefault="00E93CA1" w:rsidP="008D1B53">
            <w:pPr>
              <w:pStyle w:val="Body"/>
              <w:jc w:val="both"/>
              <w:rPr>
                <w:rFonts w:ascii="Times New Roman" w:hAnsi="Times New Roman" w:cs="Times New Roman"/>
                <w:sz w:val="16"/>
                <w:szCs w:val="16"/>
              </w:rPr>
            </w:pPr>
            <w:r w:rsidRPr="00E93CA1">
              <w:rPr>
                <w:rFonts w:ascii="SimSun" w:eastAsia="新細明體" w:hAnsi="SimSun" w:cs="SimSun" w:hint="eastAsia"/>
                <w:sz w:val="16"/>
                <w:szCs w:val="16"/>
                <w:u w:color="000000"/>
                <w:lang w:eastAsia="zh-TW"/>
              </w:rPr>
              <w:t>論文類別</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11F7B9" w14:textId="77777777" w:rsidR="004B232D" w:rsidRPr="007D1E07" w:rsidRDefault="00673934" w:rsidP="008D1B53">
            <w:pPr>
              <w:pStyle w:val="Body"/>
              <w:jc w:val="both"/>
              <w:rPr>
                <w:rFonts w:ascii="Times New Roman" w:hAnsi="Times New Roman" w:cs="Times New Roman"/>
                <w:color w:val="000000" w:themeColor="text1"/>
                <w:sz w:val="16"/>
                <w:szCs w:val="16"/>
              </w:rPr>
            </w:pPr>
            <w:r w:rsidRPr="007D1E07">
              <w:rPr>
                <w:rFonts w:ascii="Times New Roman" w:eastAsia="新細明體" w:hAnsi="Times New Roman" w:cs="Times New Roman" w:hint="eastAsia"/>
                <w:color w:val="000000" w:themeColor="text1"/>
                <w:sz w:val="16"/>
                <w:szCs w:val="16"/>
                <w:u w:color="FF0000"/>
                <w:lang w:eastAsia="zh-TW"/>
              </w:rPr>
              <w:t>財務金融</w:t>
            </w:r>
            <w:r w:rsidRPr="007D1E07">
              <w:rPr>
                <w:rFonts w:ascii="Times New Roman" w:eastAsia="新細明體" w:hAnsi="Times New Roman" w:cs="Times New Roman" w:hint="eastAsia"/>
                <w:color w:val="000000" w:themeColor="text1"/>
                <w:sz w:val="16"/>
                <w:szCs w:val="16"/>
                <w:u w:color="FF0000"/>
                <w:lang w:eastAsia="zh-TW"/>
              </w:rPr>
              <w:t xml:space="preserve"> / </w:t>
            </w:r>
            <w:r w:rsidRPr="007D1E07">
              <w:rPr>
                <w:rFonts w:ascii="Times New Roman" w:eastAsia="新細明體" w:hAnsi="Times New Roman" w:cs="Times New Roman" w:hint="eastAsia"/>
                <w:color w:val="000000" w:themeColor="text1"/>
                <w:sz w:val="16"/>
                <w:szCs w:val="16"/>
                <w:u w:color="FF0000"/>
                <w:lang w:eastAsia="zh-TW"/>
              </w:rPr>
              <w:t>量化投資</w:t>
            </w:r>
            <w:r w:rsidRPr="007D1E07">
              <w:rPr>
                <w:rFonts w:ascii="Times New Roman" w:eastAsia="新細明體" w:hAnsi="Times New Roman" w:cs="Times New Roman" w:hint="eastAsia"/>
                <w:color w:val="000000" w:themeColor="text1"/>
                <w:sz w:val="16"/>
                <w:szCs w:val="16"/>
                <w:u w:color="FF0000"/>
                <w:lang w:eastAsia="zh-TW"/>
              </w:rPr>
              <w:t xml:space="preserve"> (Quantitative Finance)</w:t>
            </w:r>
          </w:p>
        </w:tc>
        <w:tc>
          <w:tcPr>
            <w:tcW w:w="2125"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tcPr>
          <w:p w14:paraId="5D593CA9" w14:textId="77777777" w:rsidR="004B232D" w:rsidRPr="0084156B" w:rsidRDefault="00E93CA1" w:rsidP="008D1B53">
            <w:pPr>
              <w:pStyle w:val="Body"/>
              <w:jc w:val="both"/>
              <w:rPr>
                <w:rFonts w:ascii="Times New Roman" w:eastAsia="Times New Roman" w:hAnsi="Times New Roman" w:cs="Times New Roman"/>
                <w:b/>
                <w:bCs/>
                <w:sz w:val="16"/>
                <w:szCs w:val="16"/>
                <w:u w:color="000000"/>
              </w:rPr>
            </w:pPr>
            <w:r w:rsidRPr="00E93CA1">
              <w:rPr>
                <w:rFonts w:ascii="Times New Roman" w:eastAsia="新細明體" w:hAnsi="Times New Roman" w:cs="Times New Roman"/>
                <w:b/>
                <w:bCs/>
                <w:sz w:val="16"/>
                <w:szCs w:val="16"/>
                <w:u w:color="000000"/>
                <w:lang w:eastAsia="zh-TW"/>
              </w:rPr>
              <w:t>Date Completed</w:t>
            </w:r>
          </w:p>
          <w:p w14:paraId="43791209" w14:textId="77777777" w:rsidR="004B232D" w:rsidRPr="0084156B" w:rsidRDefault="004B232D" w:rsidP="008D1B53">
            <w:pPr>
              <w:pStyle w:val="Body"/>
              <w:jc w:val="both"/>
              <w:rPr>
                <w:rFonts w:ascii="Times New Roman" w:eastAsia="Times New Roman" w:hAnsi="Times New Roman" w:cs="Times New Roman"/>
                <w:b/>
                <w:bCs/>
                <w:sz w:val="16"/>
                <w:szCs w:val="16"/>
                <w:u w:color="000000"/>
              </w:rPr>
            </w:pPr>
          </w:p>
          <w:p w14:paraId="16B5B9AA" w14:textId="77777777" w:rsidR="004B232D" w:rsidRPr="0084156B" w:rsidRDefault="00E93CA1" w:rsidP="008D1B53">
            <w:pPr>
              <w:pStyle w:val="Body"/>
              <w:jc w:val="both"/>
              <w:rPr>
                <w:rFonts w:ascii="Times New Roman" w:hAnsi="Times New Roman" w:cs="Times New Roman"/>
                <w:sz w:val="16"/>
                <w:szCs w:val="16"/>
              </w:rPr>
            </w:pPr>
            <w:r w:rsidRPr="00E93CA1">
              <w:rPr>
                <w:rFonts w:ascii="SimSun" w:eastAsia="新細明體" w:hAnsi="SimSun" w:cs="SimSun" w:hint="eastAsia"/>
                <w:b/>
                <w:bCs/>
                <w:sz w:val="16"/>
                <w:szCs w:val="16"/>
                <w:u w:color="000000"/>
                <w:lang w:eastAsia="zh-TW"/>
              </w:rPr>
              <w:t>完成時間</w:t>
            </w:r>
          </w:p>
        </w:tc>
        <w:tc>
          <w:tcPr>
            <w:tcW w:w="15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A072CB" w14:textId="77777777" w:rsidR="004B232D" w:rsidRPr="007D1E07" w:rsidRDefault="00673934" w:rsidP="008D1B53">
            <w:pPr>
              <w:pStyle w:val="Body"/>
              <w:jc w:val="both"/>
              <w:rPr>
                <w:rFonts w:ascii="Times New Roman" w:hAnsi="Times New Roman" w:cs="Times New Roman"/>
                <w:color w:val="000000" w:themeColor="text1"/>
                <w:sz w:val="16"/>
                <w:szCs w:val="16"/>
              </w:rPr>
            </w:pPr>
            <w:r w:rsidRPr="007D1E07">
              <w:rPr>
                <w:rFonts w:ascii="Times New Roman" w:eastAsia="新細明體" w:hAnsi="Times New Roman" w:cs="Times New Roman"/>
                <w:color w:val="000000" w:themeColor="text1"/>
                <w:sz w:val="16"/>
                <w:szCs w:val="16"/>
                <w:u w:color="FF0000"/>
                <w:lang w:eastAsia="zh-TW"/>
              </w:rPr>
              <w:t>2026-07</w:t>
            </w:r>
          </w:p>
        </w:tc>
      </w:tr>
      <w:tr w:rsidR="004B232D" w14:paraId="7F0AB8DF" w14:textId="77777777" w:rsidTr="008D1B53">
        <w:trPr>
          <w:trHeight w:val="470"/>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59D563D2" w14:textId="77777777" w:rsidR="004B232D" w:rsidRPr="007730CA" w:rsidRDefault="00E93CA1" w:rsidP="004B232D">
            <w:pPr>
              <w:pStyle w:val="Body"/>
              <w:numPr>
                <w:ilvl w:val="0"/>
                <w:numId w:val="1"/>
              </w:numPr>
              <w:ind w:left="360" w:hanging="360"/>
              <w:jc w:val="both"/>
              <w:rPr>
                <w:rFonts w:ascii="Times New Roman" w:eastAsia="Calibri"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Working Title</w:t>
            </w:r>
          </w:p>
          <w:p w14:paraId="6A634395"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論文課題</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D994DD" w14:textId="77777777" w:rsidR="004B232D" w:rsidRPr="007D1E07" w:rsidRDefault="00673934" w:rsidP="008D1B53">
            <w:pPr>
              <w:pStyle w:val="Body"/>
              <w:jc w:val="both"/>
              <w:rPr>
                <w:rFonts w:ascii="Times New Roman" w:eastAsia="新細明體" w:hAnsi="Times New Roman" w:cs="Times New Roman"/>
                <w:color w:val="000000" w:themeColor="text1"/>
                <w:sz w:val="18"/>
                <w:szCs w:val="18"/>
                <w:u w:color="FF0000"/>
                <w:lang w:eastAsia="zh-TW"/>
              </w:rPr>
            </w:pPr>
            <w:r w:rsidRPr="007D1E07">
              <w:rPr>
                <w:rFonts w:ascii="Times New Roman" w:eastAsia="新細明體" w:hAnsi="Times New Roman" w:cs="Times New Roman" w:hint="eastAsia"/>
                <w:color w:val="000000" w:themeColor="text1"/>
                <w:sz w:val="18"/>
                <w:szCs w:val="18"/>
                <w:u w:color="FF0000"/>
                <w:lang w:eastAsia="zh-TW"/>
              </w:rPr>
              <w:t>結合配對來源組裝與動作空間設計之配對交易系統建構與實證：以 S&amp;P 500 為例</w:t>
            </w:r>
          </w:p>
          <w:p w14:paraId="71D994DD" w14:textId="77777777" w:rsidR="004B232D" w:rsidRPr="007D1E07" w:rsidRDefault="00673934" w:rsidP="008D1B53">
            <w:pPr>
              <w:pStyle w:val="Body"/>
              <w:jc w:val="both"/>
              <w:rPr>
                <w:rFonts w:ascii="Times New Roman" w:eastAsia="新細明體" w:hAnsi="Times New Roman" w:cs="Times New Roman"/>
                <w:color w:val="000000" w:themeColor="text1"/>
                <w:sz w:val="18"/>
                <w:szCs w:val="18"/>
                <w:u w:color="FF0000"/>
                <w:lang w:eastAsia="zh-TW"/>
              </w:rPr>
            </w:pPr>
            <w:r w:rsidRPr="007D1E07">
              <w:rPr>
                <w:rFonts w:ascii="Times New Roman" w:eastAsia="新細明體" w:hAnsi="Times New Roman" w:cs="Times New Roman" w:hint="eastAsia"/>
                <w:color w:val="000000" w:themeColor="text1"/>
                <w:sz w:val="18"/>
                <w:szCs w:val="18"/>
                <w:u w:color="FF0000"/>
                <w:lang w:eastAsia="zh-TW"/>
              </w:rPr>
              <w:t>Construction and Empirical Investigation of a Pairs Trading System Combining Pair-Source Assembly and Action-Space Design: Evidence from the S&amp;P 500</w:t>
            </w:r>
          </w:p>
        </w:tc>
      </w:tr>
      <w:tr w:rsidR="004B232D" w14:paraId="62A82B21" w14:textId="77777777" w:rsidTr="008D1B53">
        <w:trPr>
          <w:trHeight w:val="465"/>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59634250"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(B) Basic Research Question</w:t>
            </w:r>
          </w:p>
          <w:p w14:paraId="4FF3E847"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基本研究題目</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7F2516" w14:textId="77777777" w:rsidR="004B232D" w:rsidRPr="004E2207" w:rsidRDefault="00394FBE" w:rsidP="008D1B53">
            <w:pPr>
              <w:pStyle w:val="Body"/>
              <w:jc w:val="both"/>
              <w:rPr>
                <w:rFonts w:ascii="Times New Roman" w:eastAsia="新細明體" w:hAnsi="Times New Roman" w:cs="Times New Roman"/>
                <w:color w:val="000000" w:themeColor="text1"/>
                <w:sz w:val="18"/>
                <w:szCs w:val="18"/>
                <w:u w:color="FF0000"/>
                <w:lang w:eastAsia="zh-TW"/>
              </w:rPr>
            </w:pPr>
            <w:r w:rsidRPr="004E2207">
              <w:rPr>
                <w:rFonts w:ascii="Times New Roman" w:eastAsia="新細明體" w:hAnsi="Times New Roman" w:cs="Times New Roman" w:hint="eastAsia"/>
                <w:color w:val="000000" w:themeColor="text1"/>
                <w:sz w:val="18"/>
                <w:szCs w:val="18"/>
                <w:u w:color="FF0000"/>
                <w:lang w:eastAsia="zh-TW"/>
              </w:rPr>
              <w:t>本研究探討動作空間的設計如何決定學習式配對交易端的成敗，並拆為三個問題。</w:t>
            </w:r>
          </w:p>
          <w:p w14:paraId="517F2516" w14:textId="77777777" w:rsidR="004B232D" w:rsidRPr="004E2207" w:rsidRDefault="00394FBE" w:rsidP="008D1B53">
            <w:pPr>
              <w:pStyle w:val="Body"/>
              <w:jc w:val="both"/>
              <w:rPr>
                <w:rFonts w:ascii="Times New Roman" w:eastAsia="新細明體" w:hAnsi="Times New Roman" w:cs="Times New Roman"/>
                <w:color w:val="000000" w:themeColor="text1"/>
                <w:sz w:val="18"/>
                <w:szCs w:val="18"/>
                <w:u w:color="FF0000"/>
                <w:lang w:eastAsia="zh-TW"/>
              </w:rPr>
            </w:pPr>
            <w:r w:rsidRPr="004E2207">
              <w:rPr>
                <w:rFonts w:ascii="Times New Roman" w:eastAsia="新細明體" w:hAnsi="Times New Roman" w:cs="Times New Roman" w:hint="eastAsia"/>
                <w:color w:val="000000" w:themeColor="text1"/>
                <w:sz w:val="18"/>
                <w:szCs w:val="18"/>
                <w:u w:color="FF0000"/>
                <w:lang w:eastAsia="zh-TW"/>
              </w:rPr>
              <w:t>Q1（動作空間是否為關鍵約束）：在配對來源、對沖口徑、網格格點與訓練預算完全相同的條件下，將交易端每期可做的決策次數由 0 次（固定門檻）、1 次（每期選一組門檻）放大至最多 126 次（逐日自由決定持倉），是否會系統性造成過度交易與績效劣化？</w:t>
            </w:r>
          </w:p>
          <w:p w14:paraId="517F2516" w14:textId="77777777" w:rsidR="004B232D" w:rsidRPr="004E2207" w:rsidRDefault="00394FBE" w:rsidP="008D1B53">
            <w:pPr>
              <w:pStyle w:val="Body"/>
              <w:jc w:val="both"/>
              <w:rPr>
                <w:rFonts w:ascii="Times New Roman" w:eastAsia="新細明體" w:hAnsi="Times New Roman" w:cs="Times New Roman"/>
                <w:color w:val="000000" w:themeColor="text1"/>
                <w:sz w:val="18"/>
                <w:szCs w:val="18"/>
                <w:u w:color="FF0000"/>
                <w:lang w:eastAsia="zh-TW"/>
              </w:rPr>
            </w:pPr>
            <w:r w:rsidRPr="004E2207">
              <w:rPr>
                <w:rFonts w:ascii="Times New Roman" w:eastAsia="新細明體" w:hAnsi="Times New Roman" w:cs="Times New Roman" w:hint="eastAsia"/>
                <w:color w:val="000000" w:themeColor="text1"/>
                <w:sz w:val="18"/>
                <w:szCs w:val="18"/>
                <w:u w:color="FF0000"/>
                <w:lang w:eastAsia="zh-TW"/>
              </w:rPr>
              <w:t>Q2（逐對辨識能力是否存在）：將動作空間縮至每期單次門檻選擇之後，模型能否逐對辨識出各配對應採用的門檻——亦即其表現能否優於一個完全不作辨識的擴張窗最佳常數？</w:t>
            </w:r>
          </w:p>
          <w:p w14:paraId="517F2516" w14:textId="77777777" w:rsidR="004B232D" w:rsidRPr="004E2207" w:rsidRDefault="00394FBE" w:rsidP="008D1B53">
            <w:pPr>
              <w:pStyle w:val="Body"/>
              <w:jc w:val="both"/>
              <w:rPr>
                <w:rFonts w:ascii="Times New Roman" w:eastAsia="新細明體" w:hAnsi="Times New Roman" w:cs="Times New Roman"/>
                <w:color w:val="000000" w:themeColor="text1"/>
                <w:sz w:val="18"/>
                <w:szCs w:val="18"/>
                <w:u w:color="FF0000"/>
                <w:lang w:eastAsia="zh-TW"/>
              </w:rPr>
            </w:pPr>
            <w:r w:rsidRPr="004E2207">
              <w:rPr>
                <w:rFonts w:ascii="Times New Roman" w:eastAsia="新細明體" w:hAnsi="Times New Roman" w:cs="Times New Roman" w:hint="eastAsia"/>
                <w:color w:val="000000" w:themeColor="text1"/>
                <w:sz w:val="18"/>
                <w:szCs w:val="18"/>
                <w:u w:color="FF0000"/>
                <w:lang w:eastAsia="zh-TW"/>
              </w:rPr>
              <w:t>Q3（相對效果及其界線）：門檻選擇式交易端相對固定門檻，於五個配對來源上是否具有穩健的相對優勢；而該優勢在何種報酬口徑下成立、在何種口徑下不足以支持可交易的宣稱？</w:t>
            </w:r>
          </w:p>
          <w:p w14:paraId="517F2516" w14:textId="77777777" w:rsidR="004B232D" w:rsidRPr="004E2207" w:rsidRDefault="00394FBE" w:rsidP="008D1B53">
            <w:pPr>
              <w:pStyle w:val="Body"/>
              <w:jc w:val="both"/>
              <w:rPr>
                <w:rFonts w:ascii="Times New Roman" w:eastAsia="新細明體" w:hAnsi="Times New Roman" w:cs="Times New Roman"/>
                <w:color w:val="000000" w:themeColor="text1"/>
                <w:sz w:val="18"/>
                <w:szCs w:val="18"/>
                <w:u w:color="FF0000"/>
                <w:lang w:eastAsia="zh-TW"/>
              </w:rPr>
            </w:pPr>
            <w:r w:rsidRPr="004E2207">
              <w:rPr>
                <w:rFonts w:ascii="Times New Roman" w:eastAsia="新細明體" w:hAnsi="Times New Roman" w:cs="Times New Roman" w:hint="eastAsia"/>
                <w:color w:val="000000" w:themeColor="text1"/>
                <w:sz w:val="18"/>
                <w:szCs w:val="18"/>
                <w:u w:color="FF0000"/>
                <w:lang w:eastAsia="zh-TW"/>
              </w:rPr>
              <w:t>第三問刻意不以「能否獲得具備統計顯著性的穩健超額報酬」提問——本研究的答案在相對層面為是、在絕對層面為否，兩者不可混為一談，故問題本身必須把口徑寫進去。</w:t>
            </w:r>
          </w:p>
        </w:tc>
      </w:tr>
      <w:tr w:rsidR="004B232D" w14:paraId="392B1EA0" w14:textId="77777777" w:rsidTr="008D1B53">
        <w:trPr>
          <w:trHeight w:val="970"/>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688B875F"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(C) Key paper(s)</w:t>
            </w:r>
          </w:p>
          <w:p w14:paraId="4BD5476A"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重要文獻</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942953" w14:textId="5249B371" w:rsidR="004E2207" w:rsidRPr="004E2207" w:rsidRDefault="004E2207" w:rsidP="004E2207">
            <w:pPr>
              <w:pStyle w:val="Body"/>
              <w:jc w:val="both"/>
              <w:rPr>
                <w:rFonts w:ascii="Times New Roman" w:eastAsia="新細明體" w:hAnsi="Times New Roman" w:cs="Times New Roman"/>
                <w:color w:val="000000" w:themeColor="text1"/>
                <w:sz w:val="18"/>
                <w:szCs w:val="18"/>
                <w:u w:color="FF0000"/>
                <w:lang w:val="en-AU" w:eastAsia="zh-TW"/>
              </w:rPr>
            </w:pPr>
            <w:r w:rsidRPr="004E2207">
              <w:rPr>
                <w:rFonts w:ascii="Times New Roman" w:eastAsia="新細明體" w:hAnsi="Times New Roman" w:cs="Times New Roman" w:hint="eastAsia"/>
                <w:color w:val="000000" w:themeColor="text1"/>
                <w:sz w:val="18"/>
                <w:szCs w:val="18"/>
                <w:u w:color="FF0000"/>
                <w:lang w:val="en-AU" w:eastAsia="zh-TW"/>
              </w:rPr>
              <w:t>基石</w:t>
            </w:r>
            <w:r w:rsidR="007E0146" w:rsidRPr="007E0146">
              <w:rPr>
                <w:rFonts w:ascii="Times New Roman" w:eastAsia="新細明體" w:hAnsi="Times New Roman" w:cs="Times New Roman"/>
                <w:color w:val="000000" w:themeColor="text1"/>
                <w:sz w:val="18"/>
                <w:szCs w:val="18"/>
                <w:u w:color="FF0000"/>
                <w:lang w:val="en-AU" w:eastAsia="zh-TW"/>
              </w:rPr>
              <w:t>與基準文獻</w:t>
            </w:r>
          </w:p>
          <w:p w14:paraId="5AAC2BC7" w14:textId="5CB2BF13" w:rsidR="00BA0A77" w:rsidRDefault="00BA0A77" w:rsidP="004E2207">
            <w:pPr>
              <w:pStyle w:val="Body"/>
              <w:numPr>
                <w:ilvl w:val="0"/>
                <w:numId w:val="8"/>
              </w:numPr>
              <w:jc w:val="both"/>
              <w:rPr>
                <w:rFonts w:ascii="Times New Roman" w:eastAsia="新細明體" w:hAnsi="Times New Roman" w:cs="Times New Roman"/>
                <w:color w:val="000000" w:themeColor="text1"/>
                <w:sz w:val="18"/>
                <w:szCs w:val="18"/>
                <w:u w:color="FF0000"/>
                <w:lang w:val="en-AU" w:eastAsia="zh-TW"/>
              </w:rPr>
            </w:pPr>
            <w:proofErr w:type="spellStart"/>
            <w:r w:rsidRPr="00BA0A77">
              <w:rPr>
                <w:rFonts w:ascii="Times New Roman" w:eastAsia="新細明體" w:hAnsi="Times New Roman" w:cs="Times New Roman"/>
                <w:color w:val="000000" w:themeColor="text1"/>
                <w:sz w:val="18"/>
                <w:szCs w:val="18"/>
                <w:u w:color="FF0000"/>
                <w:lang w:val="en-AU" w:eastAsia="zh-TW"/>
              </w:rPr>
              <w:t>Gatev</w:t>
            </w:r>
            <w:proofErr w:type="spellEnd"/>
            <w:r w:rsidRPr="00BA0A77">
              <w:rPr>
                <w:rFonts w:ascii="Times New Roman" w:eastAsia="新細明體" w:hAnsi="Times New Roman" w:cs="Times New Roman"/>
                <w:color w:val="000000" w:themeColor="text1"/>
                <w:sz w:val="18"/>
                <w:szCs w:val="18"/>
                <w:u w:color="FF0000"/>
                <w:lang w:val="en-AU" w:eastAsia="zh-TW"/>
              </w:rPr>
              <w:t xml:space="preserve">, E., </w:t>
            </w:r>
            <w:proofErr w:type="spellStart"/>
            <w:r w:rsidRPr="00BA0A77">
              <w:rPr>
                <w:rFonts w:ascii="Times New Roman" w:eastAsia="新細明體" w:hAnsi="Times New Roman" w:cs="Times New Roman"/>
                <w:color w:val="000000" w:themeColor="text1"/>
                <w:sz w:val="18"/>
                <w:szCs w:val="18"/>
                <w:u w:color="FF0000"/>
                <w:lang w:val="en-AU" w:eastAsia="zh-TW"/>
              </w:rPr>
              <w:t>Goetzmann</w:t>
            </w:r>
            <w:proofErr w:type="spellEnd"/>
            <w:r w:rsidRPr="00BA0A77">
              <w:rPr>
                <w:rFonts w:ascii="Times New Roman" w:eastAsia="新細明體" w:hAnsi="Times New Roman" w:cs="Times New Roman"/>
                <w:color w:val="000000" w:themeColor="text1"/>
                <w:sz w:val="18"/>
                <w:szCs w:val="18"/>
                <w:u w:color="FF0000"/>
                <w:lang w:val="en-AU" w:eastAsia="zh-TW"/>
              </w:rPr>
              <w:t xml:space="preserve">, W. N., &amp; </w:t>
            </w:r>
            <w:proofErr w:type="spellStart"/>
            <w:r w:rsidRPr="00BA0A77">
              <w:rPr>
                <w:rFonts w:ascii="Times New Roman" w:eastAsia="新細明體" w:hAnsi="Times New Roman" w:cs="Times New Roman"/>
                <w:color w:val="000000" w:themeColor="text1"/>
                <w:sz w:val="18"/>
                <w:szCs w:val="18"/>
                <w:u w:color="FF0000"/>
                <w:lang w:val="en-AU" w:eastAsia="zh-TW"/>
              </w:rPr>
              <w:t>Rouwenhorst</w:t>
            </w:r>
            <w:proofErr w:type="spellEnd"/>
            <w:r w:rsidRPr="00BA0A77">
              <w:rPr>
                <w:rFonts w:ascii="Times New Roman" w:eastAsia="新細明體" w:hAnsi="Times New Roman" w:cs="Times New Roman"/>
                <w:color w:val="000000" w:themeColor="text1"/>
                <w:sz w:val="18"/>
                <w:szCs w:val="18"/>
                <w:u w:color="FF0000"/>
                <w:lang w:val="en-AU" w:eastAsia="zh-TW"/>
              </w:rPr>
              <w:t>, K. G. (2006). Pairs trading: Performance of a relative-value arbitrage rule. </w:t>
            </w:r>
            <w:r w:rsidRPr="00BA0A77">
              <w:rPr>
                <w:rFonts w:ascii="Times New Roman" w:eastAsia="新細明體" w:hAnsi="Times New Roman" w:cs="Times New Roman"/>
                <w:i/>
                <w:iCs/>
                <w:color w:val="000000" w:themeColor="text1"/>
                <w:sz w:val="18"/>
                <w:szCs w:val="18"/>
                <w:u w:color="FF0000"/>
                <w:lang w:val="en-AU" w:eastAsia="zh-TW"/>
              </w:rPr>
              <w:t>The review of financial studies</w:t>
            </w:r>
            <w:r w:rsidRPr="00BA0A77">
              <w:rPr>
                <w:rFonts w:ascii="Times New Roman" w:eastAsia="新細明體" w:hAnsi="Times New Roman" w:cs="Times New Roman"/>
                <w:color w:val="000000" w:themeColor="text1"/>
                <w:sz w:val="18"/>
                <w:szCs w:val="18"/>
                <w:u w:color="FF0000"/>
                <w:lang w:val="en-AU" w:eastAsia="zh-TW"/>
              </w:rPr>
              <w:t>, </w:t>
            </w:r>
            <w:r w:rsidRPr="00BA0A77">
              <w:rPr>
                <w:rFonts w:ascii="Times New Roman" w:eastAsia="新細明體" w:hAnsi="Times New Roman" w:cs="Times New Roman"/>
                <w:i/>
                <w:iCs/>
                <w:color w:val="000000" w:themeColor="text1"/>
                <w:sz w:val="18"/>
                <w:szCs w:val="18"/>
                <w:u w:color="FF0000"/>
                <w:lang w:val="en-AU" w:eastAsia="zh-TW"/>
              </w:rPr>
              <w:t>19</w:t>
            </w:r>
            <w:r w:rsidRPr="00BA0A77">
              <w:rPr>
                <w:rFonts w:ascii="Times New Roman" w:eastAsia="新細明體" w:hAnsi="Times New Roman" w:cs="Times New Roman"/>
                <w:color w:val="000000" w:themeColor="text1"/>
                <w:sz w:val="18"/>
                <w:szCs w:val="18"/>
                <w:u w:color="FF0000"/>
                <w:lang w:val="en-AU" w:eastAsia="zh-TW"/>
              </w:rPr>
              <w:t>(3), 797-827.</w:t>
            </w:r>
            <w:r w:rsidR="00E05A50">
              <w:rPr>
                <w:rFonts w:hint="eastAsia"/>
              </w:rPr>
              <w:t xml:space="preserve"> </w:t>
            </w:r>
            <w:r w:rsidR="00E05A50" w:rsidRPr="00E05A50">
              <w:rPr>
                <w:rFonts w:ascii="Times New Roman" w:eastAsia="新細明體" w:hAnsi="Times New Roman" w:cs="Times New Roman" w:hint="eastAsia"/>
                <w:color w:val="000000" w:themeColor="text1"/>
                <w:sz w:val="18"/>
                <w:szCs w:val="18"/>
                <w:u w:color="FF0000"/>
                <w:lang w:val="en-AU" w:eastAsia="zh-TW"/>
              </w:rPr>
              <w:t>傳統配對交易對照基準</w:t>
            </w:r>
            <w:r w:rsidR="00E05A50" w:rsidRPr="00E05A50">
              <w:rPr>
                <w:rFonts w:ascii="Times New Roman" w:eastAsia="新細明體" w:hAnsi="Times New Roman" w:cs="Times New Roman" w:hint="eastAsia"/>
                <w:color w:val="000000" w:themeColor="text1"/>
                <w:sz w:val="18"/>
                <w:szCs w:val="18"/>
                <w:u w:color="FF0000"/>
                <w:lang w:val="en-AU" w:eastAsia="zh-TW"/>
              </w:rPr>
              <w:t xml:space="preserve"> (Baseline Model)</w:t>
            </w:r>
            <w:r w:rsidR="00E05A50" w:rsidRPr="00E05A50">
              <w:rPr>
                <w:rFonts w:ascii="Times New Roman" w:eastAsia="新細明體" w:hAnsi="Times New Roman" w:cs="Times New Roman" w:hint="eastAsia"/>
                <w:color w:val="000000" w:themeColor="text1"/>
                <w:sz w:val="18"/>
                <w:szCs w:val="18"/>
                <w:u w:color="FF0000"/>
                <w:lang w:val="en-AU" w:eastAsia="zh-TW"/>
              </w:rPr>
              <w:t>。</w:t>
            </w:r>
          </w:p>
          <w:p w14:paraId="057B8200" w14:textId="201E3F69" w:rsidR="00E05A50" w:rsidRDefault="00E05A50" w:rsidP="004E2207">
            <w:pPr>
              <w:pStyle w:val="Body"/>
              <w:numPr>
                <w:ilvl w:val="0"/>
                <w:numId w:val="8"/>
              </w:numPr>
              <w:jc w:val="both"/>
              <w:rPr>
                <w:rFonts w:ascii="Times New Roman" w:eastAsia="新細明體" w:hAnsi="Times New Roman" w:cs="Times New Roman"/>
                <w:color w:val="000000" w:themeColor="text1"/>
                <w:sz w:val="18"/>
                <w:szCs w:val="18"/>
                <w:u w:color="FF0000"/>
                <w:lang w:val="en-AU" w:eastAsia="zh-TW"/>
              </w:rPr>
            </w:pPr>
            <w:r w:rsidRPr="00E05A50">
              <w:rPr>
                <w:rFonts w:ascii="Times New Roman" w:eastAsia="新細明體" w:hAnsi="Times New Roman" w:cs="Times New Roman"/>
                <w:color w:val="000000" w:themeColor="text1"/>
                <w:sz w:val="18"/>
                <w:szCs w:val="18"/>
                <w:u w:color="FF0000"/>
                <w:lang w:val="en-AU" w:eastAsia="zh-TW"/>
              </w:rPr>
              <w:t xml:space="preserve">Chen, H., Chen, S. J., Chen, Z., &amp; Li, F. (2019). Empirical investigation of an equity pairs trading strategy. </w:t>
            </w:r>
            <w:r w:rsidRPr="00E05A50">
              <w:rPr>
                <w:rFonts w:ascii="Times New Roman" w:eastAsia="新細明體" w:hAnsi="Times New Roman" w:cs="Times New Roman"/>
                <w:i/>
                <w:iCs/>
                <w:color w:val="000000" w:themeColor="text1"/>
                <w:sz w:val="18"/>
                <w:szCs w:val="18"/>
                <w:u w:color="FF0000"/>
                <w:lang w:val="en-AU" w:eastAsia="zh-TW"/>
              </w:rPr>
              <w:t>Management Science</w:t>
            </w:r>
            <w:r w:rsidRPr="00E05A50">
              <w:rPr>
                <w:rFonts w:ascii="Times New Roman" w:eastAsia="新細明體" w:hAnsi="Times New Roman" w:cs="Times New Roman"/>
                <w:color w:val="000000" w:themeColor="text1"/>
                <w:sz w:val="18"/>
                <w:szCs w:val="18"/>
                <w:u w:color="FF0000"/>
                <w:lang w:val="en-AU" w:eastAsia="zh-TW"/>
              </w:rPr>
              <w:t>, 65(1), 370-389.</w:t>
            </w:r>
            <w:r w:rsidRPr="00E05A50">
              <w:rPr>
                <w:rFonts w:asciiTheme="minorHAnsi" w:eastAsiaTheme="minorEastAsia" w:hAnsiTheme="minorHAnsi" w:cstheme="minorBidi"/>
                <w:b/>
                <w:bCs/>
                <w:color w:val="auto"/>
                <w:sz w:val="22"/>
                <w:szCs w:val="22"/>
                <w:bdr w:val="none" w:sz="0" w:space="0" w:color="auto"/>
                <w:lang w:val="en-AU" w:eastAsia="en-US"/>
              </w:rPr>
              <w:t xml:space="preserve"> </w:t>
            </w:r>
            <w:r w:rsidRPr="00E05A50">
              <w:rPr>
                <w:rFonts w:ascii="Times New Roman" w:eastAsia="新細明體" w:hAnsi="Times New Roman" w:cs="Times New Roman"/>
                <w:b/>
                <w:bCs/>
                <w:color w:val="000000" w:themeColor="text1"/>
                <w:sz w:val="18"/>
                <w:szCs w:val="18"/>
                <w:u w:color="FF0000"/>
                <w:lang w:val="en-AU" w:eastAsia="zh-TW"/>
              </w:rPr>
              <w:t>配對交易獲利來源與經濟意涵論證</w:t>
            </w:r>
            <w:r w:rsidRPr="00E05A50">
              <w:rPr>
                <w:rFonts w:ascii="Times New Roman" w:eastAsia="新細明體" w:hAnsi="Times New Roman" w:cs="Times New Roman"/>
                <w:color w:val="000000" w:themeColor="text1"/>
                <w:sz w:val="18"/>
                <w:szCs w:val="18"/>
                <w:u w:color="FF0000"/>
                <w:lang w:val="en-AU" w:eastAsia="zh-TW"/>
              </w:rPr>
              <w:t>。</w:t>
            </w:r>
          </w:p>
          <w:p w14:paraId="6E0A1C5D" w14:textId="4BAE5DD3" w:rsidR="00E05A50" w:rsidRPr="00E05A50" w:rsidRDefault="00E05A50" w:rsidP="00E05A50">
            <w:pPr>
              <w:pStyle w:val="Body"/>
              <w:numPr>
                <w:ilvl w:val="0"/>
                <w:numId w:val="8"/>
              </w:numPr>
              <w:jc w:val="both"/>
              <w:rPr>
                <w:rFonts w:ascii="Times New Roman" w:eastAsia="新細明體" w:hAnsi="Times New Roman" w:cs="Times New Roman" w:hint="eastAsia"/>
                <w:color w:val="000000" w:themeColor="text1"/>
                <w:sz w:val="18"/>
                <w:szCs w:val="18"/>
                <w:u w:color="FF0000"/>
                <w:lang w:val="en-AU" w:eastAsia="zh-TW"/>
              </w:rPr>
            </w:pPr>
            <w:r w:rsidRPr="00E05A50">
              <w:rPr>
                <w:rFonts w:ascii="Times New Roman" w:eastAsia="新細明體" w:hAnsi="Times New Roman" w:cs="Times New Roman"/>
                <w:color w:val="000000" w:themeColor="text1"/>
                <w:sz w:val="18"/>
                <w:szCs w:val="18"/>
                <w:u w:color="FF0000"/>
                <w:lang w:val="en-AU" w:eastAsia="zh-TW"/>
              </w:rPr>
              <w:t xml:space="preserve">Do, B. H., &amp; Faff, R. W. (2012). Are pairs trading profits robust to trading costs? </w:t>
            </w:r>
            <w:r w:rsidRPr="00E05A50">
              <w:rPr>
                <w:rFonts w:ascii="Times New Roman" w:eastAsia="新細明體" w:hAnsi="Times New Roman" w:cs="Times New Roman"/>
                <w:i/>
                <w:iCs/>
                <w:color w:val="000000" w:themeColor="text1"/>
                <w:sz w:val="18"/>
                <w:szCs w:val="18"/>
                <w:u w:color="FF0000"/>
                <w:lang w:val="en-AU" w:eastAsia="zh-TW"/>
              </w:rPr>
              <w:t>Journal of Financial Research</w:t>
            </w:r>
            <w:r w:rsidRPr="00E05A50">
              <w:rPr>
                <w:rFonts w:ascii="Times New Roman" w:eastAsia="新細明體" w:hAnsi="Times New Roman" w:cs="Times New Roman"/>
                <w:color w:val="000000" w:themeColor="text1"/>
                <w:sz w:val="18"/>
                <w:szCs w:val="18"/>
                <w:u w:color="FF0000"/>
                <w:lang w:val="en-AU" w:eastAsia="zh-TW"/>
              </w:rPr>
              <w:t>, 35(2), 261-287.</w:t>
            </w:r>
            <w:r w:rsidRPr="00E05A50">
              <w:rPr>
                <w:rFonts w:asciiTheme="minorHAnsi" w:eastAsiaTheme="minorEastAsia" w:hAnsiTheme="minorHAnsi" w:cstheme="minorBidi"/>
                <w:b/>
                <w:bCs/>
                <w:color w:val="auto"/>
                <w:sz w:val="22"/>
                <w:szCs w:val="22"/>
                <w:bdr w:val="none" w:sz="0" w:space="0" w:color="auto"/>
                <w:lang w:val="en-AU" w:eastAsia="en-US"/>
              </w:rPr>
              <w:t xml:space="preserve"> </w:t>
            </w:r>
            <w:r w:rsidRPr="00E05A50">
              <w:rPr>
                <w:rFonts w:ascii="Times New Roman" w:eastAsia="新細明體" w:hAnsi="Times New Roman" w:cs="Times New Roman"/>
                <w:b/>
                <w:bCs/>
                <w:color w:val="000000" w:themeColor="text1"/>
                <w:sz w:val="18"/>
                <w:szCs w:val="18"/>
                <w:u w:color="FF0000"/>
                <w:lang w:val="en-AU" w:eastAsia="zh-TW"/>
              </w:rPr>
              <w:t>市場摩擦與交易成本控制依據</w:t>
            </w:r>
            <w:r w:rsidRPr="00E05A50">
              <w:rPr>
                <w:rFonts w:ascii="Times New Roman" w:eastAsia="新細明體" w:hAnsi="Times New Roman" w:cs="Times New Roman"/>
                <w:color w:val="000000" w:themeColor="text1"/>
                <w:sz w:val="18"/>
                <w:szCs w:val="18"/>
                <w:u w:color="FF0000"/>
                <w:lang w:val="en-AU" w:eastAsia="zh-TW"/>
              </w:rPr>
              <w:t>。</w:t>
            </w:r>
          </w:p>
          <w:p w14:paraId="58E68A3D" w14:textId="42D88EFA" w:rsidR="004E2207" w:rsidRPr="004E2207" w:rsidRDefault="00BA0A77" w:rsidP="004E2207">
            <w:pPr>
              <w:pStyle w:val="Body"/>
              <w:numPr>
                <w:ilvl w:val="0"/>
                <w:numId w:val="8"/>
              </w:numPr>
              <w:jc w:val="both"/>
              <w:rPr>
                <w:rFonts w:ascii="Times New Roman" w:eastAsia="新細明體" w:hAnsi="Times New Roman" w:cs="Times New Roman"/>
                <w:color w:val="000000" w:themeColor="text1"/>
                <w:sz w:val="18"/>
                <w:szCs w:val="18"/>
                <w:u w:color="FF0000"/>
                <w:lang w:eastAsia="zh-TW"/>
              </w:rPr>
            </w:pPr>
            <w:r w:rsidRPr="00BA0A77">
              <w:rPr>
                <w:rFonts w:ascii="Times New Roman" w:eastAsia="新細明體" w:hAnsi="Times New Roman" w:cs="Times New Roman"/>
                <w:color w:val="000000" w:themeColor="text1"/>
                <w:sz w:val="18"/>
                <w:szCs w:val="18"/>
                <w:u w:color="FF0000"/>
                <w:lang w:val="en-AU" w:eastAsia="zh-TW"/>
              </w:rPr>
              <w:t>Sun, Y. (2025). </w:t>
            </w:r>
            <w:r w:rsidRPr="00BA0A77">
              <w:rPr>
                <w:rFonts w:ascii="Times New Roman" w:eastAsia="新細明體" w:hAnsi="Times New Roman" w:cs="Times New Roman"/>
                <w:i/>
                <w:iCs/>
                <w:color w:val="000000" w:themeColor="text1"/>
                <w:sz w:val="18"/>
                <w:szCs w:val="18"/>
                <w:u w:color="FF0000"/>
                <w:lang w:val="en-AU" w:eastAsia="zh-TW"/>
              </w:rPr>
              <w:t>A survey of statistical arbitrage pair trading with machine learning, deep learning, and reinforcement learning methods</w:t>
            </w:r>
            <w:r w:rsidRPr="00BA0A77">
              <w:rPr>
                <w:rFonts w:ascii="Times New Roman" w:eastAsia="新細明體" w:hAnsi="Times New Roman" w:cs="Times New Roman"/>
                <w:color w:val="000000" w:themeColor="text1"/>
                <w:sz w:val="18"/>
                <w:szCs w:val="18"/>
                <w:u w:color="FF0000"/>
                <w:lang w:val="en-AU" w:eastAsia="zh-TW"/>
              </w:rPr>
              <w:t> (No. 2025-22).</w:t>
            </w:r>
          </w:p>
          <w:p w14:paraId="01EB2248" w14:textId="76068C3C" w:rsidR="00A36EEA" w:rsidRPr="00A36EEA" w:rsidRDefault="00A36EEA" w:rsidP="00A36EEA">
            <w:pPr>
              <w:pStyle w:val="Body"/>
              <w:jc w:val="both"/>
              <w:rPr>
                <w:rFonts w:ascii="Times New Roman" w:eastAsia="新細明體" w:hAnsi="Times New Roman" w:cs="Times New Roman"/>
                <w:color w:val="000000" w:themeColor="text1"/>
                <w:sz w:val="18"/>
                <w:szCs w:val="18"/>
                <w:u w:color="FF0000"/>
                <w:lang w:eastAsia="zh-TW"/>
              </w:rPr>
            </w:pPr>
            <w:r w:rsidRPr="00A36EEA">
              <w:rPr>
                <w:rFonts w:ascii="Times New Roman" w:eastAsia="新細明體" w:hAnsi="Times New Roman" w:cs="Times New Roman"/>
                <w:color w:val="000000" w:themeColor="text1"/>
                <w:sz w:val="18"/>
                <w:szCs w:val="18"/>
                <w:u w:color="FF0000"/>
                <w:lang w:val="en-AU" w:eastAsia="zh-TW"/>
              </w:rPr>
              <w:t>無監督動態分群</w:t>
            </w:r>
            <w:r>
              <w:rPr>
                <w:rFonts w:ascii="Times New Roman" w:eastAsia="新細明體" w:hAnsi="Times New Roman" w:cs="Times New Roman" w:hint="eastAsia"/>
                <w:color w:val="000000" w:themeColor="text1"/>
                <w:sz w:val="18"/>
                <w:szCs w:val="18"/>
                <w:u w:color="FF0000"/>
                <w:lang w:val="en-AU" w:eastAsia="zh-TW"/>
              </w:rPr>
              <w:t>(</w:t>
            </w:r>
            <w:r w:rsidRPr="00A36EEA">
              <w:rPr>
                <w:rFonts w:ascii="Times New Roman" w:eastAsia="新細明體" w:hAnsi="Times New Roman" w:cs="Times New Roman"/>
                <w:color w:val="000000" w:themeColor="text1"/>
                <w:sz w:val="18"/>
                <w:szCs w:val="18"/>
                <w:u w:color="FF0000"/>
                <w:lang w:val="en-AU" w:eastAsia="zh-TW"/>
              </w:rPr>
              <w:t>選股優化</w:t>
            </w:r>
            <w:r>
              <w:rPr>
                <w:rFonts w:ascii="Times New Roman" w:eastAsia="新細明體" w:hAnsi="Times New Roman" w:cs="Times New Roman" w:hint="eastAsia"/>
                <w:color w:val="000000" w:themeColor="text1"/>
                <w:sz w:val="18"/>
                <w:szCs w:val="18"/>
                <w:u w:color="FF0000"/>
                <w:lang w:val="en-AU" w:eastAsia="zh-TW"/>
              </w:rPr>
              <w:t>)</w:t>
            </w:r>
          </w:p>
          <w:p w14:paraId="4E94FDCC" w14:textId="079353B6" w:rsidR="004E2207" w:rsidRPr="004E2207" w:rsidRDefault="00BA0A77" w:rsidP="004E2207">
            <w:pPr>
              <w:pStyle w:val="Body"/>
              <w:numPr>
                <w:ilvl w:val="0"/>
                <w:numId w:val="9"/>
              </w:numPr>
              <w:jc w:val="both"/>
              <w:rPr>
                <w:rFonts w:ascii="Times New Roman" w:eastAsia="新細明體" w:hAnsi="Times New Roman" w:cs="Times New Roman"/>
                <w:color w:val="000000" w:themeColor="text1"/>
                <w:sz w:val="18"/>
                <w:szCs w:val="18"/>
                <w:u w:color="FF0000"/>
                <w:lang w:eastAsia="zh-TW"/>
              </w:rPr>
            </w:pPr>
            <w:r w:rsidRPr="00BA0A77">
              <w:rPr>
                <w:rFonts w:ascii="Times New Roman" w:eastAsia="新細明體" w:hAnsi="Times New Roman" w:cs="Times New Roman"/>
                <w:color w:val="000000" w:themeColor="text1"/>
                <w:sz w:val="18"/>
                <w:szCs w:val="18"/>
                <w:u w:color="FF0000"/>
                <w:lang w:val="en-AU" w:eastAsia="zh-TW"/>
              </w:rPr>
              <w:t xml:space="preserve">Han, C., He, Z., &amp; </w:t>
            </w:r>
            <w:proofErr w:type="spellStart"/>
            <w:r w:rsidRPr="00BA0A77">
              <w:rPr>
                <w:rFonts w:ascii="Times New Roman" w:eastAsia="新細明體" w:hAnsi="Times New Roman" w:cs="Times New Roman"/>
                <w:color w:val="000000" w:themeColor="text1"/>
                <w:sz w:val="18"/>
                <w:szCs w:val="18"/>
                <w:u w:color="FF0000"/>
                <w:lang w:val="en-AU" w:eastAsia="zh-TW"/>
              </w:rPr>
              <w:t>Toh</w:t>
            </w:r>
            <w:proofErr w:type="spellEnd"/>
            <w:r w:rsidRPr="00BA0A77">
              <w:rPr>
                <w:rFonts w:ascii="Times New Roman" w:eastAsia="新細明體" w:hAnsi="Times New Roman" w:cs="Times New Roman"/>
                <w:color w:val="000000" w:themeColor="text1"/>
                <w:sz w:val="18"/>
                <w:szCs w:val="18"/>
                <w:u w:color="FF0000"/>
                <w:lang w:val="en-AU" w:eastAsia="zh-TW"/>
              </w:rPr>
              <w:t>, A. J. W. (2023). Pairs trading via unsupervised learning. </w:t>
            </w:r>
            <w:r w:rsidRPr="00BA0A77">
              <w:rPr>
                <w:rFonts w:ascii="Times New Roman" w:eastAsia="新細明體" w:hAnsi="Times New Roman" w:cs="Times New Roman"/>
                <w:i/>
                <w:iCs/>
                <w:color w:val="000000" w:themeColor="text1"/>
                <w:sz w:val="18"/>
                <w:szCs w:val="18"/>
                <w:u w:color="FF0000"/>
                <w:lang w:val="en-AU" w:eastAsia="zh-TW"/>
              </w:rPr>
              <w:t>European Journal of Operational Research</w:t>
            </w:r>
            <w:r w:rsidRPr="00BA0A77">
              <w:rPr>
                <w:rFonts w:ascii="Times New Roman" w:eastAsia="新細明體" w:hAnsi="Times New Roman" w:cs="Times New Roman"/>
                <w:color w:val="000000" w:themeColor="text1"/>
                <w:sz w:val="18"/>
                <w:szCs w:val="18"/>
                <w:u w:color="FF0000"/>
                <w:lang w:val="en-AU" w:eastAsia="zh-TW"/>
              </w:rPr>
              <w:t>, </w:t>
            </w:r>
            <w:r w:rsidRPr="00BA0A77">
              <w:rPr>
                <w:rFonts w:ascii="Times New Roman" w:eastAsia="新細明體" w:hAnsi="Times New Roman" w:cs="Times New Roman"/>
                <w:i/>
                <w:iCs/>
                <w:color w:val="000000" w:themeColor="text1"/>
                <w:sz w:val="18"/>
                <w:szCs w:val="18"/>
                <w:u w:color="FF0000"/>
                <w:lang w:val="en-AU" w:eastAsia="zh-TW"/>
              </w:rPr>
              <w:t>307</w:t>
            </w:r>
            <w:r w:rsidRPr="00BA0A77">
              <w:rPr>
                <w:rFonts w:ascii="Times New Roman" w:eastAsia="新細明體" w:hAnsi="Times New Roman" w:cs="Times New Roman"/>
                <w:color w:val="000000" w:themeColor="text1"/>
                <w:sz w:val="18"/>
                <w:szCs w:val="18"/>
                <w:u w:color="FF0000"/>
                <w:lang w:val="en-AU" w:eastAsia="zh-TW"/>
              </w:rPr>
              <w:t>(2), 929-947.</w:t>
            </w:r>
            <w:r w:rsidR="00E05A50" w:rsidRPr="00E05A50">
              <w:rPr>
                <w:rFonts w:asciiTheme="minorHAnsi" w:eastAsiaTheme="minorEastAsia" w:hAnsiTheme="minorHAnsi" w:cstheme="minorBidi"/>
                <w:b/>
                <w:bCs/>
                <w:color w:val="auto"/>
                <w:sz w:val="22"/>
                <w:szCs w:val="22"/>
                <w:bdr w:val="none" w:sz="0" w:space="0" w:color="auto"/>
                <w:lang w:val="en-AU" w:eastAsia="en-US"/>
              </w:rPr>
              <w:t xml:space="preserve"> </w:t>
            </w:r>
            <w:r w:rsidR="00E05A50" w:rsidRPr="00E05A50">
              <w:rPr>
                <w:rFonts w:ascii="Times New Roman" w:eastAsia="新細明體" w:hAnsi="Times New Roman" w:cs="Times New Roman"/>
                <w:b/>
                <w:bCs/>
                <w:color w:val="000000" w:themeColor="text1"/>
                <w:sz w:val="18"/>
                <w:szCs w:val="18"/>
                <w:u w:color="FF0000"/>
                <w:lang w:val="en-AU" w:eastAsia="zh-TW"/>
              </w:rPr>
              <w:t>非監督式分群選股模組之理論核心</w:t>
            </w:r>
            <w:r w:rsidR="00E05A50" w:rsidRPr="00E05A50">
              <w:rPr>
                <w:rFonts w:ascii="Times New Roman" w:eastAsia="新細明體" w:hAnsi="Times New Roman" w:cs="Times New Roman"/>
                <w:color w:val="000000" w:themeColor="text1"/>
                <w:sz w:val="18"/>
                <w:szCs w:val="18"/>
                <w:u w:color="FF0000"/>
                <w:lang w:val="en-AU" w:eastAsia="zh-TW"/>
              </w:rPr>
              <w:t>。</w:t>
            </w:r>
          </w:p>
          <w:p w14:paraId="584C5D2B" w14:textId="6B72B033" w:rsidR="004E2207" w:rsidRPr="004E2207" w:rsidRDefault="004E2207" w:rsidP="004E2207">
            <w:pPr>
              <w:pStyle w:val="Body"/>
              <w:numPr>
                <w:ilvl w:val="0"/>
                <w:numId w:val="9"/>
              </w:numPr>
              <w:jc w:val="both"/>
              <w:rPr>
                <w:rFonts w:ascii="Times New Roman" w:eastAsia="新細明體" w:hAnsi="Times New Roman" w:cs="Times New Roman"/>
                <w:color w:val="000000" w:themeColor="text1"/>
                <w:sz w:val="18"/>
                <w:szCs w:val="18"/>
                <w:u w:color="FF0000"/>
                <w:lang w:eastAsia="zh-TW"/>
              </w:rPr>
            </w:pPr>
            <w:r w:rsidRPr="004E2207">
              <w:rPr>
                <w:rFonts w:ascii="Times New Roman" w:eastAsia="新細明體" w:hAnsi="Times New Roman" w:cs="Times New Roman"/>
                <w:color w:val="000000" w:themeColor="text1"/>
                <w:sz w:val="18"/>
                <w:szCs w:val="18"/>
                <w:u w:color="FF0000"/>
                <w:lang w:val="en-AU" w:eastAsia="zh-TW"/>
              </w:rPr>
              <w:t>許鈞翔（</w:t>
            </w:r>
            <w:r w:rsidRPr="004E2207">
              <w:rPr>
                <w:rFonts w:ascii="Times New Roman" w:eastAsia="新細明體" w:hAnsi="Times New Roman" w:cs="Times New Roman"/>
                <w:color w:val="000000" w:themeColor="text1"/>
                <w:sz w:val="18"/>
                <w:szCs w:val="18"/>
                <w:u w:color="FF0000"/>
                <w:lang w:val="en-AU" w:eastAsia="zh-TW"/>
              </w:rPr>
              <w:t>2025</w:t>
            </w:r>
            <w:r w:rsidRPr="004E2207">
              <w:rPr>
                <w:rFonts w:ascii="Times New Roman" w:eastAsia="新細明體" w:hAnsi="Times New Roman" w:cs="Times New Roman"/>
                <w:color w:val="000000" w:themeColor="text1"/>
                <w:sz w:val="18"/>
                <w:szCs w:val="18"/>
                <w:u w:color="FF0000"/>
                <w:lang w:val="en-AU" w:eastAsia="zh-TW"/>
              </w:rPr>
              <w:t>）。最小距離法結合動態時間校正之配對交易研究</w:t>
            </w:r>
            <w:r w:rsidR="00E05A50">
              <w:rPr>
                <w:rFonts w:ascii="Times New Roman" w:eastAsia="新細明體" w:hAnsi="Times New Roman" w:cs="Times New Roman" w:hint="eastAsia"/>
                <w:color w:val="000000" w:themeColor="text1"/>
                <w:sz w:val="18"/>
                <w:szCs w:val="18"/>
                <w:u w:color="FF0000"/>
                <w:lang w:val="en-AU" w:eastAsia="zh-TW"/>
              </w:rPr>
              <w:t>。</w:t>
            </w:r>
            <w:r w:rsidR="00E05A50" w:rsidRPr="00E05A50">
              <w:rPr>
                <w:rFonts w:ascii="Times New Roman" w:eastAsia="新細明體" w:hAnsi="Times New Roman" w:cs="Times New Roman"/>
                <w:b/>
                <w:bCs/>
                <w:color w:val="000000" w:themeColor="text1"/>
                <w:sz w:val="18"/>
                <w:szCs w:val="18"/>
                <w:u w:color="FF0000"/>
                <w:lang w:val="en-AU" w:eastAsia="zh-TW"/>
              </w:rPr>
              <w:t>動態時序特徵提取與選股方法學參考</w:t>
            </w:r>
            <w:r w:rsidR="00E05A50" w:rsidRPr="00E05A50">
              <w:rPr>
                <w:rFonts w:ascii="Times New Roman" w:eastAsia="新細明體" w:hAnsi="Times New Roman" w:cs="Times New Roman"/>
                <w:color w:val="000000" w:themeColor="text1"/>
                <w:sz w:val="18"/>
                <w:szCs w:val="18"/>
                <w:u w:color="FF0000"/>
                <w:lang w:val="en-AU" w:eastAsia="zh-TW"/>
              </w:rPr>
              <w:t>。</w:t>
            </w:r>
          </w:p>
          <w:p w14:paraId="225A871A" w14:textId="71FA373D" w:rsidR="004E2207" w:rsidRPr="004E2207" w:rsidRDefault="00A36EEA" w:rsidP="004E2207">
            <w:pPr>
              <w:pStyle w:val="Body"/>
              <w:jc w:val="both"/>
              <w:rPr>
                <w:rFonts w:ascii="Times New Roman" w:eastAsia="新細明體" w:hAnsi="Times New Roman" w:cs="Times New Roman"/>
                <w:color w:val="000000" w:themeColor="text1"/>
                <w:sz w:val="18"/>
                <w:szCs w:val="18"/>
                <w:u w:color="FF0000"/>
                <w:lang w:val="en-AU" w:eastAsia="zh-TW"/>
              </w:rPr>
            </w:pPr>
            <w:r w:rsidRPr="00A36EEA">
              <w:rPr>
                <w:rFonts w:ascii="Times New Roman" w:eastAsia="新細明體" w:hAnsi="Times New Roman" w:cs="Times New Roman"/>
                <w:color w:val="000000" w:themeColor="text1"/>
                <w:sz w:val="18"/>
                <w:szCs w:val="18"/>
                <w:u w:color="FF0000"/>
                <w:lang w:val="en-AU" w:eastAsia="zh-TW"/>
              </w:rPr>
              <w:t>深度強化學習</w:t>
            </w:r>
            <w:r>
              <w:rPr>
                <w:rFonts w:ascii="Times New Roman" w:eastAsia="新細明體" w:hAnsi="Times New Roman" w:cs="Times New Roman" w:hint="eastAsia"/>
                <w:color w:val="000000" w:themeColor="text1"/>
                <w:sz w:val="18"/>
                <w:szCs w:val="18"/>
                <w:u w:color="FF0000"/>
                <w:lang w:val="en-AU" w:eastAsia="zh-TW"/>
              </w:rPr>
              <w:t>(</w:t>
            </w:r>
            <w:r w:rsidRPr="00A36EEA">
              <w:rPr>
                <w:rFonts w:ascii="Times New Roman" w:eastAsia="新細明體" w:hAnsi="Times New Roman" w:cs="Times New Roman"/>
                <w:color w:val="000000" w:themeColor="text1"/>
                <w:sz w:val="18"/>
                <w:szCs w:val="18"/>
                <w:u w:color="FF0000"/>
                <w:lang w:val="en-AU" w:eastAsia="zh-TW"/>
              </w:rPr>
              <w:t>交易決策優化</w:t>
            </w:r>
            <w:r>
              <w:rPr>
                <w:rFonts w:ascii="Times New Roman" w:eastAsia="新細明體" w:hAnsi="Times New Roman" w:cs="Times New Roman" w:hint="eastAsia"/>
                <w:color w:val="000000" w:themeColor="text1"/>
                <w:sz w:val="18"/>
                <w:szCs w:val="18"/>
                <w:u w:color="FF0000"/>
                <w:lang w:val="en-AU" w:eastAsia="zh-TW"/>
              </w:rPr>
              <w:t>)</w:t>
            </w:r>
          </w:p>
          <w:p w14:paraId="26E7E5D8" w14:textId="169FE2B7" w:rsidR="004E2207" w:rsidRPr="004E2207" w:rsidRDefault="00BA0A77" w:rsidP="004E2207">
            <w:pPr>
              <w:pStyle w:val="Body"/>
              <w:numPr>
                <w:ilvl w:val="0"/>
                <w:numId w:val="10"/>
              </w:numPr>
              <w:jc w:val="both"/>
              <w:rPr>
                <w:rFonts w:ascii="Times New Roman" w:eastAsia="新細明體" w:hAnsi="Times New Roman" w:cs="Times New Roman"/>
                <w:color w:val="000000" w:themeColor="text1"/>
                <w:sz w:val="18"/>
                <w:szCs w:val="18"/>
                <w:u w:color="FF0000"/>
                <w:lang w:eastAsia="zh-TW"/>
              </w:rPr>
            </w:pPr>
            <w:r w:rsidRPr="00BA0A77">
              <w:rPr>
                <w:rFonts w:ascii="Times New Roman" w:eastAsia="新細明體" w:hAnsi="Times New Roman" w:cs="Times New Roman"/>
                <w:color w:val="000000" w:themeColor="text1"/>
                <w:sz w:val="18"/>
                <w:szCs w:val="18"/>
                <w:u w:color="FF0000"/>
                <w:lang w:val="en-AU" w:eastAsia="zh-TW"/>
              </w:rPr>
              <w:t>Kim, T., &amp; Kim, H. Y. (2019). Optimizing the Pairs‐Trading Strategy Using Deep Reinforcement Learning with Trading and Stop‐Loss Boundaries. </w:t>
            </w:r>
            <w:r w:rsidRPr="00BA0A77">
              <w:rPr>
                <w:rFonts w:ascii="Times New Roman" w:eastAsia="新細明體" w:hAnsi="Times New Roman" w:cs="Times New Roman"/>
                <w:i/>
                <w:iCs/>
                <w:color w:val="000000" w:themeColor="text1"/>
                <w:sz w:val="18"/>
                <w:szCs w:val="18"/>
                <w:u w:color="FF0000"/>
                <w:lang w:val="en-AU" w:eastAsia="zh-TW"/>
              </w:rPr>
              <w:t>Complexity</w:t>
            </w:r>
            <w:r w:rsidRPr="00BA0A77">
              <w:rPr>
                <w:rFonts w:ascii="Times New Roman" w:eastAsia="新細明體" w:hAnsi="Times New Roman" w:cs="Times New Roman"/>
                <w:color w:val="000000" w:themeColor="text1"/>
                <w:sz w:val="18"/>
                <w:szCs w:val="18"/>
                <w:u w:color="FF0000"/>
                <w:lang w:val="en-AU" w:eastAsia="zh-TW"/>
              </w:rPr>
              <w:t>, </w:t>
            </w:r>
            <w:r w:rsidRPr="00BA0A77">
              <w:rPr>
                <w:rFonts w:ascii="Times New Roman" w:eastAsia="新細明體" w:hAnsi="Times New Roman" w:cs="Times New Roman"/>
                <w:i/>
                <w:iCs/>
                <w:color w:val="000000" w:themeColor="text1"/>
                <w:sz w:val="18"/>
                <w:szCs w:val="18"/>
                <w:u w:color="FF0000"/>
                <w:lang w:val="en-AU" w:eastAsia="zh-TW"/>
              </w:rPr>
              <w:t>2019</w:t>
            </w:r>
            <w:r w:rsidRPr="00BA0A77">
              <w:rPr>
                <w:rFonts w:ascii="Times New Roman" w:eastAsia="新細明體" w:hAnsi="Times New Roman" w:cs="Times New Roman"/>
                <w:color w:val="000000" w:themeColor="text1"/>
                <w:sz w:val="18"/>
                <w:szCs w:val="18"/>
                <w:u w:color="FF0000"/>
                <w:lang w:val="en-AU" w:eastAsia="zh-TW"/>
              </w:rPr>
              <w:t>(1), 3582516.</w:t>
            </w:r>
            <w:r w:rsidR="00E05A50" w:rsidRPr="00E05A50">
              <w:rPr>
                <w:rFonts w:asciiTheme="minorHAnsi" w:eastAsiaTheme="minorEastAsia" w:hAnsiTheme="minorHAnsi" w:cstheme="minorBidi"/>
                <w:b/>
                <w:bCs/>
                <w:color w:val="auto"/>
                <w:sz w:val="22"/>
                <w:szCs w:val="22"/>
                <w:bdr w:val="none" w:sz="0" w:space="0" w:color="auto"/>
                <w:lang w:val="en-AU" w:eastAsia="zh-TW"/>
              </w:rPr>
              <w:t xml:space="preserve"> </w:t>
            </w:r>
            <w:r w:rsidR="00E05A50" w:rsidRPr="00E05A50">
              <w:rPr>
                <w:rFonts w:ascii="Times New Roman" w:eastAsia="新細明體" w:hAnsi="Times New Roman" w:cs="Times New Roman"/>
                <w:b/>
                <w:bCs/>
                <w:color w:val="000000" w:themeColor="text1"/>
                <w:sz w:val="18"/>
                <w:szCs w:val="18"/>
                <w:u w:color="FF0000"/>
                <w:lang w:val="en-AU" w:eastAsia="zh-TW"/>
              </w:rPr>
              <w:t>深度強化學習（</w:t>
            </w:r>
            <w:r w:rsidR="00E05A50" w:rsidRPr="00E05A50">
              <w:rPr>
                <w:rFonts w:ascii="Times New Roman" w:eastAsia="新細明體" w:hAnsi="Times New Roman" w:cs="Times New Roman"/>
                <w:b/>
                <w:bCs/>
                <w:color w:val="000000" w:themeColor="text1"/>
                <w:sz w:val="18"/>
                <w:szCs w:val="18"/>
                <w:u w:color="FF0000"/>
                <w:lang w:val="en-AU" w:eastAsia="zh-TW"/>
              </w:rPr>
              <w:t>DRL</w:t>
            </w:r>
            <w:r w:rsidR="00E05A50" w:rsidRPr="00E05A50">
              <w:rPr>
                <w:rFonts w:ascii="Times New Roman" w:eastAsia="新細明體" w:hAnsi="Times New Roman" w:cs="Times New Roman"/>
                <w:b/>
                <w:bCs/>
                <w:color w:val="000000" w:themeColor="text1"/>
                <w:sz w:val="18"/>
                <w:szCs w:val="18"/>
                <w:u w:color="FF0000"/>
                <w:lang w:val="en-AU" w:eastAsia="zh-TW"/>
              </w:rPr>
              <w:t>）動態邊界決策之創始文獻</w:t>
            </w:r>
            <w:r w:rsidR="00E05A50" w:rsidRPr="00E05A50">
              <w:rPr>
                <w:rFonts w:ascii="Times New Roman" w:eastAsia="新細明體" w:hAnsi="Times New Roman" w:cs="Times New Roman"/>
                <w:color w:val="000000" w:themeColor="text1"/>
                <w:sz w:val="18"/>
                <w:szCs w:val="18"/>
                <w:u w:color="FF0000"/>
                <w:lang w:val="en-AU" w:eastAsia="zh-TW"/>
              </w:rPr>
              <w:t>。</w:t>
            </w:r>
          </w:p>
          <w:p w14:paraId="1402595E" w14:textId="64572136" w:rsidR="004E2207" w:rsidRPr="004E2207" w:rsidRDefault="004E2207" w:rsidP="004E2207">
            <w:pPr>
              <w:pStyle w:val="Body"/>
              <w:numPr>
                <w:ilvl w:val="0"/>
                <w:numId w:val="10"/>
              </w:numPr>
              <w:jc w:val="both"/>
              <w:rPr>
                <w:rFonts w:ascii="Times New Roman" w:eastAsia="新細明體" w:hAnsi="Times New Roman" w:cs="Times New Roman"/>
                <w:color w:val="000000" w:themeColor="text1"/>
                <w:sz w:val="18"/>
                <w:szCs w:val="18"/>
                <w:u w:color="FF0000"/>
                <w:lang w:eastAsia="zh-TW"/>
              </w:rPr>
            </w:pPr>
            <w:r w:rsidRPr="004E2207">
              <w:rPr>
                <w:rFonts w:ascii="Times New Roman" w:eastAsia="新細明體" w:hAnsi="Times New Roman" w:cs="Times New Roman"/>
                <w:color w:val="000000" w:themeColor="text1"/>
                <w:sz w:val="18"/>
                <w:szCs w:val="18"/>
                <w:u w:color="FF0000"/>
                <w:lang w:val="en-AU" w:eastAsia="zh-TW"/>
              </w:rPr>
              <w:t>朱羿璁（</w:t>
            </w:r>
            <w:r w:rsidRPr="004E2207">
              <w:rPr>
                <w:rFonts w:ascii="Times New Roman" w:eastAsia="新細明體" w:hAnsi="Times New Roman" w:cs="Times New Roman"/>
                <w:color w:val="000000" w:themeColor="text1"/>
                <w:sz w:val="18"/>
                <w:szCs w:val="18"/>
                <w:u w:color="FF0000"/>
                <w:lang w:val="en-AU" w:eastAsia="zh-TW"/>
              </w:rPr>
              <w:t>2025</w:t>
            </w:r>
            <w:r w:rsidRPr="004E2207">
              <w:rPr>
                <w:rFonts w:ascii="Times New Roman" w:eastAsia="新細明體" w:hAnsi="Times New Roman" w:cs="Times New Roman"/>
                <w:color w:val="000000" w:themeColor="text1"/>
                <w:sz w:val="18"/>
                <w:szCs w:val="18"/>
                <w:u w:color="FF0000"/>
                <w:lang w:val="en-AU" w:eastAsia="zh-TW"/>
              </w:rPr>
              <w:t>）。結合共整避險比率與混合獎勵設計之強化學習配對交易模型</w:t>
            </w:r>
            <w:r w:rsidR="00E05A50">
              <w:rPr>
                <w:rFonts w:ascii="Times New Roman" w:eastAsia="新細明體" w:hAnsi="Times New Roman" w:cs="Times New Roman" w:hint="eastAsia"/>
                <w:color w:val="000000" w:themeColor="text1"/>
                <w:sz w:val="18"/>
                <w:szCs w:val="18"/>
                <w:u w:color="FF0000"/>
                <w:lang w:val="en-AU" w:eastAsia="zh-TW"/>
              </w:rPr>
              <w:t>。</w:t>
            </w:r>
            <w:r w:rsidR="00E05A50" w:rsidRPr="00E05A50">
              <w:rPr>
                <w:rFonts w:ascii="Times New Roman" w:eastAsia="新細明體" w:hAnsi="Times New Roman" w:cs="Times New Roman"/>
                <w:b/>
                <w:bCs/>
                <w:color w:val="000000" w:themeColor="text1"/>
                <w:sz w:val="18"/>
                <w:szCs w:val="18"/>
                <w:u w:color="FF0000"/>
                <w:lang w:val="en-AU" w:eastAsia="zh-TW"/>
              </w:rPr>
              <w:t xml:space="preserve">PPO </w:t>
            </w:r>
            <w:r w:rsidR="00E05A50" w:rsidRPr="00E05A50">
              <w:rPr>
                <w:rFonts w:ascii="Times New Roman" w:eastAsia="新細明體" w:hAnsi="Times New Roman" w:cs="Times New Roman"/>
                <w:b/>
                <w:bCs/>
                <w:color w:val="000000" w:themeColor="text1"/>
                <w:sz w:val="18"/>
                <w:szCs w:val="18"/>
                <w:u w:color="FF0000"/>
                <w:lang w:val="en-AU" w:eastAsia="zh-TW"/>
              </w:rPr>
              <w:t>算法、動態</w:t>
            </w:r>
            <w:r w:rsidR="00E05A50" w:rsidRPr="00E05A50">
              <w:rPr>
                <w:rFonts w:ascii="Times New Roman" w:eastAsia="新細明體" w:hAnsi="Times New Roman" w:cs="Times New Roman"/>
                <w:b/>
                <w:bCs/>
                <w:color w:val="000000" w:themeColor="text1"/>
                <w:sz w:val="18"/>
                <w:szCs w:val="18"/>
                <w:u w:color="FF0000"/>
                <w:lang w:val="en-AU" w:eastAsia="zh-TW"/>
              </w:rPr>
              <w:t xml:space="preserve"> Beta </w:t>
            </w:r>
            <w:r w:rsidR="00E05A50" w:rsidRPr="00E05A50">
              <w:rPr>
                <w:rFonts w:ascii="Times New Roman" w:eastAsia="新細明體" w:hAnsi="Times New Roman" w:cs="Times New Roman"/>
                <w:b/>
                <w:bCs/>
                <w:color w:val="000000" w:themeColor="text1"/>
                <w:sz w:val="18"/>
                <w:szCs w:val="18"/>
                <w:u w:color="FF0000"/>
                <w:lang w:val="en-AU" w:eastAsia="zh-TW"/>
              </w:rPr>
              <w:t>避險與混合獎勵函數設計參考</w:t>
            </w:r>
            <w:r w:rsidR="00E05A50" w:rsidRPr="00E05A50">
              <w:rPr>
                <w:rFonts w:ascii="Times New Roman" w:eastAsia="新細明體" w:hAnsi="Times New Roman" w:cs="Times New Roman"/>
                <w:color w:val="000000" w:themeColor="text1"/>
                <w:sz w:val="18"/>
                <w:szCs w:val="18"/>
                <w:u w:color="FF0000"/>
                <w:lang w:val="en-AU" w:eastAsia="zh-TW"/>
              </w:rPr>
              <w:t>。</w:t>
            </w:r>
          </w:p>
        </w:tc>
      </w:tr>
      <w:tr w:rsidR="004B232D" w14:paraId="49DAAF53" w14:textId="77777777" w:rsidTr="008D1B53">
        <w:trPr>
          <w:trHeight w:val="670"/>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4642B1CC"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(D) Motivation/Puzzle</w:t>
            </w:r>
          </w:p>
          <w:p w14:paraId="07ABB881" w14:textId="77777777" w:rsidR="004B232D" w:rsidRPr="007730CA" w:rsidRDefault="00E93CA1" w:rsidP="008D1B53">
            <w:pPr>
              <w:jc w:val="both"/>
            </w:pPr>
            <w:r w:rsidRPr="00E93CA1">
              <w:rPr>
                <w:rFonts w:ascii="SimSun" w:eastAsia="新細明體" w:hAnsi="SimSun" w:cs="SimSun" w:hint="eastAsia"/>
                <w:b/>
                <w:bCs/>
                <w:sz w:val="18"/>
                <w:szCs w:val="18"/>
                <w:lang w:eastAsia="zh-TW"/>
              </w:rPr>
              <w:t>研究動機</w:t>
            </w:r>
            <w:r w:rsidRPr="007730CA">
              <w:rPr>
                <w:b/>
                <w:bCs/>
                <w:sz w:val="18"/>
                <w:szCs w:val="18"/>
                <w:lang w:eastAsia="zh-TW"/>
              </w:rPr>
              <w:t>/</w:t>
            </w:r>
            <w:r w:rsidRPr="00E93CA1">
              <w:rPr>
                <w:rFonts w:ascii="SimSun" w:eastAsia="新細明體" w:hAnsi="SimSun" w:cs="SimSun" w:hint="eastAsia"/>
                <w:b/>
                <w:bCs/>
                <w:sz w:val="18"/>
                <w:szCs w:val="18"/>
                <w:lang w:eastAsia="zh-TW"/>
              </w:rPr>
              <w:t>解決疑惑</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D1D4B9" w14:textId="22C054CD" w:rsidR="004B232D" w:rsidRPr="004E2207" w:rsidRDefault="00CB6520" w:rsidP="008D1B53">
            <w:pPr>
              <w:pStyle w:val="Body"/>
              <w:jc w:val="both"/>
              <w:rPr>
                <w:rFonts w:ascii="Times New Roman" w:hAnsi="Times New Roman" w:cs="Times New Roman"/>
                <w:color w:val="000000" w:themeColor="text1"/>
                <w:lang w:eastAsia="zh-TW"/>
              </w:rPr>
            </w:pPr>
            <w:r w:rsidRPr="00CB6520">
              <w:rPr>
                <w:rFonts w:ascii="Times New Roman" w:eastAsia="新細明體" w:hAnsi="Times New Roman" w:cs="Times New Roman" w:hint="eastAsia"/>
                <w:color w:val="000000" w:themeColor="text1"/>
                <w:sz w:val="18"/>
                <w:szCs w:val="18"/>
                <w:u w:color="FF0000"/>
                <w:lang w:eastAsia="zh-TW"/>
              </w:rPr>
              <w:t>傳統配對交易（Gatev et al., 2006）的報酬自 2002 年後持續衰減，文獻普遍轉向以機器學習改良配對選擇或交易決策。然而在交易端這一側，既有將深度強化學習應用於配對交易的研究各自選定一種動作空間——多數賦予智能體每日自由決定持倉的權限——並直接報告績效，未有研究在同一條管線內固定其餘一切、僅變動動作空間本身。動作空間因此是一個被反覆做出、卻從未被當作實驗變因檢視的設計選擇。本研究的動機即在於補上這個消融。此處有一個可以被實驗回答、而文獻尚未回答的張力：逐日自由持倉在表達能力上涵蓋任何固定門檻規則，故若僅以表達能力為準，它應弱優於每期單次門檻選擇；但決策次數愈多，每次決策所依據的訊號愈短、噪音佔比愈高，且每次決策都可能產生一次換手成本。此一取捨在日頻上究竟朝哪個方向傾斜，正是本研究要回答的。另一項促成動機的跨文獻觀察是：報告 AI 於配對交易有效的案例，其資料頻率高度集中於日內，而日頻環境的訊噪比遠低於此，該型態所缺的正是一組日頻的受控對照。</w:t>
            </w:r>
            <w:proofErr w:type="spellStart"/>
            <w:proofErr w:type="spellEnd"/>
          </w:p>
        </w:tc>
      </w:tr>
      <w:tr w:rsidR="004B232D" w14:paraId="48ED1088" w14:textId="77777777" w:rsidTr="008D1B53">
        <w:trPr>
          <w:trHeight w:val="270"/>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6584CF21" w14:textId="77777777" w:rsidR="004B232D" w:rsidRPr="007730CA" w:rsidRDefault="00E93CA1" w:rsidP="008D1B53">
            <w:pPr>
              <w:pStyle w:val="Body"/>
              <w:jc w:val="both"/>
              <w:rPr>
                <w:rFonts w:ascii="Times New Roman" w:hAnsi="Times New Roman" w:cs="Times New Roman"/>
              </w:rPr>
            </w:pPr>
            <w:r w:rsidRPr="00E93CA1">
              <w:rPr>
                <w:rFonts w:ascii="Times New Roman" w:eastAsia="新細明體" w:hAnsi="Times New Roman" w:cs="Times New Roman"/>
                <w:b/>
                <w:bCs/>
                <w:sz w:val="18"/>
                <w:szCs w:val="18"/>
                <w:u w:color="000000"/>
                <w:lang w:eastAsia="zh-TW"/>
              </w:rPr>
              <w:lastRenderedPageBreak/>
              <w:t xml:space="preserve">THREE </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330B05DF" w14:textId="77777777" w:rsidR="004B232D" w:rsidRPr="007730CA" w:rsidRDefault="00E93CA1" w:rsidP="008D1B53">
            <w:pPr>
              <w:pStyle w:val="Body"/>
              <w:jc w:val="both"/>
              <w:rPr>
                <w:rFonts w:ascii="Times New Roman" w:hAnsi="Times New Roman" w:cs="Times New Roman"/>
              </w:rPr>
            </w:pPr>
            <w:r w:rsidRPr="00E93CA1">
              <w:rPr>
                <w:rFonts w:ascii="Times New Roman" w:eastAsia="新細明體" w:hAnsi="Times New Roman" w:cs="Times New Roman"/>
                <w:b/>
                <w:bCs/>
                <w:sz w:val="18"/>
                <w:szCs w:val="18"/>
                <w:u w:color="000000"/>
                <w:lang w:eastAsia="zh-TW"/>
              </w:rPr>
              <w:t>Three</w:t>
            </w:r>
            <w:r w:rsidRPr="00E93CA1">
              <w:rPr>
                <w:rFonts w:ascii="Times New Roman" w:eastAsia="新細明體" w:hAnsi="Times New Roman" w:cs="Times New Roman"/>
                <w:sz w:val="18"/>
                <w:szCs w:val="18"/>
                <w:u w:color="000000"/>
                <w:lang w:eastAsia="zh-TW"/>
              </w:rPr>
              <w:t xml:space="preserve"> core aspects of any empirical research project i.e. the “</w:t>
            </w:r>
            <w:proofErr w:type="spellStart"/>
            <w:r w:rsidRPr="00E93CA1">
              <w:rPr>
                <w:rFonts w:ascii="Times New Roman" w:eastAsia="新細明體" w:hAnsi="Times New Roman" w:cs="Times New Roman"/>
                <w:b/>
                <w:bCs/>
                <w:sz w:val="18"/>
                <w:szCs w:val="18"/>
                <w:u w:color="000000"/>
                <w:lang w:eastAsia="zh-TW"/>
              </w:rPr>
              <w:t>ID</w:t>
            </w:r>
            <w:r w:rsidRPr="00E93CA1">
              <w:rPr>
                <w:rFonts w:ascii="Times New Roman" w:eastAsia="新細明體" w:hAnsi="Times New Roman" w:cs="Times New Roman"/>
                <w:sz w:val="18"/>
                <w:szCs w:val="18"/>
                <w:u w:color="000000"/>
                <w:lang w:eastAsia="zh-TW"/>
              </w:rPr>
              <w:t>io</w:t>
            </w:r>
            <w:r w:rsidRPr="00E93CA1">
              <w:rPr>
                <w:rFonts w:ascii="Times New Roman" w:eastAsia="新細明體" w:hAnsi="Times New Roman" w:cs="Times New Roman"/>
                <w:b/>
                <w:bCs/>
                <w:sz w:val="18"/>
                <w:szCs w:val="18"/>
                <w:u w:color="000000"/>
                <w:lang w:eastAsia="zh-TW"/>
              </w:rPr>
              <w:t>T</w:t>
            </w:r>
            <w:r w:rsidRPr="00E93CA1">
              <w:rPr>
                <w:rFonts w:ascii="Times New Roman" w:eastAsia="新細明體" w:hAnsi="Times New Roman" w:cs="Times New Roman"/>
                <w:sz w:val="18"/>
                <w:szCs w:val="18"/>
                <w:u w:color="000000"/>
                <w:lang w:eastAsia="zh-TW"/>
              </w:rPr>
              <w:t>s</w:t>
            </w:r>
            <w:proofErr w:type="spellEnd"/>
            <w:r w:rsidRPr="00E93CA1">
              <w:rPr>
                <w:rFonts w:ascii="Times New Roman" w:eastAsia="新細明體" w:hAnsi="Times New Roman" w:cs="Times New Roman"/>
                <w:sz w:val="18"/>
                <w:szCs w:val="18"/>
                <w:u w:color="000000"/>
                <w:lang w:eastAsia="zh-TW"/>
              </w:rPr>
              <w:t xml:space="preserve">” guide </w:t>
            </w:r>
            <w:r w:rsidRPr="00E93CA1">
              <w:rPr>
                <w:rFonts w:ascii="SimSun" w:eastAsia="新細明體" w:hAnsi="SimSun" w:cs="SimSun" w:hint="eastAsia"/>
                <w:sz w:val="18"/>
                <w:szCs w:val="18"/>
                <w:u w:color="000000"/>
                <w:lang w:eastAsia="zh-TW"/>
              </w:rPr>
              <w:t>研究課題的三個重要方面</w:t>
            </w:r>
          </w:p>
        </w:tc>
      </w:tr>
      <w:tr w:rsidR="004B232D" w14:paraId="49412B71" w14:textId="77777777" w:rsidTr="008D1B53">
        <w:trPr>
          <w:trHeight w:val="1187"/>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A0070D"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(E) Idea?</w:t>
            </w:r>
          </w:p>
          <w:p w14:paraId="1B3B48CE"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思路？</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5572CB" w14:textId="72C1A6E2" w:rsidR="00C7583D" w:rsidRDefault="00C7583D" w:rsidP="00EC7EC0">
            <w:pPr>
              <w:pStyle w:val="Body"/>
              <w:jc w:val="both"/>
              <w:rPr>
                <w:rFonts w:ascii="Times New Roman" w:eastAsia="新細明體" w:hAnsi="Times New Roman" w:cs="Times New Roman"/>
                <w:b/>
                <w:bCs/>
                <w:color w:val="000000" w:themeColor="text1"/>
                <w:sz w:val="18"/>
                <w:szCs w:val="18"/>
                <w:u w:color="FF0000"/>
                <w:lang w:eastAsia="zh-TW"/>
              </w:rPr>
            </w:pPr>
            <w:r w:rsidRPr="00C7583D">
              <w:rPr>
                <w:rFonts w:ascii="Times New Roman" w:eastAsia="新細明體" w:hAnsi="Times New Roman" w:cs="Times New Roman"/>
                <w:b/>
                <w:bCs/>
                <w:color w:val="000000" w:themeColor="text1"/>
                <w:sz w:val="18"/>
                <w:szCs w:val="18"/>
                <w:u w:color="FF0000"/>
                <w:lang w:val="en-AU" w:eastAsia="zh-TW"/>
              </w:rPr>
              <w:t>一、研究假說。消融部分設三條假說，全部於回測啟動前寫定：H1（換手率）逐日自由持倉的每期進場次數顯著高於每期單次門檻選擇與固定門檻兩個基準；H2（績效）逐日自由持倉的風險調整後報酬不高於每期單次門檻選擇；H3（機制）其績效劣勢主要由換手成本造成，即零成本重算後差距應大幅縮小。交易端的相對效果另設兩條假說，並依實證結果分開陳述：其一，門檻選擇式優於固定門檻——獲支持，五個配對來源方向全正，BH-FDR 校正後 3/5 顯著；其二，非監督式分群優於 GICS 產業分類——未獲支持，且本設計的最小可偵測效果 1.14 個百分點大於參照臂自身的年化績效 0.461 個百分點，故此層僅作描述性陳述，不作統計宣稱。</w:t>
            </w:r>
          </w:p>
          <w:p w14:paraId="7F5572CB" w14:textId="72C1A6E2" w:rsidR="00C7583D" w:rsidRDefault="00C7583D" w:rsidP="00EC7EC0">
            <w:pPr>
              <w:pStyle w:val="Body"/>
              <w:jc w:val="both"/>
              <w:rPr>
                <w:rFonts w:ascii="Times New Roman" w:eastAsia="新細明體" w:hAnsi="Times New Roman" w:cs="Times New Roman"/>
                <w:b/>
                <w:bCs/>
                <w:color w:val="000000" w:themeColor="text1"/>
                <w:sz w:val="18"/>
                <w:szCs w:val="18"/>
                <w:u w:color="FF0000"/>
                <w:lang w:eastAsia="zh-TW"/>
              </w:rPr>
            </w:pPr>
            <w:r w:rsidRPr="00C7583D">
              <w:rPr>
                <w:rFonts w:ascii="Times New Roman" w:eastAsia="新細明體" w:hAnsi="Times New Roman" w:cs="Times New Roman"/>
                <w:b/>
                <w:bCs/>
                <w:color w:val="000000" w:themeColor="text1"/>
                <w:sz w:val="18"/>
                <w:szCs w:val="18"/>
                <w:u w:color="FF0000"/>
                <w:lang w:val="en-AU" w:eastAsia="zh-TW"/>
              </w:rPr>
              <w:t>二、因變數。主要結果變數為每期進場次數（含反向），效果量以總進場數比值表示（不採逐期比值：基準臂約 3% 的期零進場，逐期比值會除以零，而剔除那些期恰好剔掉「基準不交易、處理臂在交易」的期，將系統性低估效果）。次要指標為 Sharpe、年化報酬與最大回撤，其中最大回撤僅作描述性比較，未作顯著性檢定。</w:t>
            </w:r>
          </w:p>
          <w:p w14:paraId="7F5572CB" w14:textId="72C1A6E2" w:rsidR="00C7583D" w:rsidRDefault="00C7583D" w:rsidP="00EC7EC0">
            <w:pPr>
              <w:pStyle w:val="Body"/>
              <w:jc w:val="both"/>
              <w:rPr>
                <w:rFonts w:ascii="Times New Roman" w:eastAsia="新細明體" w:hAnsi="Times New Roman" w:cs="Times New Roman"/>
                <w:b/>
                <w:bCs/>
                <w:color w:val="000000" w:themeColor="text1"/>
                <w:sz w:val="18"/>
                <w:szCs w:val="18"/>
                <w:u w:color="FF0000"/>
                <w:lang w:eastAsia="zh-TW"/>
              </w:rPr>
            </w:pPr>
            <w:r w:rsidRPr="00C7583D">
              <w:rPr>
                <w:rFonts w:ascii="Times New Roman" w:eastAsia="新細明體" w:hAnsi="Times New Roman" w:cs="Times New Roman"/>
                <w:b/>
                <w:bCs/>
                <w:color w:val="000000" w:themeColor="text1"/>
                <w:sz w:val="18"/>
                <w:szCs w:val="18"/>
                <w:u w:color="FF0000"/>
                <w:lang w:val="en-AU" w:eastAsia="zh-TW"/>
              </w:rPr>
              <w:t>三、自變數。唯一受檢變因為動作空間的大小，即每期可做的決策次數（0／1／最多 126）。</w:t>
            </w:r>
          </w:p>
          <w:p w14:paraId="7F5572CB" w14:textId="72C1A6E2" w:rsidR="00C7583D" w:rsidRDefault="00C7583D" w:rsidP="00EC7EC0">
            <w:pPr>
              <w:pStyle w:val="Body"/>
              <w:jc w:val="both"/>
              <w:rPr>
                <w:rFonts w:ascii="Times New Roman" w:eastAsia="新細明體" w:hAnsi="Times New Roman" w:cs="Times New Roman"/>
                <w:b/>
                <w:bCs/>
                <w:color w:val="000000" w:themeColor="text1"/>
                <w:sz w:val="18"/>
                <w:szCs w:val="18"/>
                <w:u w:color="FF0000"/>
                <w:lang w:eastAsia="zh-TW"/>
              </w:rPr>
            </w:pPr>
            <w:r w:rsidRPr="00C7583D">
              <w:rPr>
                <w:rFonts w:ascii="Times New Roman" w:eastAsia="新細明體" w:hAnsi="Times New Roman" w:cs="Times New Roman"/>
                <w:b/>
                <w:bCs/>
                <w:color w:val="000000" w:themeColor="text1"/>
                <w:sz w:val="18"/>
                <w:szCs w:val="18"/>
                <w:u w:color="FF0000"/>
                <w:lang w:val="en-AU" w:eastAsia="zh-TW"/>
              </w:rPr>
              <w:t>四、識別策略與穩健性控制。單變因原則實作為程式架構的性質：形成期採四層架構（特徵、分組、篩選、排序），使五個配對來源的差異被限縮於分組層一處；交易端各模組共用同一配對載入與模擬介面，故任一交易端可在同一批配對上原樣重複。前視偏誤以滾動視窗與逐期重估防範，形成期與交易期嚴格分離，增量訓練僅使用交易期已於本期開始前結束的樣本。抽樣單位取時間而非參數網格——後者共用同一份資料、同一段期間、同一批配對，屬偽重複。主檢定為逐日報酬差配合循環區塊拔靴（10,000 次重抽），多重比較以 BH-FDR 校正，選擇偏誤另以 Deflated Sharpe Ratio 評估。一切績效主張與統計檢定皆以 15 個參數配置的等權組合為口徑，使選擇偏誤自源頭消失。消融的假說、效果量門檻、多重比較族、凍結超參數清單與七項執行核對程序皆於回測啟動前提交版本庫，事後偏離逐筆記錄。</w:t>
            </w:r>
          </w:p>
        </w:tc>
      </w:tr>
      <w:tr w:rsidR="004B232D" w14:paraId="400BA705" w14:textId="77777777" w:rsidTr="008D1B53">
        <w:trPr>
          <w:trHeight w:val="3482"/>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2C73F4"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lastRenderedPageBreak/>
              <w:t>(F) Data?</w:t>
            </w:r>
          </w:p>
          <w:p w14:paraId="186932AE"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數據？</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55831D" w14:textId="265771CC" w:rsidR="00686AC6" w:rsidRPr="00686AC6" w:rsidRDefault="00686AC6" w:rsidP="00686AC6">
            <w:pPr>
              <w:pStyle w:val="Body"/>
              <w:jc w:val="both"/>
              <w:rPr>
                <w:rFonts w:ascii="Times New Roman" w:eastAsia="新細明體" w:hAnsi="Times New Roman" w:cs="Times New Roman"/>
                <w:color w:val="000000" w:themeColor="text1"/>
                <w:sz w:val="18"/>
                <w:szCs w:val="18"/>
                <w:u w:color="FF0000"/>
                <w:lang w:eastAsia="zh-TW"/>
              </w:rPr>
            </w:pPr>
            <w:r w:rsidRPr="00686AC6">
              <w:rPr>
                <w:rFonts w:ascii="Times New Roman" w:eastAsia="新細明體" w:hAnsi="Times New Roman" w:cs="Times New Roman"/>
                <w:b/>
                <w:bCs/>
                <w:color w:val="000000" w:themeColor="text1"/>
                <w:sz w:val="18"/>
                <w:szCs w:val="18"/>
                <w:u w:color="FF0000"/>
                <w:lang w:eastAsia="zh-TW"/>
              </w:rPr>
              <w:t>資料來源。成分股的納入與剔除日取自價格資料庫的成員期間表（843 檔、866 段成員期間，其中 363 段已有剔除日），而非維基百科修訂紀錄；本研究亦未使用 CRSP——CRSP 僅在論文中作為母體範圍的偏離揭露（本研究母體為 S&amp;P 500 而非全美股）。價格為含息還原價，取自 Tiingo；公司基本面為 Financial Modeling Prep 的 point-in-time 月頻資料，並另自 SEC XBRL 建置補充特徵。</w:t>
            </w:r>
          </w:p>
          <w:p w14:paraId="3755831D" w14:textId="265771CC" w:rsidR="00686AC6" w:rsidRPr="00686AC6" w:rsidRDefault="00686AC6" w:rsidP="00686AC6">
            <w:pPr>
              <w:pStyle w:val="Body"/>
              <w:jc w:val="both"/>
              <w:rPr>
                <w:rFonts w:ascii="Times New Roman" w:eastAsia="新細明體" w:hAnsi="Times New Roman" w:cs="Times New Roman"/>
                <w:color w:val="000000" w:themeColor="text1"/>
                <w:sz w:val="18"/>
                <w:szCs w:val="18"/>
                <w:u w:color="FF0000"/>
                <w:lang w:eastAsia="zh-TW"/>
              </w:rPr>
            </w:pPr>
            <w:r w:rsidRPr="00686AC6">
              <w:rPr>
                <w:rFonts w:ascii="Times New Roman" w:eastAsia="新細明體" w:hAnsi="Times New Roman" w:cs="Times New Roman"/>
                <w:b/>
                <w:bCs/>
                <w:color w:val="000000" w:themeColor="text1"/>
                <w:sz w:val="18"/>
                <w:szCs w:val="18"/>
                <w:u w:color="FF0000"/>
                <w:lang w:eastAsia="zh-TW"/>
              </w:rPr>
              <w:t>樣本範圍與期間。實證對象為 S&amp;P 500 之動態成分股，每期中位 411 檔；期間自 2000-01-03 至 2025-12-31，共 6,539 個交易日，扣除首個形成窗後可交易 6,287 日。</w:t>
            </w:r>
          </w:p>
          <w:p w14:paraId="3755831D" w14:textId="265771CC" w:rsidR="00686AC6" w:rsidRPr="00686AC6" w:rsidRDefault="00686AC6" w:rsidP="00686AC6">
            <w:pPr>
              <w:pStyle w:val="Body"/>
              <w:jc w:val="both"/>
              <w:rPr>
                <w:rFonts w:ascii="Times New Roman" w:eastAsia="新細明體" w:hAnsi="Times New Roman" w:cs="Times New Roman"/>
                <w:color w:val="000000" w:themeColor="text1"/>
                <w:sz w:val="18"/>
                <w:szCs w:val="18"/>
                <w:u w:color="FF0000"/>
                <w:lang w:eastAsia="zh-TW"/>
              </w:rPr>
            </w:pPr>
            <w:r w:rsidRPr="00686AC6">
              <w:rPr>
                <w:rFonts w:ascii="Times New Roman" w:eastAsia="新細明體" w:hAnsi="Times New Roman" w:cs="Times New Roman"/>
                <w:b/>
                <w:bCs/>
                <w:color w:val="000000" w:themeColor="text1"/>
                <w:sz w:val="18"/>
                <w:szCs w:val="18"/>
                <w:u w:color="FF0000"/>
                <w:lang w:eastAsia="zh-TW"/>
              </w:rPr>
              <w:t>時點處理三處：成分股認定僅保留該形成期結束日當時真實屬於指數者；基本面一律取日期不晚於形成期結束日的最近一筆；特徵計算僅用形成窗內資料，交易期價格不參與任何估計。</w:t>
            </w:r>
          </w:p>
          <w:p w14:paraId="3755831D" w14:textId="265771CC" w:rsidR="00686AC6" w:rsidRPr="00686AC6" w:rsidRDefault="00686AC6" w:rsidP="00686AC6">
            <w:pPr>
              <w:pStyle w:val="Body"/>
              <w:jc w:val="both"/>
              <w:rPr>
                <w:rFonts w:ascii="Times New Roman" w:eastAsia="新細明體" w:hAnsi="Times New Roman" w:cs="Times New Roman"/>
                <w:color w:val="000000" w:themeColor="text1"/>
                <w:sz w:val="18"/>
                <w:szCs w:val="18"/>
                <w:u w:color="FF0000"/>
                <w:lang w:eastAsia="zh-TW"/>
              </w:rPr>
            </w:pPr>
            <w:r w:rsidRPr="00686AC6">
              <w:rPr>
                <w:rFonts w:ascii="Times New Roman" w:eastAsia="新細明體" w:hAnsi="Times New Roman" w:cs="Times New Roman"/>
                <w:b/>
                <w:bCs/>
                <w:color w:val="000000" w:themeColor="text1"/>
                <w:sz w:val="18"/>
                <w:szCs w:val="18"/>
                <w:u w:color="FF0000"/>
                <w:lang w:eastAsia="zh-TW"/>
              </w:rPr>
              <w:t>時間窗口劃分。形成期 252 個交易日、交易期 126 個交易日、滾動步長 21 個交易日，共 295 期；任一時點有 6 個交易期同時運行，故逐期報酬序列存在結構性自相關，此點已反映於檢定設計（區塊長度取一個完整交易期）。交易成本為單邊 0.29%（Do &amp; Faff, 2012），進出場各扣一次，一完整往返約 0.58%。</w:t>
            </w:r>
          </w:p>
          <w:p w14:paraId="3755831D" w14:textId="265771CC" w:rsidR="00686AC6" w:rsidRPr="00686AC6" w:rsidRDefault="00686AC6" w:rsidP="00686AC6">
            <w:pPr>
              <w:pStyle w:val="Body"/>
              <w:jc w:val="both"/>
              <w:rPr>
                <w:rFonts w:ascii="Times New Roman" w:eastAsia="新細明體" w:hAnsi="Times New Roman" w:cs="Times New Roman"/>
                <w:color w:val="000000" w:themeColor="text1"/>
                <w:sz w:val="18"/>
                <w:szCs w:val="18"/>
                <w:u w:color="FF0000"/>
                <w:lang w:eastAsia="zh-TW"/>
              </w:rPr>
            </w:pPr>
            <w:r w:rsidRPr="00686AC6">
              <w:rPr>
                <w:rFonts w:ascii="Times New Roman" w:eastAsia="新細明體" w:hAnsi="Times New Roman" w:cs="Times New Roman"/>
                <w:b/>
                <w:bCs/>
                <w:color w:val="000000" w:themeColor="text1"/>
                <w:sz w:val="18"/>
                <w:szCs w:val="18"/>
                <w:u w:color="FF0000"/>
                <w:lang w:eastAsia="zh-TW"/>
              </w:rPr>
              <w:t>資料篩選。本研究實際施加的篩選僅有共整合檢定（Engle-Granger 兩步，殘差 ADF 採 MacKinnon 響應曲面臨界值，而非 Dickey-Fuller 臨界值）。低價股剔除、窗口內無交易天數上限、單日交易量佔成交量比例上限等規則均未實作，本研究亦不作此宣稱——補做會改變配對母體而使既有 295 期全部須重跑，且各臂共用同一標的池，此類篩選對動作空間的相對比較同向抵銷。母體限於大型股一事列為研究限制。存活者偏誤未完全消除：170 檔已下市者中 49 檔無價格資料，偏誤方向為高估絕對績效，已於論文揭露。</w:t>
            </w:r>
          </w:p>
        </w:tc>
      </w:tr>
      <w:tr w:rsidR="004B232D" w14:paraId="6C224D6A" w14:textId="77777777" w:rsidTr="008D1B53">
        <w:trPr>
          <w:trHeight w:val="1110"/>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134662"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(G) Tools?</w:t>
            </w:r>
          </w:p>
          <w:p w14:paraId="707FCFBA"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研究方法</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4854B6" w14:textId="050691E7" w:rsidR="007839E7" w:rsidRPr="007839E7" w:rsidRDefault="007839E7" w:rsidP="007839E7">
            <w:pPr>
              <w:pStyle w:val="Body"/>
              <w:jc w:val="both"/>
              <w:rPr>
                <w:rFonts w:ascii="Times New Roman" w:eastAsia="新細明體" w:hAnsi="Times New Roman" w:cs="Times New Roman"/>
                <w:color w:val="000000" w:themeColor="text1"/>
                <w:sz w:val="18"/>
                <w:szCs w:val="18"/>
                <w:u w:color="FF0000"/>
                <w:lang w:eastAsia="zh-TW"/>
              </w:rPr>
            </w:pPr>
            <w:r w:rsidRPr="007839E7">
              <w:rPr>
                <w:rFonts w:ascii="Times New Roman" w:eastAsia="新細明體" w:hAnsi="Times New Roman" w:cs="Times New Roman"/>
                <w:b/>
                <w:bCs/>
                <w:color w:val="000000" w:themeColor="text1"/>
                <w:sz w:val="18"/>
                <w:szCs w:val="18"/>
                <w:u w:color="FF0000"/>
                <w:lang w:eastAsia="zh-TW"/>
              </w:rPr>
              <w:t>資料程序化採集。含息還原價由 Tiingo 擷取，公司基本面透過 Financial Modeling Prep 企業級 API 取得 point-in-time 月頻資料。</w:t>
            </w:r>
          </w:p>
          <w:p w14:paraId="484854B6" w14:textId="050691E7" w:rsidR="007839E7" w:rsidRPr="007839E7" w:rsidRDefault="007839E7" w:rsidP="007839E7">
            <w:pPr>
              <w:pStyle w:val="Body"/>
              <w:jc w:val="both"/>
              <w:rPr>
                <w:rFonts w:ascii="Times New Roman" w:eastAsia="新細明體" w:hAnsi="Times New Roman" w:cs="Times New Roman"/>
                <w:color w:val="000000" w:themeColor="text1"/>
                <w:sz w:val="18"/>
                <w:szCs w:val="18"/>
                <w:u w:color="FF0000"/>
                <w:lang w:eastAsia="zh-TW"/>
              </w:rPr>
            </w:pPr>
            <w:r w:rsidRPr="007839E7">
              <w:rPr>
                <w:rFonts w:ascii="Times New Roman" w:eastAsia="新細明體" w:hAnsi="Times New Roman" w:cs="Times New Roman"/>
                <w:b/>
                <w:bCs/>
                <w:color w:val="000000" w:themeColor="text1"/>
                <w:sz w:val="18"/>
                <w:szCs w:val="18"/>
                <w:u w:color="FF0000"/>
                <w:lang w:eastAsia="zh-TW"/>
              </w:rPr>
              <w:t>形成期：四層架構（Python 生態系，核心依賴 scikit-learn、NumPy 與 pandas）。特徵層 19 維——報酬 PCA 前 5 主成分載荷、對數市值、盈餘殖利率，以及 GICS 產業 one-hot 12 維；分組層提供五個配對來源（不分組、GICS 產業、HDBSCAN、凝聚層次聚類、K-means，逐期重估 295 次，其中 K-means 的群數對齊同期凝聚層次聚類，使比較聚焦於機制而非粒度）；篩選層以 statsmodels 執行 Engle-Granger 共整合診斷；排序層採三種距離準則——SSD、Sakoe-Chiba 帶寬 15 的 DTW，以及兩者 z 標準化後相加的 SDP。</w:t>
            </w:r>
          </w:p>
          <w:p w14:paraId="484854B6" w14:textId="050691E7" w:rsidR="007839E7" w:rsidRPr="007839E7" w:rsidRDefault="007839E7" w:rsidP="007839E7">
            <w:pPr>
              <w:pStyle w:val="Body"/>
              <w:jc w:val="both"/>
              <w:rPr>
                <w:rFonts w:ascii="Times New Roman" w:eastAsia="新細明體" w:hAnsi="Times New Roman" w:cs="Times New Roman"/>
                <w:color w:val="000000" w:themeColor="text1"/>
                <w:sz w:val="18"/>
                <w:szCs w:val="18"/>
                <w:u w:color="FF0000"/>
                <w:lang w:eastAsia="zh-TW"/>
              </w:rPr>
            </w:pPr>
            <w:r w:rsidRPr="007839E7">
              <w:rPr>
                <w:rFonts w:ascii="Times New Roman" w:eastAsia="新細明體" w:hAnsi="Times New Roman" w:cs="Times New Roman"/>
                <w:b/>
                <w:bCs/>
                <w:color w:val="000000" w:themeColor="text1"/>
                <w:sz w:val="18"/>
                <w:szCs w:val="18"/>
                <w:u w:color="FF0000"/>
                <w:lang w:eastAsia="zh-TW"/>
              </w:rPr>
              <w:t>交易期：核心交易端以 PyTorch 實作，但其學習問題並非強化學習——每期 9 個動作的報酬皆可對該交易期的價格逐一模擬而精確反事實回算，不存在探索與利用的取捨，故採全資訊監督回歸（ThresholdNet，12→64→9 的多層感知器，均方誤差損失，每期增量訓練），論文一律稱之為 DL-THR 而非 DRL。本研究另實作僅觀測所選動作報酬的部分回饋版本 RL-THR，其動作選單、狀態空間、網路架構與資料切分與 DL-THR 逐位元相同，作為受控對照。本研究未使用 PPO 或 DQN 演算法，亦未使用 OpenAI Gym／Gymnasium 環境封裝——兩者僅存在於已封存的三代逐日自由持倉實作（LSTM-DQN、其修復版，以及批次擬合 Q 的 FQI），而該三代正是本研究消融中被檢定並遭否證的處理組。</w:t>
            </w:r>
          </w:p>
          <w:p w14:paraId="484854B6" w14:textId="050691E7" w:rsidR="007839E7" w:rsidRPr="007839E7" w:rsidRDefault="007839E7" w:rsidP="007839E7">
            <w:pPr>
              <w:pStyle w:val="Body"/>
              <w:jc w:val="both"/>
              <w:rPr>
                <w:rFonts w:ascii="Times New Roman" w:eastAsia="新細明體" w:hAnsi="Times New Roman" w:cs="Times New Roman"/>
                <w:color w:val="000000" w:themeColor="text1"/>
                <w:sz w:val="18"/>
                <w:szCs w:val="18"/>
                <w:u w:color="FF0000"/>
                <w:lang w:eastAsia="zh-TW"/>
              </w:rPr>
            </w:pPr>
            <w:r w:rsidRPr="007839E7">
              <w:rPr>
                <w:rFonts w:ascii="Times New Roman" w:eastAsia="新細明體" w:hAnsi="Times New Roman" w:cs="Times New Roman"/>
                <w:b/>
                <w:bCs/>
                <w:color w:val="000000" w:themeColor="text1"/>
                <w:sz w:val="18"/>
                <w:szCs w:val="18"/>
                <w:u w:color="FF0000"/>
                <w:lang w:eastAsia="zh-TW"/>
              </w:rPr>
              <w:t>統計分析：循環區塊拔靴 10,000 次重抽、BH-FDR 多重檢定校正、Newey-West HAC 作平行對照、Deflated Sharpe Ratio 評估選擇偏誤。全系統於 Python 3.11 實現。</w:t>
            </w:r>
          </w:p>
        </w:tc>
      </w:tr>
      <w:tr w:rsidR="004B232D" w14:paraId="6D6F406F" w14:textId="77777777" w:rsidTr="008D1B53">
        <w:trPr>
          <w:trHeight w:val="251"/>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7B00C740" w14:textId="77777777" w:rsidR="004B232D" w:rsidRPr="007730CA" w:rsidRDefault="00E93CA1" w:rsidP="008D1B53">
            <w:pPr>
              <w:pStyle w:val="Body"/>
              <w:jc w:val="both"/>
              <w:rPr>
                <w:rFonts w:ascii="Times New Roman" w:hAnsi="Times New Roman" w:cs="Times New Roman"/>
              </w:rPr>
            </w:pPr>
            <w:r w:rsidRPr="00E93CA1">
              <w:rPr>
                <w:rFonts w:ascii="Times New Roman" w:eastAsia="新細明體" w:hAnsi="Times New Roman" w:cs="Times New Roman"/>
                <w:b/>
                <w:bCs/>
                <w:sz w:val="18"/>
                <w:szCs w:val="18"/>
                <w:u w:color="000000"/>
                <w:lang w:eastAsia="zh-TW"/>
              </w:rPr>
              <w:lastRenderedPageBreak/>
              <w:t>TWO</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67E8EA3E" w14:textId="77777777" w:rsidR="004B232D" w:rsidRPr="007730CA" w:rsidRDefault="00E93CA1" w:rsidP="008D1B53">
            <w:pPr>
              <w:pStyle w:val="Body"/>
              <w:jc w:val="both"/>
              <w:rPr>
                <w:rFonts w:ascii="Times New Roman" w:hAnsi="Times New Roman" w:cs="Times New Roman"/>
              </w:rPr>
            </w:pPr>
            <w:r w:rsidRPr="00E93CA1">
              <w:rPr>
                <w:rFonts w:ascii="Times New Roman" w:eastAsia="新細明體" w:hAnsi="Times New Roman" w:cs="Times New Roman"/>
                <w:b/>
                <w:bCs/>
                <w:sz w:val="18"/>
                <w:szCs w:val="18"/>
                <w:u w:color="000000"/>
                <w:lang w:eastAsia="zh-TW"/>
              </w:rPr>
              <w:t>Two</w:t>
            </w:r>
            <w:r w:rsidRPr="00E93CA1">
              <w:rPr>
                <w:rFonts w:ascii="Times New Roman" w:eastAsia="新細明體" w:hAnsi="Times New Roman" w:cs="Times New Roman"/>
                <w:sz w:val="18"/>
                <w:szCs w:val="18"/>
                <w:u w:color="000000"/>
                <w:lang w:eastAsia="zh-TW"/>
              </w:rPr>
              <w:t xml:space="preserve"> key questions </w:t>
            </w:r>
            <w:r w:rsidRPr="00E93CA1">
              <w:rPr>
                <w:rFonts w:ascii="SimSun" w:eastAsia="新細明體" w:hAnsi="SimSun" w:cs="SimSun" w:hint="eastAsia"/>
                <w:sz w:val="18"/>
                <w:szCs w:val="18"/>
                <w:u w:color="000000"/>
                <w:lang w:eastAsia="zh-TW"/>
              </w:rPr>
              <w:t>兩個重要的問題</w:t>
            </w:r>
          </w:p>
        </w:tc>
      </w:tr>
      <w:tr w:rsidR="004B232D" w14:paraId="371A1EBD" w14:textId="77777777" w:rsidTr="008D1B53">
        <w:trPr>
          <w:trHeight w:val="939"/>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07E273"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(H) What’s New?</w:t>
            </w:r>
          </w:p>
          <w:p w14:paraId="298746FF"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創新點</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45F401" w14:textId="77777777" w:rsidR="0093459F" w:rsidRPr="0093459F" w:rsidRDefault="0093459F" w:rsidP="0093459F">
            <w:pPr>
              <w:pStyle w:val="Body"/>
              <w:jc w:val="both"/>
              <w:rPr>
                <w:rFonts w:ascii="Times New Roman" w:eastAsia="新細明體" w:hAnsi="Times New Roman" w:cs="Times New Roman"/>
                <w:b/>
                <w:bCs/>
                <w:color w:val="000000" w:themeColor="text1"/>
                <w:sz w:val="18"/>
                <w:szCs w:val="18"/>
                <w:u w:color="FF0000"/>
                <w:lang w:eastAsia="zh-TW"/>
              </w:rPr>
            </w:pPr>
            <w:r w:rsidRPr="0093459F">
              <w:rPr>
                <w:rFonts w:ascii="Times New Roman" w:eastAsia="新細明體" w:hAnsi="Times New Roman" w:cs="Times New Roman"/>
                <w:b/>
                <w:bCs/>
                <w:color w:val="000000" w:themeColor="text1"/>
                <w:sz w:val="18"/>
                <w:szCs w:val="18"/>
                <w:u w:color="FF0000"/>
                <w:lang w:eastAsia="zh-TW"/>
              </w:rPr>
              <w:t>1. 現有文獻的侷限。既有將深度強化學習應用於配對交易的研究，各自選定一種動作空間並報告績效，未有研究在同一條管線內固定其餘一切、僅變動動作空間；動作空間因此被反覆設定卻從未被檢視。另一項侷限是頻率相依：報告 AI 有效的案例，其資料頻率高度集中於日內，日頻上缺乏受控對照。</w:t>
            </w:r>
          </w:p>
          <w:p w14:paraId="0245F401" w14:textId="77777777" w:rsidR="0093459F" w:rsidRPr="0093459F" w:rsidRDefault="0093459F" w:rsidP="0093459F">
            <w:pPr>
              <w:pStyle w:val="Body"/>
              <w:jc w:val="both"/>
              <w:rPr>
                <w:rFonts w:ascii="Times New Roman" w:eastAsia="新細明體" w:hAnsi="Times New Roman" w:cs="Times New Roman"/>
                <w:b/>
                <w:bCs/>
                <w:color w:val="000000" w:themeColor="text1"/>
                <w:sz w:val="18"/>
                <w:szCs w:val="18"/>
                <w:u w:color="FF0000"/>
                <w:lang w:eastAsia="zh-TW"/>
              </w:rPr>
            </w:pPr>
            <w:r w:rsidRPr="0093459F">
              <w:rPr>
                <w:rFonts w:ascii="Times New Roman" w:eastAsia="新細明體" w:hAnsi="Times New Roman" w:cs="Times New Roman"/>
                <w:b/>
                <w:bCs/>
                <w:color w:val="000000" w:themeColor="text1"/>
                <w:sz w:val="18"/>
                <w:szCs w:val="18"/>
                <w:u w:color="FF0000"/>
                <w:lang w:eastAsia="zh-TW"/>
              </w:rPr>
              <w:t>2. 本研究的核心發現，及其反直覺之處。本研究的創新不在於把兩個機器學習模組耦合得更緊，而在於證明應把交易端的動作空間縮小。逐日自由持倉在表達能力上涵蓋任何固定門檻規則，故依表達能力它應弱優於每期單次門檻選擇；實測相反，且差距不小——換手率為 2.1 至 4.1 倍，Sharpe 一律更低，三條臂全部同時贏過兩個基準（BH-FDR 校正後 p ≤ 0.0004）。此結論在完整預先登記下取得，並於兩種進場定義下皆成立。成本歸因進一步顯示三代的失敗原因並不相同：兩代 LSTM-DQN 的劣勢主要是換手成本（零成本重算後差距縮小 87.0% 與 83.4%），而 FQI 不是（僅縮小 31.7%，零成本下它對門檻選擇式反而略優，成本一加回就翻負）。</w:t>
            </w:r>
          </w:p>
          <w:p w14:paraId="0245F401" w14:textId="77777777" w:rsidR="0093459F" w:rsidRPr="0093459F" w:rsidRDefault="0093459F" w:rsidP="0093459F">
            <w:pPr>
              <w:pStyle w:val="Body"/>
              <w:jc w:val="both"/>
              <w:rPr>
                <w:rFonts w:ascii="Times New Roman" w:eastAsia="新細明體" w:hAnsi="Times New Roman" w:cs="Times New Roman"/>
                <w:b/>
                <w:bCs/>
                <w:color w:val="000000" w:themeColor="text1"/>
                <w:sz w:val="18"/>
                <w:szCs w:val="18"/>
                <w:u w:color="FF0000"/>
                <w:lang w:eastAsia="zh-TW"/>
              </w:rPr>
            </w:pPr>
            <w:r w:rsidRPr="0093459F">
              <w:rPr>
                <w:rFonts w:ascii="Times New Roman" w:eastAsia="新細明體" w:hAnsi="Times New Roman" w:cs="Times New Roman"/>
                <w:b/>
                <w:bCs/>
                <w:color w:val="000000" w:themeColor="text1"/>
                <w:sz w:val="18"/>
                <w:szCs w:val="18"/>
                <w:u w:color="FF0000"/>
                <w:lang w:eastAsia="zh-TW"/>
              </w:rPr>
              <w:t>3. 一項可分離的機制。本研究進一步把「動作空間的形狀」與「逐對辨識能力」分開檢定，指出增益來自前者而非後者：以監督回歸逐對學門檻，顯著劣於一個擴張窗最佳常數。其機制屬資訊科學而非財務推論——訊號本身微弱，而以 argmax 自多個回歸輸出中選取，在弱訊號下會系統性偏向預測誤差最大的輸出，使選取本身引入的雜訊超過訊號。</w:t>
            </w:r>
          </w:p>
        </w:tc>
      </w:tr>
      <w:tr w:rsidR="004B232D" w14:paraId="50B4D305" w14:textId="77777777" w:rsidTr="008D1B53">
        <w:trPr>
          <w:trHeight w:val="428"/>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1A0145" w14:textId="77777777" w:rsidR="004B232D" w:rsidRPr="007730CA" w:rsidRDefault="00E93CA1" w:rsidP="004B232D">
            <w:pPr>
              <w:pStyle w:val="Body"/>
              <w:numPr>
                <w:ilvl w:val="0"/>
                <w:numId w:val="2"/>
              </w:numPr>
              <w:ind w:left="360" w:hanging="360"/>
              <w:jc w:val="both"/>
              <w:rPr>
                <w:rFonts w:ascii="Times New Roman" w:eastAsia="Calibri"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So What?</w:t>
            </w:r>
          </w:p>
          <w:p w14:paraId="00AF67EC"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為什麼？</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6D8A6D" w14:textId="77777777" w:rsidR="00805C85" w:rsidRDefault="00B660F0" w:rsidP="00B660F0">
            <w:pPr>
              <w:pStyle w:val="Body"/>
              <w:jc w:val="both"/>
              <w:rPr>
                <w:rFonts w:ascii="Times New Roman" w:eastAsia="新細明體" w:hAnsi="Times New Roman" w:cs="Times New Roman"/>
                <w:color w:val="000000" w:themeColor="text1"/>
                <w:sz w:val="18"/>
                <w:szCs w:val="18"/>
                <w:u w:color="FF0000"/>
                <w:lang w:eastAsia="zh-TW"/>
              </w:rPr>
            </w:pPr>
            <w:r w:rsidRPr="00B660F0">
              <w:rPr>
                <w:rFonts w:ascii="Times New Roman" w:eastAsia="新細明體" w:hAnsi="Times New Roman" w:cs="Times New Roman"/>
                <w:b/>
                <w:bCs/>
                <w:color w:val="000000" w:themeColor="text1"/>
                <w:sz w:val="18"/>
                <w:szCs w:val="18"/>
                <w:u w:color="FF0000"/>
                <w:lang w:eastAsia="zh-TW"/>
              </w:rPr>
              <w:t>提升量化策略之環境適應力與實戰存活率</w:t>
            </w:r>
            <w:r w:rsidRPr="00B660F0">
              <w:rPr>
                <w:rFonts w:ascii="Times New Roman" w:eastAsia="新細明體" w:hAnsi="Times New Roman" w:cs="Times New Roman"/>
                <w:b/>
                <w:bCs/>
                <w:color w:val="000000" w:themeColor="text1"/>
                <w:sz w:val="18"/>
                <w:szCs w:val="18"/>
                <w:u w:color="FF0000"/>
                <w:lang w:eastAsia="zh-TW"/>
              </w:rPr>
              <w:t xml:space="preserve"> (Enhancing Strategy Adaptation and Survival Rates)</w:t>
            </w:r>
            <w:r w:rsidRPr="00B660F0">
              <w:rPr>
                <w:rFonts w:ascii="Times New Roman" w:eastAsia="新細明體" w:hAnsi="Times New Roman" w:cs="Times New Roman"/>
                <w:color w:val="000000" w:themeColor="text1"/>
                <w:sz w:val="18"/>
                <w:szCs w:val="18"/>
                <w:u w:color="FF0000"/>
                <w:lang w:eastAsia="zh-TW"/>
              </w:rPr>
              <w:t>：</w:t>
            </w:r>
            <w:r w:rsidRPr="00B660F0">
              <w:rPr>
                <w:rFonts w:ascii="Times New Roman" w:eastAsia="新細明體" w:hAnsi="Times New Roman" w:cs="Times New Roman"/>
                <w:color w:val="000000" w:themeColor="text1"/>
                <w:sz w:val="18"/>
                <w:szCs w:val="18"/>
                <w:u w:color="FF0000"/>
                <w:lang w:eastAsia="zh-TW"/>
              </w:rPr>
              <w:t xml:space="preserve"> </w:t>
            </w:r>
          </w:p>
          <w:p w14:paraId="0614FE24" w14:textId="72038E0D" w:rsidR="00B660F0" w:rsidRPr="00B660F0" w:rsidRDefault="00B660F0" w:rsidP="00B660F0">
            <w:pPr>
              <w:pStyle w:val="Body"/>
              <w:jc w:val="both"/>
              <w:rPr>
                <w:rFonts w:ascii="Times New Roman" w:eastAsia="新細明體" w:hAnsi="Times New Roman" w:cs="Times New Roman"/>
                <w:color w:val="000000" w:themeColor="text1"/>
                <w:sz w:val="18"/>
                <w:szCs w:val="18"/>
                <w:u w:color="FF0000"/>
                <w:lang w:eastAsia="zh-TW"/>
              </w:rPr>
            </w:pPr>
            <w:r w:rsidRPr="00B660F0">
              <w:rPr>
                <w:rFonts w:ascii="Times New Roman" w:eastAsia="新細明體" w:hAnsi="Times New Roman" w:cs="Times New Roman"/>
                <w:color w:val="000000" w:themeColor="text1"/>
                <w:sz w:val="18"/>
                <w:szCs w:val="18"/>
                <w:u w:color="FF0000"/>
                <w:lang w:eastAsia="zh-TW"/>
              </w:rPr>
              <w:t>金融市場結構轉變頻繁且具高度非平穩性，傳統配對交易策略（如</w:t>
            </w:r>
            <w:r w:rsidRPr="00B660F0">
              <w:rPr>
                <w:rFonts w:ascii="Times New Roman" w:eastAsia="新細明體" w:hAnsi="Times New Roman" w:cs="Times New Roman"/>
                <w:color w:val="000000" w:themeColor="text1"/>
                <w:sz w:val="18"/>
                <w:szCs w:val="18"/>
                <w:u w:color="FF0000"/>
                <w:lang w:eastAsia="zh-TW"/>
              </w:rPr>
              <w:t xml:space="preserve"> </w:t>
            </w:r>
            <w:proofErr w:type="spellStart"/>
            <w:r w:rsidRPr="00B660F0">
              <w:rPr>
                <w:rFonts w:ascii="Times New Roman" w:eastAsia="新細明體" w:hAnsi="Times New Roman" w:cs="Times New Roman"/>
                <w:color w:val="000000" w:themeColor="text1"/>
                <w:sz w:val="18"/>
                <w:szCs w:val="18"/>
                <w:u w:color="FF0000"/>
                <w:lang w:eastAsia="zh-TW"/>
              </w:rPr>
              <w:t>Gatev</w:t>
            </w:r>
            <w:proofErr w:type="spellEnd"/>
            <w:r w:rsidRPr="00B660F0">
              <w:rPr>
                <w:rFonts w:ascii="Times New Roman" w:eastAsia="新細明體" w:hAnsi="Times New Roman" w:cs="Times New Roman"/>
                <w:color w:val="000000" w:themeColor="text1"/>
                <w:sz w:val="18"/>
                <w:szCs w:val="18"/>
                <w:u w:color="FF0000"/>
                <w:lang w:eastAsia="zh-TW"/>
              </w:rPr>
              <w:t xml:space="preserve"> et al., 2006 </w:t>
            </w:r>
            <w:r w:rsidRPr="00B660F0">
              <w:rPr>
                <w:rFonts w:ascii="Times New Roman" w:eastAsia="新細明體" w:hAnsi="Times New Roman" w:cs="Times New Roman"/>
                <w:color w:val="000000" w:themeColor="text1"/>
                <w:sz w:val="18"/>
                <w:szCs w:val="18"/>
                <w:u w:color="FF0000"/>
                <w:lang w:eastAsia="zh-TW"/>
              </w:rPr>
              <w:t>基準模型）常因「過度擬合（</w:t>
            </w:r>
            <w:r w:rsidRPr="00B660F0">
              <w:rPr>
                <w:rFonts w:ascii="Times New Roman" w:eastAsia="新細明體" w:hAnsi="Times New Roman" w:cs="Times New Roman"/>
                <w:color w:val="000000" w:themeColor="text1"/>
                <w:sz w:val="18"/>
                <w:szCs w:val="18"/>
                <w:u w:color="FF0000"/>
                <w:lang w:eastAsia="zh-TW"/>
              </w:rPr>
              <w:t>Overfitting</w:t>
            </w:r>
            <w:r w:rsidRPr="00B660F0">
              <w:rPr>
                <w:rFonts w:ascii="Times New Roman" w:eastAsia="新細明體" w:hAnsi="Times New Roman" w:cs="Times New Roman"/>
                <w:color w:val="000000" w:themeColor="text1"/>
                <w:sz w:val="18"/>
                <w:szCs w:val="18"/>
                <w:u w:color="FF0000"/>
                <w:lang w:eastAsia="zh-TW"/>
              </w:rPr>
              <w:t>）形成期之固定統計門檻」，在面對市場體制轉換（</w:t>
            </w:r>
            <w:r w:rsidRPr="00B660F0">
              <w:rPr>
                <w:rFonts w:ascii="Times New Roman" w:eastAsia="新細明體" w:hAnsi="Times New Roman" w:cs="Times New Roman"/>
                <w:color w:val="000000" w:themeColor="text1"/>
                <w:sz w:val="18"/>
                <w:szCs w:val="18"/>
                <w:u w:color="FF0000"/>
                <w:lang w:eastAsia="zh-TW"/>
              </w:rPr>
              <w:t>Regime Shifts</w:t>
            </w:r>
            <w:r w:rsidRPr="00B660F0">
              <w:rPr>
                <w:rFonts w:ascii="Times New Roman" w:eastAsia="新細明體" w:hAnsi="Times New Roman" w:cs="Times New Roman"/>
                <w:color w:val="000000" w:themeColor="text1"/>
                <w:sz w:val="18"/>
                <w:szCs w:val="18"/>
                <w:u w:color="FF0000"/>
                <w:lang w:eastAsia="zh-TW"/>
              </w:rPr>
              <w:t>）時，極易因價差永久性發散（</w:t>
            </w:r>
            <w:r w:rsidRPr="00B660F0">
              <w:rPr>
                <w:rFonts w:ascii="Times New Roman" w:eastAsia="新細明體" w:hAnsi="Times New Roman" w:cs="Times New Roman"/>
                <w:color w:val="000000" w:themeColor="text1"/>
                <w:sz w:val="18"/>
                <w:szCs w:val="18"/>
                <w:u w:color="FF0000"/>
                <w:lang w:eastAsia="zh-TW"/>
              </w:rPr>
              <w:t>Spread Divergence</w:t>
            </w:r>
            <w:r w:rsidRPr="00B660F0">
              <w:rPr>
                <w:rFonts w:ascii="Times New Roman" w:eastAsia="新細明體" w:hAnsi="Times New Roman" w:cs="Times New Roman"/>
                <w:color w:val="000000" w:themeColor="text1"/>
                <w:sz w:val="18"/>
                <w:szCs w:val="18"/>
                <w:u w:color="FF0000"/>
                <w:lang w:eastAsia="zh-TW"/>
              </w:rPr>
              <w:t>）而面臨嚴重的均值不回歸虧損。本研究建構之動態決策系統，賦予深度強化學習（</w:t>
            </w:r>
            <w:r w:rsidRPr="00B660F0">
              <w:rPr>
                <w:rFonts w:ascii="Times New Roman" w:eastAsia="新細明體" w:hAnsi="Times New Roman" w:cs="Times New Roman"/>
                <w:color w:val="000000" w:themeColor="text1"/>
                <w:sz w:val="18"/>
                <w:szCs w:val="18"/>
                <w:u w:color="FF0000"/>
                <w:lang w:eastAsia="zh-TW"/>
              </w:rPr>
              <w:t>DRL</w:t>
            </w:r>
            <w:r w:rsidRPr="00B660F0">
              <w:rPr>
                <w:rFonts w:ascii="Times New Roman" w:eastAsia="新細明體" w:hAnsi="Times New Roman" w:cs="Times New Roman"/>
                <w:color w:val="000000" w:themeColor="text1"/>
                <w:sz w:val="18"/>
                <w:szCs w:val="18"/>
                <w:u w:color="FF0000"/>
                <w:lang w:eastAsia="zh-TW"/>
              </w:rPr>
              <w:t>）智能體於資產關係結構性破裂初期，實時、前瞻性地優化動態停損或反向平倉之邊界。此風控機制能根本性地降低統計套利策略的尾部發散風險（</w:t>
            </w:r>
            <w:r w:rsidRPr="00B660F0">
              <w:rPr>
                <w:rFonts w:ascii="Times New Roman" w:eastAsia="新細明體" w:hAnsi="Times New Roman" w:cs="Times New Roman"/>
                <w:color w:val="000000" w:themeColor="text1"/>
                <w:sz w:val="18"/>
                <w:szCs w:val="18"/>
                <w:u w:color="FF0000"/>
                <w:lang w:eastAsia="zh-TW"/>
              </w:rPr>
              <w:t>Tail Risk</w:t>
            </w:r>
            <w:r w:rsidRPr="00B660F0">
              <w:rPr>
                <w:rFonts w:ascii="Times New Roman" w:eastAsia="新細明體" w:hAnsi="Times New Roman" w:cs="Times New Roman"/>
                <w:color w:val="000000" w:themeColor="text1"/>
                <w:sz w:val="18"/>
                <w:szCs w:val="18"/>
                <w:u w:color="FF0000"/>
                <w:lang w:eastAsia="zh-TW"/>
              </w:rPr>
              <w:t>），對現代量化資產管理具有高度的實戰風控價值。</w:t>
            </w:r>
          </w:p>
          <w:p w14:paraId="25275C10" w14:textId="77777777" w:rsidR="00805C85" w:rsidRDefault="00B660F0" w:rsidP="00B660F0">
            <w:pPr>
              <w:pStyle w:val="Body"/>
              <w:jc w:val="both"/>
              <w:rPr>
                <w:rFonts w:ascii="Times New Roman" w:eastAsia="新細明體" w:hAnsi="Times New Roman" w:cs="Times New Roman"/>
                <w:color w:val="000000" w:themeColor="text1"/>
                <w:sz w:val="18"/>
                <w:szCs w:val="18"/>
                <w:u w:color="FF0000"/>
                <w:lang w:eastAsia="zh-TW"/>
              </w:rPr>
            </w:pPr>
            <w:r w:rsidRPr="00B660F0">
              <w:rPr>
                <w:rFonts w:ascii="Times New Roman" w:eastAsia="新細明體" w:hAnsi="Times New Roman" w:cs="Times New Roman"/>
                <w:b/>
                <w:bCs/>
                <w:color w:val="000000" w:themeColor="text1"/>
                <w:sz w:val="18"/>
                <w:szCs w:val="18"/>
                <w:u w:color="FF0000"/>
                <w:lang w:eastAsia="zh-TW"/>
              </w:rPr>
              <w:t>優化資產配置彈性與動態市場中性之維持</w:t>
            </w:r>
            <w:r w:rsidRPr="00B660F0">
              <w:rPr>
                <w:rFonts w:ascii="Times New Roman" w:eastAsia="新細明體" w:hAnsi="Times New Roman" w:cs="Times New Roman"/>
                <w:b/>
                <w:bCs/>
                <w:color w:val="000000" w:themeColor="text1"/>
                <w:sz w:val="18"/>
                <w:szCs w:val="18"/>
                <w:u w:color="FF0000"/>
                <w:lang w:eastAsia="zh-TW"/>
              </w:rPr>
              <w:t xml:space="preserve"> (Optimizing Asset Allocation and Maintaining Market Neutrality)</w:t>
            </w:r>
            <w:r w:rsidRPr="00B660F0">
              <w:rPr>
                <w:rFonts w:ascii="Times New Roman" w:eastAsia="新細明體" w:hAnsi="Times New Roman" w:cs="Times New Roman"/>
                <w:color w:val="000000" w:themeColor="text1"/>
                <w:sz w:val="18"/>
                <w:szCs w:val="18"/>
                <w:u w:color="FF0000"/>
                <w:lang w:eastAsia="zh-TW"/>
              </w:rPr>
              <w:t>：</w:t>
            </w:r>
            <w:r w:rsidRPr="00B660F0">
              <w:rPr>
                <w:rFonts w:ascii="Times New Roman" w:eastAsia="新細明體" w:hAnsi="Times New Roman" w:cs="Times New Roman"/>
                <w:color w:val="000000" w:themeColor="text1"/>
                <w:sz w:val="18"/>
                <w:szCs w:val="18"/>
                <w:u w:color="FF0000"/>
                <w:lang w:eastAsia="zh-TW"/>
              </w:rPr>
              <w:t xml:space="preserve"> </w:t>
            </w:r>
          </w:p>
          <w:p w14:paraId="6E665808" w14:textId="3407AA91" w:rsidR="00B660F0" w:rsidRPr="00B660F0" w:rsidRDefault="00B660F0" w:rsidP="00B660F0">
            <w:pPr>
              <w:pStyle w:val="Body"/>
              <w:jc w:val="both"/>
              <w:rPr>
                <w:rFonts w:ascii="Times New Roman" w:eastAsia="新細明體" w:hAnsi="Times New Roman" w:cs="Times New Roman"/>
                <w:color w:val="000000" w:themeColor="text1"/>
                <w:sz w:val="18"/>
                <w:szCs w:val="18"/>
                <w:u w:color="FF0000"/>
                <w:lang w:eastAsia="zh-TW"/>
              </w:rPr>
            </w:pPr>
            <w:r w:rsidRPr="00B660F0">
              <w:rPr>
                <w:rFonts w:ascii="Times New Roman" w:eastAsia="新細明體" w:hAnsi="Times New Roman" w:cs="Times New Roman"/>
                <w:color w:val="000000" w:themeColor="text1"/>
                <w:sz w:val="18"/>
                <w:szCs w:val="18"/>
                <w:u w:color="FF0000"/>
                <w:lang w:eastAsia="zh-TW"/>
              </w:rPr>
              <w:t>本研究實證跨越</w:t>
            </w:r>
            <w:r w:rsidRPr="00B660F0">
              <w:rPr>
                <w:rFonts w:ascii="Times New Roman" w:eastAsia="新細明體" w:hAnsi="Times New Roman" w:cs="Times New Roman"/>
                <w:color w:val="000000" w:themeColor="text1"/>
                <w:sz w:val="18"/>
                <w:szCs w:val="18"/>
                <w:u w:color="FF0000"/>
                <w:lang w:eastAsia="zh-TW"/>
              </w:rPr>
              <w:t xml:space="preserve"> 2000 </w:t>
            </w:r>
            <w:r w:rsidRPr="00B660F0">
              <w:rPr>
                <w:rFonts w:ascii="Times New Roman" w:eastAsia="新細明體" w:hAnsi="Times New Roman" w:cs="Times New Roman"/>
                <w:color w:val="000000" w:themeColor="text1"/>
                <w:sz w:val="18"/>
                <w:szCs w:val="18"/>
                <w:u w:color="FF0000"/>
                <w:lang w:eastAsia="zh-TW"/>
              </w:rPr>
              <w:t>年至</w:t>
            </w:r>
            <w:r w:rsidRPr="00B660F0">
              <w:rPr>
                <w:rFonts w:ascii="Times New Roman" w:eastAsia="新細明體" w:hAnsi="Times New Roman" w:cs="Times New Roman"/>
                <w:color w:val="000000" w:themeColor="text1"/>
                <w:sz w:val="18"/>
                <w:szCs w:val="18"/>
                <w:u w:color="FF0000"/>
                <w:lang w:eastAsia="zh-TW"/>
              </w:rPr>
              <w:t xml:space="preserve"> 2025 </w:t>
            </w:r>
            <w:r w:rsidRPr="00B660F0">
              <w:rPr>
                <w:rFonts w:ascii="Times New Roman" w:eastAsia="新細明體" w:hAnsi="Times New Roman" w:cs="Times New Roman"/>
                <w:color w:val="000000" w:themeColor="text1"/>
                <w:sz w:val="18"/>
                <w:szCs w:val="18"/>
                <w:u w:color="FF0000"/>
                <w:lang w:eastAsia="zh-TW"/>
              </w:rPr>
              <w:t>年之多個景氣循環，證實即使在極端市場波動（如</w:t>
            </w:r>
            <w:r w:rsidRPr="00B660F0">
              <w:rPr>
                <w:rFonts w:ascii="Times New Roman" w:eastAsia="新細明體" w:hAnsi="Times New Roman" w:cs="Times New Roman"/>
                <w:color w:val="000000" w:themeColor="text1"/>
                <w:sz w:val="18"/>
                <w:szCs w:val="18"/>
                <w:u w:color="FF0000"/>
                <w:lang w:eastAsia="zh-TW"/>
              </w:rPr>
              <w:t xml:space="preserve"> VIX </w:t>
            </w:r>
            <w:r w:rsidRPr="00B660F0">
              <w:rPr>
                <w:rFonts w:ascii="Times New Roman" w:eastAsia="新細明體" w:hAnsi="Times New Roman" w:cs="Times New Roman"/>
                <w:color w:val="000000" w:themeColor="text1"/>
                <w:sz w:val="18"/>
                <w:szCs w:val="18"/>
                <w:u w:color="FF0000"/>
                <w:lang w:eastAsia="zh-TW"/>
              </w:rPr>
              <w:t>飆升或系統性流動性危機）下，結合「非監督式動態分群」所發掘的跨產業非線性配對，協同「動態</w:t>
            </w:r>
            <w:r w:rsidRPr="00B660F0">
              <w:rPr>
                <w:rFonts w:ascii="Times New Roman" w:eastAsia="新細明體" w:hAnsi="Times New Roman" w:cs="Times New Roman"/>
                <w:color w:val="000000" w:themeColor="text1"/>
                <w:sz w:val="18"/>
                <w:szCs w:val="18"/>
                <w:u w:color="FF0000"/>
                <w:lang w:eastAsia="zh-TW"/>
              </w:rPr>
              <w:t xml:space="preserve"> Beta </w:t>
            </w:r>
            <w:r w:rsidRPr="00B660F0">
              <w:rPr>
                <w:rFonts w:ascii="Times New Roman" w:eastAsia="新細明體" w:hAnsi="Times New Roman" w:cs="Times New Roman"/>
                <w:color w:val="000000" w:themeColor="text1"/>
                <w:sz w:val="18"/>
                <w:szCs w:val="18"/>
                <w:u w:color="FF0000"/>
                <w:lang w:eastAsia="zh-TW"/>
              </w:rPr>
              <w:t>避險比例分配」，仍能有效阻絕單一產業黑天鵝事件之突發衝擊。本研究為量化投資界提供了一個超越傳統</w:t>
            </w:r>
            <w:r w:rsidRPr="00B660F0">
              <w:rPr>
                <w:rFonts w:ascii="Times New Roman" w:eastAsia="新細明體" w:hAnsi="Times New Roman" w:cs="Times New Roman"/>
                <w:color w:val="000000" w:themeColor="text1"/>
                <w:sz w:val="18"/>
                <w:szCs w:val="18"/>
                <w:u w:color="FF0000"/>
                <w:lang w:eastAsia="zh-TW"/>
              </w:rPr>
              <w:t xml:space="preserve"> rigid </w:t>
            </w:r>
            <w:r w:rsidRPr="00B660F0">
              <w:rPr>
                <w:rFonts w:ascii="Times New Roman" w:eastAsia="新細明體" w:hAnsi="Times New Roman" w:cs="Times New Roman"/>
                <w:color w:val="000000" w:themeColor="text1"/>
                <w:sz w:val="18"/>
                <w:szCs w:val="18"/>
                <w:u w:color="FF0000"/>
                <w:lang w:eastAsia="zh-TW"/>
              </w:rPr>
              <w:t>產業劃分、具備高適應性與動態對衝彈性的統計套利新框架，能協助投資經理人更穩健地維持組合之動態市場中性（</w:t>
            </w:r>
            <w:r w:rsidRPr="00B660F0">
              <w:rPr>
                <w:rFonts w:ascii="Times New Roman" w:eastAsia="新細明體" w:hAnsi="Times New Roman" w:cs="Times New Roman"/>
                <w:color w:val="000000" w:themeColor="text1"/>
                <w:sz w:val="18"/>
                <w:szCs w:val="18"/>
                <w:u w:color="FF0000"/>
                <w:lang w:eastAsia="zh-TW"/>
              </w:rPr>
              <w:t>Dynamic Market Neutrality</w:t>
            </w:r>
            <w:r w:rsidRPr="00B660F0">
              <w:rPr>
                <w:rFonts w:ascii="Times New Roman" w:eastAsia="新細明體" w:hAnsi="Times New Roman" w:cs="Times New Roman"/>
                <w:color w:val="000000" w:themeColor="text1"/>
                <w:sz w:val="18"/>
                <w:szCs w:val="18"/>
                <w:u w:color="FF0000"/>
                <w:lang w:eastAsia="zh-TW"/>
              </w:rPr>
              <w:t>）。</w:t>
            </w:r>
          </w:p>
          <w:p w14:paraId="7E1397D5" w14:textId="06870D47" w:rsidR="00806BA4" w:rsidRPr="007D1E07" w:rsidRDefault="00806BA4" w:rsidP="008D1B53">
            <w:pPr>
              <w:pStyle w:val="Body"/>
              <w:jc w:val="both"/>
              <w:rPr>
                <w:rFonts w:ascii="Times New Roman" w:eastAsia="新細明體" w:hAnsi="Times New Roman" w:cs="Times New Roman"/>
                <w:color w:val="000000" w:themeColor="text1"/>
                <w:sz w:val="18"/>
                <w:szCs w:val="18"/>
                <w:u w:color="FF0000"/>
                <w:lang w:eastAsia="zh-TW"/>
              </w:rPr>
            </w:pPr>
          </w:p>
        </w:tc>
      </w:tr>
      <w:tr w:rsidR="004B232D" w14:paraId="5F6AF00F" w14:textId="77777777" w:rsidTr="008D1B53">
        <w:trPr>
          <w:trHeight w:val="269"/>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44103E68" w14:textId="77777777" w:rsidR="004B232D" w:rsidRPr="007730CA" w:rsidRDefault="00E93CA1" w:rsidP="008D1B53">
            <w:pPr>
              <w:pStyle w:val="Body"/>
              <w:jc w:val="both"/>
              <w:rPr>
                <w:rFonts w:ascii="Times New Roman" w:hAnsi="Times New Roman" w:cs="Times New Roman"/>
              </w:rPr>
            </w:pPr>
            <w:r w:rsidRPr="00E93CA1">
              <w:rPr>
                <w:rFonts w:ascii="Times New Roman" w:eastAsia="新細明體" w:hAnsi="Times New Roman" w:cs="Times New Roman"/>
                <w:b/>
                <w:bCs/>
                <w:sz w:val="18"/>
                <w:szCs w:val="18"/>
                <w:u w:color="000000"/>
                <w:lang w:eastAsia="zh-TW"/>
              </w:rPr>
              <w:lastRenderedPageBreak/>
              <w:t>ONE</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3E370295" w14:textId="77777777" w:rsidR="004B232D" w:rsidRPr="007730CA" w:rsidRDefault="00E93CA1" w:rsidP="008D1B53">
            <w:pPr>
              <w:pStyle w:val="Body"/>
              <w:jc w:val="both"/>
              <w:rPr>
                <w:rFonts w:ascii="Times New Roman" w:hAnsi="Times New Roman" w:cs="Times New Roman"/>
              </w:rPr>
            </w:pPr>
            <w:r w:rsidRPr="00E93CA1">
              <w:rPr>
                <w:rFonts w:ascii="Times New Roman" w:eastAsia="新細明體" w:hAnsi="Times New Roman" w:cs="Times New Roman"/>
                <w:b/>
                <w:bCs/>
                <w:sz w:val="18"/>
                <w:szCs w:val="18"/>
                <w:u w:color="000000"/>
                <w:lang w:eastAsia="zh-TW"/>
              </w:rPr>
              <w:t>One</w:t>
            </w:r>
            <w:r w:rsidRPr="00E93CA1">
              <w:rPr>
                <w:rFonts w:ascii="Times New Roman" w:eastAsia="新細明體" w:hAnsi="Times New Roman" w:cs="Times New Roman"/>
                <w:sz w:val="18"/>
                <w:szCs w:val="18"/>
                <w:u w:color="000000"/>
                <w:lang w:eastAsia="zh-TW"/>
              </w:rPr>
              <w:t xml:space="preserve"> bottom line</w:t>
            </w:r>
            <w:r w:rsidRPr="00E93CA1">
              <w:rPr>
                <w:rFonts w:ascii="Times New Roman" w:eastAsia="新細明體" w:hAnsi="Times New Roman" w:cs="Times New Roman"/>
                <w:u w:color="000000"/>
                <w:lang w:eastAsia="zh-TW"/>
              </w:rPr>
              <w:t xml:space="preserve"> </w:t>
            </w:r>
            <w:r w:rsidRPr="00E93CA1">
              <w:rPr>
                <w:rFonts w:ascii="SimSun" w:eastAsia="新細明體" w:hAnsi="SimSun" w:cs="SimSun" w:hint="eastAsia"/>
                <w:sz w:val="18"/>
                <w:szCs w:val="18"/>
                <w:u w:color="000000"/>
                <w:lang w:eastAsia="zh-TW"/>
              </w:rPr>
              <w:t>一個概要</w:t>
            </w:r>
          </w:p>
        </w:tc>
      </w:tr>
      <w:tr w:rsidR="004B232D" w14:paraId="33B576A5" w14:textId="77777777" w:rsidTr="008D1B53">
        <w:trPr>
          <w:trHeight w:val="470"/>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8858CD"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(J) Contribution?</w:t>
            </w:r>
          </w:p>
          <w:p w14:paraId="1DC372C9"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貢獻</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016E44" w14:textId="1FE351DD" w:rsidR="00EA77BE" w:rsidRPr="00EA77BE" w:rsidRDefault="00EA77BE" w:rsidP="00EA77BE">
            <w:pPr>
              <w:pStyle w:val="Body"/>
              <w:jc w:val="both"/>
              <w:rPr>
                <w:rFonts w:ascii="Times New Roman" w:eastAsia="新細明體" w:hAnsi="Times New Roman" w:cs="Times New Roman"/>
                <w:color w:val="000000" w:themeColor="text1"/>
                <w:sz w:val="18"/>
                <w:szCs w:val="18"/>
                <w:u w:color="FF0000"/>
                <w:lang w:eastAsia="zh-TW"/>
              </w:rPr>
            </w:pPr>
            <w:r w:rsidRPr="00EA77BE">
              <w:rPr>
                <w:rFonts w:ascii="Times New Roman" w:eastAsia="新細明體" w:hAnsi="Times New Roman" w:cs="Times New Roman"/>
                <w:b/>
                <w:bCs/>
                <w:color w:val="000000" w:themeColor="text1"/>
                <w:sz w:val="18"/>
                <w:szCs w:val="18"/>
                <w:u w:color="FF0000"/>
                <w:lang w:eastAsia="zh-TW"/>
              </w:rPr>
              <w:t>貢獻一　把動作空間設為唯一變因，並完整預先登記。本研究在同一條管線內固定配對來源、對沖口徑、網格格點與訓練預算，僅變動動作空間。實測三代逐日自由持倉交易端的換手率為每期單次門檻選擇的 2.1 至 4.1 倍，三條臂全部同時贏過兩個基準（BH-FDR 校正後 p ≤ 0.0004，達標 3/3，判準僅要求 2/3），Sharpe 一律不高於門檻選擇式（分別為 −0.829、−1.547、−0.298）。此數字取代本研究早期開發紀錄所載的「成本約 6 倍、Sharpe −1.1 至 −2.3」——該記載的回測明細已隨資料庫重建而不存在，本次以預先登記方式重跑後方向重現，惟量級較小，本研究以重跑結果為準並據實記錄兩者差距。假說、效果量門檻、多重比較族、凍結超參數清單與七項執行核對程序皆於回測啟動前提交版本庫；事後偏離逐筆記錄，包含一處由研究者自身實作錯誤所致、更正後使核對由失敗轉為通過的情形。</w:t>
            </w:r>
          </w:p>
          <w:p w14:paraId="7F016E44" w14:textId="1FE351DD" w:rsidR="00EA77BE" w:rsidRPr="00EA77BE" w:rsidRDefault="00EA77BE" w:rsidP="00EA77BE">
            <w:pPr>
              <w:pStyle w:val="Body"/>
              <w:jc w:val="both"/>
              <w:rPr>
                <w:rFonts w:ascii="Times New Roman" w:eastAsia="新細明體" w:hAnsi="Times New Roman" w:cs="Times New Roman"/>
                <w:color w:val="000000" w:themeColor="text1"/>
                <w:sz w:val="18"/>
                <w:szCs w:val="18"/>
                <w:u w:color="FF0000"/>
                <w:lang w:eastAsia="zh-TW"/>
              </w:rPr>
            </w:pPr>
            <w:r w:rsidRPr="00EA77BE">
              <w:rPr>
                <w:rFonts w:ascii="Times New Roman" w:eastAsia="新細明體" w:hAnsi="Times New Roman" w:cs="Times New Roman"/>
                <w:b/>
                <w:bCs/>
                <w:color w:val="000000" w:themeColor="text1"/>
                <w:sz w:val="18"/>
                <w:szCs w:val="18"/>
                <w:u w:color="FF0000"/>
                <w:lang w:eastAsia="zh-TW"/>
              </w:rPr>
              <w:t>貢獻二　分離「動作空間的形狀」與「逐對辨識能力」。既有文獻報告學習式交易端優於固定規則時，通常未區分兩者，而兩者的實務意涵相反：前者指向更好的選單設計，後者指向更好的特徵與模型。本研究以「逐對學門檻對照擴張窗最佳常數」的受控對照分離之，結論是增益來自前者。據此提出的「每期單次門檻優化＋Z-Score 狀態機執行」決策空間，涵蓋 SKIP 與 8 組邊界配置，其策略空間必然包含靜態基準，並賦予代理人主動拒絕劣質配對的選擇權——後者是固定規則不具備的選擇性。</w:t>
            </w:r>
          </w:p>
          <w:p w14:paraId="7F016E44" w14:textId="1FE351DD" w:rsidR="00EA77BE" w:rsidRPr="00EA77BE" w:rsidRDefault="00EA77BE" w:rsidP="00EA77BE">
            <w:pPr>
              <w:pStyle w:val="Body"/>
              <w:jc w:val="both"/>
              <w:rPr>
                <w:rFonts w:ascii="Times New Roman" w:eastAsia="新細明體" w:hAnsi="Times New Roman" w:cs="Times New Roman"/>
                <w:color w:val="000000" w:themeColor="text1"/>
                <w:sz w:val="18"/>
                <w:szCs w:val="18"/>
                <w:u w:color="FF0000"/>
                <w:lang w:eastAsia="zh-TW"/>
              </w:rPr>
            </w:pPr>
            <w:r w:rsidRPr="00EA77BE">
              <w:rPr>
                <w:rFonts w:ascii="Times New Roman" w:eastAsia="新細明體" w:hAnsi="Times New Roman" w:cs="Times New Roman"/>
                <w:b/>
                <w:bCs/>
                <w:color w:val="000000" w:themeColor="text1"/>
                <w:sz w:val="18"/>
                <w:szCs w:val="18"/>
                <w:u w:color="FF0000"/>
                <w:lang w:eastAsia="zh-TW"/>
              </w:rPr>
              <w:t>貢獻三　釐清增益的非來源。以三個虛無分布逐一檢驗最直觀的機械性替代解釋（SKIP 的選股方向、門檻水準、總曝險減少），並指出損益分解中的「SKIP 貢獻」是會計恆等式而非技巧歸因——底層期望值為負時，隨機跳過任一批配對在期望上都會避開損失。置換檢定證實此點：兩個配對來源的 SKIP 技巧成分為負，即其避損低於隨機跳過同樣數量。</w:t>
            </w:r>
          </w:p>
          <w:p w14:paraId="7F016E44" w14:textId="1FE351DD" w:rsidR="00EA77BE" w:rsidRPr="00EA77BE" w:rsidRDefault="00EA77BE" w:rsidP="00EA77BE">
            <w:pPr>
              <w:pStyle w:val="Body"/>
              <w:jc w:val="both"/>
              <w:rPr>
                <w:rFonts w:ascii="Times New Roman" w:eastAsia="新細明體" w:hAnsi="Times New Roman" w:cs="Times New Roman"/>
                <w:color w:val="000000" w:themeColor="text1"/>
                <w:sz w:val="18"/>
                <w:szCs w:val="18"/>
                <w:u w:color="FF0000"/>
                <w:lang w:eastAsia="zh-TW"/>
              </w:rPr>
            </w:pPr>
            <w:r w:rsidRPr="00EA77BE">
              <w:rPr>
                <w:rFonts w:ascii="Times New Roman" w:eastAsia="新細明體" w:hAnsi="Times New Roman" w:cs="Times New Roman"/>
                <w:b/>
                <w:bCs/>
                <w:color w:val="000000" w:themeColor="text1"/>
                <w:sz w:val="18"/>
                <w:szCs w:val="18"/>
                <w:u w:color="FF0000"/>
                <w:lang w:eastAsia="zh-TW"/>
              </w:rPr>
              <w:t>貢獻四　資料治理，以及一組實作缺陷的記錄。以價格資料庫的成員期間表建構動態成分股矩陣，將歷史上曾入選而後下市、併購或遭剔除者完整保留於選股池；惟 170 檔已下市者中 49 檔無價格資料，存活者偏誤未完全消除，方向為高估絕對績效，已據實揭露。另完整記錄多項實作與所宣告方法不符之處及其對結論的影響——修正後交易層的相對效果自 0/5 顯著變為 3/5 顯著，此類記錄在文獻中罕見，卻能具體量化「同一份資料在不同實作下可得出多大差異」。</w:t>
            </w:r>
          </w:p>
          <w:p w14:paraId="7F016E44" w14:textId="1FE351DD" w:rsidR="00EA77BE" w:rsidRPr="00EA77BE" w:rsidRDefault="00EA77BE" w:rsidP="00EA77BE">
            <w:pPr>
              <w:pStyle w:val="Body"/>
              <w:jc w:val="both"/>
              <w:rPr>
                <w:rFonts w:ascii="Times New Roman" w:eastAsia="新細明體" w:hAnsi="Times New Roman" w:cs="Times New Roman"/>
                <w:color w:val="000000" w:themeColor="text1"/>
                <w:sz w:val="18"/>
                <w:szCs w:val="18"/>
                <w:u w:color="FF0000"/>
                <w:lang w:eastAsia="zh-TW"/>
              </w:rPr>
            </w:pPr>
            <w:r w:rsidRPr="00EA77BE">
              <w:rPr>
                <w:rFonts w:ascii="Times New Roman" w:eastAsia="新細明體" w:hAnsi="Times New Roman" w:cs="Times New Roman"/>
                <w:b/>
                <w:bCs/>
                <w:color w:val="000000" w:themeColor="text1"/>
                <w:sz w:val="18"/>
                <w:szCs w:val="18"/>
                <w:u w:color="FF0000"/>
                <w:lang w:eastAsia="zh-TW"/>
              </w:rPr>
              <w:t>關於配對來源的一項說明。本研究原預期非監督式分群優於 GICS 產業分類，實測未獲支持，且本設計的最小可偵測效果大於參照臂自身績效，故此層僅作描述性陳述而不作統計宣稱。改用凝聚層次聚類並校準動態距離閾值，確可避免密度式分群把三成以上標的標為雜訊而排除，惟此為實作層的改善，並非一項經檢定的績效貢獻。</w:t>
            </w:r>
          </w:p>
        </w:tc>
      </w:tr>
      <w:tr w:rsidR="004B232D" w14:paraId="5A3C142D" w14:textId="77777777" w:rsidTr="008D1B53">
        <w:trPr>
          <w:trHeight w:val="2206"/>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53956916"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(K) Other Considerations</w:t>
            </w:r>
            <w:r w:rsidR="004B232D" w:rsidRPr="007730CA">
              <w:rPr>
                <w:rFonts w:ascii="Times New Roman" w:eastAsia="Calibri" w:hAnsi="Times New Roman" w:cs="Times New Roman"/>
                <w:b/>
                <w:bCs/>
                <w:sz w:val="18"/>
                <w:szCs w:val="18"/>
                <w:u w:color="000000"/>
              </w:rPr>
              <w:t xml:space="preserve"> </w:t>
            </w:r>
          </w:p>
          <w:p w14:paraId="25ED6655"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其他考慮因素</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0B2A42" w14:textId="0E67046F" w:rsidR="00914F02" w:rsidRPr="00914F02" w:rsidRDefault="00914F02" w:rsidP="00914F02">
            <w:pPr>
              <w:pStyle w:val="Body"/>
              <w:jc w:val="both"/>
              <w:rPr>
                <w:rFonts w:ascii="Times New Roman" w:eastAsia="新細明體" w:hAnsi="Times New Roman" w:cs="Times New Roman"/>
                <w:color w:val="000000" w:themeColor="text1"/>
                <w:sz w:val="18"/>
                <w:szCs w:val="18"/>
                <w:u w:color="FF0000"/>
                <w:lang w:eastAsia="zh-TW"/>
              </w:rPr>
            </w:pPr>
            <w:r w:rsidRPr="00914F02">
              <w:rPr>
                <w:rFonts w:ascii="Times New Roman" w:eastAsia="新細明體" w:hAnsi="Times New Roman" w:cs="Times New Roman"/>
                <w:b/>
                <w:bCs/>
                <w:color w:val="000000" w:themeColor="text1"/>
                <w:sz w:val="18"/>
                <w:szCs w:val="18"/>
                <w:u w:color="FF0000"/>
                <w:lang w:eastAsia="zh-TW"/>
              </w:rPr>
              <w:t>模型穩健性與執行變異。四條學習臂皆未固定隨機種子，且每臂僅執行一次；實測同組態兩次執行的每期進場次數全距達 2.0 至 2.8 倍。本研究的效果量（2.1 至 4.1 倍）大於該雜訊，且兩條基準臂為逐位確定，故結論成立；惟若要比較量級較小的設計差異，種子控制與多輪重複是必要條件，此列為後續研究的前提。本研究另以五輪獨立重訓檢驗管線修正所造成的位移是否超出訓練雜訊：120 組比較中 88 組（73.3%）修正前的 Sharpe 低於修正後四輪的最小值。</w:t>
            </w:r>
          </w:p>
          <w:p w14:paraId="1C0B2A42" w14:textId="0E67046F" w:rsidR="00914F02" w:rsidRPr="00914F02" w:rsidRDefault="00914F02" w:rsidP="00914F02">
            <w:pPr>
              <w:pStyle w:val="Body"/>
              <w:jc w:val="both"/>
              <w:rPr>
                <w:rFonts w:ascii="Times New Roman" w:eastAsia="新細明體" w:hAnsi="Times New Roman" w:cs="Times New Roman"/>
                <w:color w:val="000000" w:themeColor="text1"/>
                <w:sz w:val="18"/>
                <w:szCs w:val="18"/>
                <w:u w:color="FF0000"/>
                <w:lang w:eastAsia="zh-TW"/>
              </w:rPr>
            </w:pPr>
            <w:r w:rsidRPr="00914F02">
              <w:rPr>
                <w:rFonts w:ascii="Times New Roman" w:eastAsia="新細明體" w:hAnsi="Times New Roman" w:cs="Times New Roman"/>
                <w:b/>
                <w:bCs/>
                <w:color w:val="000000" w:themeColor="text1"/>
                <w:sz w:val="18"/>
                <w:szCs w:val="18"/>
                <w:u w:color="FF0000"/>
                <w:lang w:eastAsia="zh-TW"/>
              </w:rPr>
              <w:t>交易成本的處理方式。成本並非以獎勵函數懲罰項的方式處理——DL-THR 為監督回歸，並無獎勵函數。成本在回測引擎中逐筆實扣，並另以零成本重算作為機制歸因的手段，以及以 break-even 成本降低結論對單一成本假設的依賴。</w:t>
            </w:r>
          </w:p>
          <w:p w14:paraId="1C0B2A42" w14:textId="0E67046F" w:rsidR="00914F02" w:rsidRPr="00914F02" w:rsidRDefault="00914F02" w:rsidP="00914F02">
            <w:pPr>
              <w:pStyle w:val="Body"/>
              <w:jc w:val="both"/>
              <w:rPr>
                <w:rFonts w:ascii="Times New Roman" w:eastAsia="新細明體" w:hAnsi="Times New Roman" w:cs="Times New Roman"/>
                <w:color w:val="000000" w:themeColor="text1"/>
                <w:sz w:val="18"/>
                <w:szCs w:val="18"/>
                <w:u w:color="FF0000"/>
                <w:lang w:eastAsia="zh-TW"/>
              </w:rPr>
            </w:pPr>
            <w:r w:rsidRPr="00914F02">
              <w:rPr>
                <w:rFonts w:ascii="Times New Roman" w:eastAsia="新細明體" w:hAnsi="Times New Roman" w:cs="Times New Roman"/>
                <w:b/>
                <w:bCs/>
                <w:color w:val="000000" w:themeColor="text1"/>
                <w:sz w:val="18"/>
                <w:szCs w:val="18"/>
                <w:u w:color="FF0000"/>
                <w:lang w:eastAsia="zh-TW"/>
              </w:rPr>
              <w:t>研究範圍與其限制。母體限於 S&amp;P 500 大型股，而 Do &amp; Faff (2010) 指出報酬衰減在流動性較高的大型股上更為明顯，故本研究的母體恰為衰減最嚴重之處，結論未必外推至中小型股或其他市場；動作空間消融僅在單一配對來源、單一網格格點、單一對沖口徑與 108 個交易期上執行。</w:t>
            </w:r>
          </w:p>
          <w:p w14:paraId="1C0B2A42" w14:textId="0E67046F" w:rsidR="00914F02" w:rsidRPr="00914F02" w:rsidRDefault="00914F02" w:rsidP="00914F02">
            <w:pPr>
              <w:pStyle w:val="Body"/>
              <w:jc w:val="both"/>
              <w:rPr>
                <w:rFonts w:ascii="Times New Roman" w:eastAsia="新細明體" w:hAnsi="Times New Roman" w:cs="Times New Roman"/>
                <w:color w:val="000000" w:themeColor="text1"/>
                <w:sz w:val="18"/>
                <w:szCs w:val="18"/>
                <w:u w:color="FF0000"/>
                <w:lang w:eastAsia="zh-TW"/>
              </w:rPr>
            </w:pPr>
            <w:r w:rsidRPr="00914F02">
              <w:rPr>
                <w:rFonts w:ascii="Times New Roman" w:eastAsia="新細明體" w:hAnsi="Times New Roman" w:cs="Times New Roman"/>
                <w:b/>
                <w:bCs/>
                <w:color w:val="000000" w:themeColor="text1"/>
                <w:sz w:val="18"/>
                <w:szCs w:val="18"/>
                <w:u w:color="FF0000"/>
                <w:lang w:eastAsia="zh-TW"/>
              </w:rPr>
              <w:t>可交易性的界線。本研究不建議將所檢驗的策略直接應用於實務：以閒置現金計息的一致口徑衡量，15 格固定門檻基準無一跑贏無風險利率（最高僅 +0.009 個百分點）；最佳配置疊加門檻選擇式後的超額亦僅 +0.375 個百分點，其中尚有 +0.282 個百分點純粹來自少動用資本、閒置現金多收的利息，不應計為技巧；Deflated Sharpe Ratio 41 條策略無一通過 0.95，日均報酬是否為零的檢定 6/6 不顯著。「相對於某個基準較優」與「本身可交易」是兩個不同的主張，本研究只支持前者。</w:t>
            </w:r>
          </w:p>
        </w:tc>
      </w:tr>
    </w:tbl>
    <w:p w14:paraId="4DDEDA03" w14:textId="43CE607C" w:rsidR="00394FBE" w:rsidRDefault="00394FBE">
      <w:pPr>
        <w:rPr>
          <w:lang w:eastAsia="zh-TW"/>
        </w:rPr>
      </w:pPr>
    </w:p>
    <w:p w14:paraId="7A73B407" w14:textId="3D8A32BA" w:rsidR="000A1216" w:rsidRPr="00394FBE" w:rsidRDefault="000A1216">
      <w:pPr>
        <w:rPr>
          <w:lang w:eastAsia="zh-TW"/>
        </w:rPr>
      </w:pPr>
    </w:p>
    <w:sectPr w:rsidR="000A1216" w:rsidRPr="00394FBE" w:rsidSect="004B232D">
      <w:pgSz w:w="16838" w:h="11906" w:orient="landscape"/>
      <w:pgMar w:top="851" w:right="1440" w:bottom="567"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B7ED9" w14:textId="77777777" w:rsidR="00C00C2A" w:rsidRDefault="00C00C2A" w:rsidP="00E93CA1">
      <w:pPr>
        <w:spacing w:after="0" w:line="240" w:lineRule="auto"/>
      </w:pPr>
      <w:r>
        <w:separator/>
      </w:r>
    </w:p>
  </w:endnote>
  <w:endnote w:type="continuationSeparator" w:id="0">
    <w:p w14:paraId="40B29A83" w14:textId="77777777" w:rsidR="00C00C2A" w:rsidRDefault="00C00C2A" w:rsidP="00E93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8"/>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B3B802" w14:textId="77777777" w:rsidR="00C00C2A" w:rsidRDefault="00C00C2A" w:rsidP="00E93CA1">
      <w:pPr>
        <w:spacing w:after="0" w:line="240" w:lineRule="auto"/>
      </w:pPr>
      <w:r>
        <w:separator/>
      </w:r>
    </w:p>
  </w:footnote>
  <w:footnote w:type="continuationSeparator" w:id="0">
    <w:p w14:paraId="11C03B04" w14:textId="77777777" w:rsidR="00C00C2A" w:rsidRDefault="00C00C2A" w:rsidP="00E93C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46D6D"/>
    <w:multiLevelType w:val="hybridMultilevel"/>
    <w:tmpl w:val="5CBE75C6"/>
    <w:lvl w:ilvl="0" w:tplc="B9DE04A8">
      <w:start w:val="1"/>
      <w:numFmt w:val="decimal"/>
      <w:lvlText w:val="%1."/>
      <w:lvlJc w:val="left"/>
      <w:pPr>
        <w:ind w:left="360" w:hanging="360"/>
      </w:pPr>
      <w:rPr>
        <w:rFonts w:hint="default"/>
        <w:i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D8D11E5"/>
    <w:multiLevelType w:val="multilevel"/>
    <w:tmpl w:val="73D8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03F41"/>
    <w:multiLevelType w:val="hybridMultilevel"/>
    <w:tmpl w:val="02282A4E"/>
    <w:lvl w:ilvl="0" w:tplc="B9DE04A8">
      <w:start w:val="1"/>
      <w:numFmt w:val="decimal"/>
      <w:lvlText w:val="%1."/>
      <w:lvlJc w:val="left"/>
      <w:pPr>
        <w:ind w:left="360" w:hanging="360"/>
      </w:pPr>
      <w:rPr>
        <w:rFonts w:hint="default"/>
        <w:i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F820F80"/>
    <w:multiLevelType w:val="hybridMultilevel"/>
    <w:tmpl w:val="079EB1CC"/>
    <w:lvl w:ilvl="0" w:tplc="23221B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3600B17"/>
    <w:multiLevelType w:val="hybridMultilevel"/>
    <w:tmpl w:val="5AFE3D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7F61B7"/>
    <w:multiLevelType w:val="hybridMultilevel"/>
    <w:tmpl w:val="07B60E2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5C97304"/>
    <w:multiLevelType w:val="multilevel"/>
    <w:tmpl w:val="5E0C5DAC"/>
    <w:styleLink w:val="31"/>
    <w:lvl w:ilvl="0">
      <w:start w:val="1"/>
      <w:numFmt w:val="upperRoman"/>
      <w:lvlText w:val="(%1)"/>
      <w:lvlJc w:val="left"/>
      <w:pPr>
        <w:tabs>
          <w:tab w:val="num" w:pos="295"/>
        </w:tabs>
        <w:ind w:left="29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1">
      <w:start w:val="1"/>
      <w:numFmt w:val="upperRoman"/>
      <w:lvlText w:val="(%2)"/>
      <w:lvlJc w:val="left"/>
      <w:pPr>
        <w:tabs>
          <w:tab w:val="num" w:pos="655"/>
        </w:tabs>
        <w:ind w:left="65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2">
      <w:start w:val="1"/>
      <w:numFmt w:val="upperRoman"/>
      <w:lvlText w:val="(%3)"/>
      <w:lvlJc w:val="left"/>
      <w:pPr>
        <w:tabs>
          <w:tab w:val="num" w:pos="1015"/>
        </w:tabs>
        <w:ind w:left="101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3">
      <w:start w:val="1"/>
      <w:numFmt w:val="upperRoman"/>
      <w:lvlText w:val="(%4)"/>
      <w:lvlJc w:val="left"/>
      <w:pPr>
        <w:tabs>
          <w:tab w:val="num" w:pos="1375"/>
        </w:tabs>
        <w:ind w:left="137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4">
      <w:start w:val="1"/>
      <w:numFmt w:val="upperRoman"/>
      <w:lvlText w:val="(%5)"/>
      <w:lvlJc w:val="left"/>
      <w:pPr>
        <w:tabs>
          <w:tab w:val="num" w:pos="1735"/>
        </w:tabs>
        <w:ind w:left="173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5">
      <w:start w:val="1"/>
      <w:numFmt w:val="upperRoman"/>
      <w:lvlText w:val="(%6)"/>
      <w:lvlJc w:val="left"/>
      <w:pPr>
        <w:tabs>
          <w:tab w:val="num" w:pos="2095"/>
        </w:tabs>
        <w:ind w:left="209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6">
      <w:start w:val="1"/>
      <w:numFmt w:val="upperRoman"/>
      <w:lvlText w:val="(%7)"/>
      <w:lvlJc w:val="left"/>
      <w:pPr>
        <w:tabs>
          <w:tab w:val="num" w:pos="2455"/>
        </w:tabs>
        <w:ind w:left="245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7">
      <w:start w:val="1"/>
      <w:numFmt w:val="upperRoman"/>
      <w:lvlText w:val="(%8)"/>
      <w:lvlJc w:val="left"/>
      <w:pPr>
        <w:tabs>
          <w:tab w:val="num" w:pos="2815"/>
        </w:tabs>
        <w:ind w:left="281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8">
      <w:start w:val="1"/>
      <w:numFmt w:val="upperRoman"/>
      <w:lvlText w:val="(%9)"/>
      <w:lvlJc w:val="left"/>
      <w:pPr>
        <w:tabs>
          <w:tab w:val="num" w:pos="3175"/>
        </w:tabs>
        <w:ind w:left="317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abstractNum>
  <w:abstractNum w:abstractNumId="7" w15:restartNumberingAfterBreak="0">
    <w:nsid w:val="1F6C1B76"/>
    <w:multiLevelType w:val="multilevel"/>
    <w:tmpl w:val="7636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077AF"/>
    <w:multiLevelType w:val="hybridMultilevel"/>
    <w:tmpl w:val="744A945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29931553"/>
    <w:multiLevelType w:val="hybridMultilevel"/>
    <w:tmpl w:val="921CB9A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0" w15:restartNumberingAfterBreak="0">
    <w:nsid w:val="2B2C6F2D"/>
    <w:multiLevelType w:val="multilevel"/>
    <w:tmpl w:val="D534A634"/>
    <w:styleLink w:val="21"/>
    <w:lvl w:ilvl="0">
      <w:start w:val="1"/>
      <w:numFmt w:val="upperLetter"/>
      <w:lvlText w:val="(%1)"/>
      <w:lvlJc w:val="left"/>
      <w:pPr>
        <w:tabs>
          <w:tab w:val="num" w:pos="295"/>
        </w:tabs>
        <w:ind w:left="29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1">
      <w:start w:val="1"/>
      <w:numFmt w:val="upperLetter"/>
      <w:lvlText w:val="(%2)"/>
      <w:lvlJc w:val="left"/>
      <w:pPr>
        <w:tabs>
          <w:tab w:val="num" w:pos="655"/>
        </w:tabs>
        <w:ind w:left="65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2">
      <w:start w:val="1"/>
      <w:numFmt w:val="upperLetter"/>
      <w:lvlText w:val="(%3)"/>
      <w:lvlJc w:val="left"/>
      <w:pPr>
        <w:tabs>
          <w:tab w:val="num" w:pos="1015"/>
        </w:tabs>
        <w:ind w:left="101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3">
      <w:start w:val="1"/>
      <w:numFmt w:val="upperLetter"/>
      <w:lvlText w:val="(%4)"/>
      <w:lvlJc w:val="left"/>
      <w:pPr>
        <w:tabs>
          <w:tab w:val="num" w:pos="1375"/>
        </w:tabs>
        <w:ind w:left="137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4">
      <w:start w:val="1"/>
      <w:numFmt w:val="upperLetter"/>
      <w:lvlText w:val="(%5)"/>
      <w:lvlJc w:val="left"/>
      <w:pPr>
        <w:tabs>
          <w:tab w:val="num" w:pos="1735"/>
        </w:tabs>
        <w:ind w:left="173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5">
      <w:start w:val="1"/>
      <w:numFmt w:val="upperLetter"/>
      <w:lvlText w:val="(%6)"/>
      <w:lvlJc w:val="left"/>
      <w:pPr>
        <w:tabs>
          <w:tab w:val="num" w:pos="2095"/>
        </w:tabs>
        <w:ind w:left="209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6">
      <w:start w:val="1"/>
      <w:numFmt w:val="upperLetter"/>
      <w:lvlText w:val="(%7)"/>
      <w:lvlJc w:val="left"/>
      <w:pPr>
        <w:tabs>
          <w:tab w:val="num" w:pos="2455"/>
        </w:tabs>
        <w:ind w:left="245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7">
      <w:start w:val="1"/>
      <w:numFmt w:val="upperLetter"/>
      <w:lvlText w:val="(%8)"/>
      <w:lvlJc w:val="left"/>
      <w:pPr>
        <w:tabs>
          <w:tab w:val="num" w:pos="2815"/>
        </w:tabs>
        <w:ind w:left="281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8">
      <w:start w:val="1"/>
      <w:numFmt w:val="upperLetter"/>
      <w:lvlText w:val="(%9)"/>
      <w:lvlJc w:val="left"/>
      <w:pPr>
        <w:tabs>
          <w:tab w:val="num" w:pos="3175"/>
        </w:tabs>
        <w:ind w:left="317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abstractNum>
  <w:abstractNum w:abstractNumId="11" w15:restartNumberingAfterBreak="0">
    <w:nsid w:val="2E8604C8"/>
    <w:multiLevelType w:val="hybridMultilevel"/>
    <w:tmpl w:val="29C48A48"/>
    <w:lvl w:ilvl="0" w:tplc="B9DE04A8">
      <w:start w:val="1"/>
      <w:numFmt w:val="decimal"/>
      <w:lvlText w:val="%1."/>
      <w:lvlJc w:val="left"/>
      <w:pPr>
        <w:ind w:left="360" w:hanging="360"/>
      </w:pPr>
      <w:rPr>
        <w:rFonts w:hint="default"/>
        <w:i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12A58E8"/>
    <w:multiLevelType w:val="hybridMultilevel"/>
    <w:tmpl w:val="01DA47F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31605B3A"/>
    <w:multiLevelType w:val="hybridMultilevel"/>
    <w:tmpl w:val="336C19DC"/>
    <w:lvl w:ilvl="0" w:tplc="04090003">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3C8C0785"/>
    <w:multiLevelType w:val="multilevel"/>
    <w:tmpl w:val="57B8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A3353D"/>
    <w:multiLevelType w:val="hybridMultilevel"/>
    <w:tmpl w:val="66484348"/>
    <w:lvl w:ilvl="0" w:tplc="B9DE04A8">
      <w:start w:val="1"/>
      <w:numFmt w:val="decimal"/>
      <w:lvlText w:val="%1."/>
      <w:lvlJc w:val="left"/>
      <w:pPr>
        <w:ind w:left="360" w:hanging="360"/>
      </w:pPr>
      <w:rPr>
        <w:rFonts w:hint="default"/>
        <w:i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8F46163"/>
    <w:multiLevelType w:val="hybridMultilevel"/>
    <w:tmpl w:val="18CEFFA2"/>
    <w:lvl w:ilvl="0" w:tplc="B9DE04A8">
      <w:start w:val="1"/>
      <w:numFmt w:val="decimal"/>
      <w:lvlText w:val="%1."/>
      <w:lvlJc w:val="left"/>
      <w:pPr>
        <w:ind w:left="360" w:hanging="360"/>
      </w:pPr>
      <w:rPr>
        <w:rFonts w:hint="default"/>
        <w:i w:val="0"/>
      </w:rPr>
    </w:lvl>
    <w:lvl w:ilvl="1" w:tplc="A12A3F60">
      <w:numFmt w:val="bullet"/>
      <w:lvlText w:val=""/>
      <w:lvlJc w:val="left"/>
      <w:pPr>
        <w:ind w:left="840" w:hanging="360"/>
      </w:pPr>
      <w:rPr>
        <w:rFonts w:ascii="Times New Roman" w:eastAsia="新細明體"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C3238CF"/>
    <w:multiLevelType w:val="hybridMultilevel"/>
    <w:tmpl w:val="1DCC82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61124172"/>
    <w:multiLevelType w:val="multilevel"/>
    <w:tmpl w:val="E460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467F38"/>
    <w:multiLevelType w:val="multilevel"/>
    <w:tmpl w:val="AB6CB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030371"/>
    <w:multiLevelType w:val="multilevel"/>
    <w:tmpl w:val="AB6CB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48683E"/>
    <w:multiLevelType w:val="hybridMultilevel"/>
    <w:tmpl w:val="9FB45C7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71AA628A"/>
    <w:multiLevelType w:val="multilevel"/>
    <w:tmpl w:val="AB6CB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B54E46"/>
    <w:multiLevelType w:val="multilevel"/>
    <w:tmpl w:val="1308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EE428A"/>
    <w:multiLevelType w:val="multilevel"/>
    <w:tmpl w:val="F582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043718">
    <w:abstractNumId w:val="10"/>
  </w:num>
  <w:num w:numId="2" w16cid:durableId="884872090">
    <w:abstractNumId w:val="6"/>
  </w:num>
  <w:num w:numId="3" w16cid:durableId="2061974170">
    <w:abstractNumId w:val="3"/>
  </w:num>
  <w:num w:numId="4" w16cid:durableId="1254321833">
    <w:abstractNumId w:val="4"/>
  </w:num>
  <w:num w:numId="5" w16cid:durableId="535508977">
    <w:abstractNumId w:val="5"/>
  </w:num>
  <w:num w:numId="6" w16cid:durableId="621032301">
    <w:abstractNumId w:val="8"/>
  </w:num>
  <w:num w:numId="7" w16cid:durableId="2043509330">
    <w:abstractNumId w:val="21"/>
  </w:num>
  <w:num w:numId="8" w16cid:durableId="313879354">
    <w:abstractNumId w:val="2"/>
  </w:num>
  <w:num w:numId="9" w16cid:durableId="1861505975">
    <w:abstractNumId w:val="16"/>
  </w:num>
  <w:num w:numId="10" w16cid:durableId="1828202025">
    <w:abstractNumId w:val="15"/>
  </w:num>
  <w:num w:numId="11" w16cid:durableId="1818835058">
    <w:abstractNumId w:val="11"/>
  </w:num>
  <w:num w:numId="12" w16cid:durableId="2098405120">
    <w:abstractNumId w:val="0"/>
  </w:num>
  <w:num w:numId="13" w16cid:durableId="904488470">
    <w:abstractNumId w:val="13"/>
  </w:num>
  <w:num w:numId="14" w16cid:durableId="1373993217">
    <w:abstractNumId w:val="17"/>
  </w:num>
  <w:num w:numId="15" w16cid:durableId="1560478443">
    <w:abstractNumId w:val="12"/>
  </w:num>
  <w:num w:numId="16" w16cid:durableId="2037268177">
    <w:abstractNumId w:val="9"/>
  </w:num>
  <w:num w:numId="17" w16cid:durableId="1832524116">
    <w:abstractNumId w:val="19"/>
  </w:num>
  <w:num w:numId="18" w16cid:durableId="621502412">
    <w:abstractNumId w:val="20"/>
  </w:num>
  <w:num w:numId="19" w16cid:durableId="1318803917">
    <w:abstractNumId w:val="18"/>
  </w:num>
  <w:num w:numId="20" w16cid:durableId="32929632">
    <w:abstractNumId w:val="22"/>
  </w:num>
  <w:num w:numId="21" w16cid:durableId="765346963">
    <w:abstractNumId w:val="7"/>
  </w:num>
  <w:num w:numId="22" w16cid:durableId="187761303">
    <w:abstractNumId w:val="23"/>
  </w:num>
  <w:num w:numId="23" w16cid:durableId="981303094">
    <w:abstractNumId w:val="14"/>
  </w:num>
  <w:num w:numId="24" w16cid:durableId="2117097718">
    <w:abstractNumId w:val="24"/>
  </w:num>
  <w:num w:numId="25" w16cid:durableId="186220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32D"/>
    <w:rsid w:val="000A1216"/>
    <w:rsid w:val="000B2051"/>
    <w:rsid w:val="000F4EDE"/>
    <w:rsid w:val="00106114"/>
    <w:rsid w:val="00165EA9"/>
    <w:rsid w:val="00166473"/>
    <w:rsid w:val="00197867"/>
    <w:rsid w:val="00202454"/>
    <w:rsid w:val="002A4D8D"/>
    <w:rsid w:val="00322066"/>
    <w:rsid w:val="003328FC"/>
    <w:rsid w:val="00376BA9"/>
    <w:rsid w:val="00385DB6"/>
    <w:rsid w:val="00394FBE"/>
    <w:rsid w:val="004B232D"/>
    <w:rsid w:val="004B2F63"/>
    <w:rsid w:val="004E2207"/>
    <w:rsid w:val="00575555"/>
    <w:rsid w:val="005821AA"/>
    <w:rsid w:val="0061334F"/>
    <w:rsid w:val="0062190B"/>
    <w:rsid w:val="00673934"/>
    <w:rsid w:val="00677EDD"/>
    <w:rsid w:val="00686AC6"/>
    <w:rsid w:val="006C1E28"/>
    <w:rsid w:val="006F398C"/>
    <w:rsid w:val="006F5C83"/>
    <w:rsid w:val="00755F2A"/>
    <w:rsid w:val="007839E7"/>
    <w:rsid w:val="007D1E07"/>
    <w:rsid w:val="007E0146"/>
    <w:rsid w:val="00805C85"/>
    <w:rsid w:val="00806BA4"/>
    <w:rsid w:val="0083671D"/>
    <w:rsid w:val="008C3F34"/>
    <w:rsid w:val="00914F02"/>
    <w:rsid w:val="0093459F"/>
    <w:rsid w:val="00A058C5"/>
    <w:rsid w:val="00A36EEA"/>
    <w:rsid w:val="00B4024D"/>
    <w:rsid w:val="00B660F0"/>
    <w:rsid w:val="00B71C4F"/>
    <w:rsid w:val="00BA0A77"/>
    <w:rsid w:val="00C00C2A"/>
    <w:rsid w:val="00C12598"/>
    <w:rsid w:val="00C21E52"/>
    <w:rsid w:val="00C7583D"/>
    <w:rsid w:val="00C85463"/>
    <w:rsid w:val="00C93A99"/>
    <w:rsid w:val="00CB6520"/>
    <w:rsid w:val="00DA5DE1"/>
    <w:rsid w:val="00E05A50"/>
    <w:rsid w:val="00E424F7"/>
    <w:rsid w:val="00E73D7A"/>
    <w:rsid w:val="00E93CA1"/>
    <w:rsid w:val="00EA77BE"/>
    <w:rsid w:val="00EC7EC0"/>
    <w:rsid w:val="00ED3955"/>
    <w:rsid w:val="00EE592F"/>
    <w:rsid w:val="00F41A6C"/>
    <w:rsid w:val="00F85EBC"/>
    <w:rsid w:val="00FC6964"/>
    <w:rsid w:val="00FD53CB"/>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4F438"/>
  <w15:docId w15:val="{C6D622F4-0866-4A3D-9011-8F771026E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232D"/>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rsid w:val="004B232D"/>
    <w:pPr>
      <w:pBdr>
        <w:top w:val="nil"/>
        <w:left w:val="nil"/>
        <w:bottom w:val="nil"/>
        <w:right w:val="nil"/>
        <w:between w:val="nil"/>
        <w:bar w:val="nil"/>
      </w:pBdr>
      <w:spacing w:after="0" w:line="240" w:lineRule="auto"/>
    </w:pPr>
    <w:rPr>
      <w:rFonts w:ascii="Times New Roman" w:hAnsi="Times New Roman" w:cs="Times New Roman"/>
      <w:sz w:val="20"/>
      <w:szCs w:val="20"/>
      <w:bdr w:val="nil"/>
      <w:lang w:val="en-US" w:eastAsia="zh-CN"/>
    </w:rPr>
    <w:tblPr>
      <w:tblInd w:w="0" w:type="dxa"/>
      <w:tblCellMar>
        <w:top w:w="0" w:type="dxa"/>
        <w:left w:w="0" w:type="dxa"/>
        <w:bottom w:w="0" w:type="dxa"/>
        <w:right w:w="0" w:type="dxa"/>
      </w:tblCellMar>
    </w:tblPr>
  </w:style>
  <w:style w:type="paragraph" w:customStyle="1" w:styleId="Body">
    <w:name w:val="Body"/>
    <w:rsid w:val="004B232D"/>
    <w:pPr>
      <w:pBdr>
        <w:top w:val="nil"/>
        <w:left w:val="nil"/>
        <w:bottom w:val="nil"/>
        <w:right w:val="nil"/>
        <w:between w:val="nil"/>
        <w:bar w:val="nil"/>
      </w:pBdr>
      <w:spacing w:after="0" w:line="240" w:lineRule="auto"/>
    </w:pPr>
    <w:rPr>
      <w:rFonts w:ascii="Helvetica" w:eastAsia="Arial Unicode MS" w:hAnsi="Arial Unicode MS" w:cs="Arial Unicode MS"/>
      <w:color w:val="000000"/>
      <w:bdr w:val="nil"/>
      <w:lang w:val="en-US" w:eastAsia="zh-CN"/>
    </w:rPr>
  </w:style>
  <w:style w:type="numbering" w:customStyle="1" w:styleId="21">
    <w:name w:val="列表 21"/>
    <w:basedOn w:val="a2"/>
    <w:rsid w:val="004B232D"/>
    <w:pPr>
      <w:numPr>
        <w:numId w:val="1"/>
      </w:numPr>
    </w:pPr>
  </w:style>
  <w:style w:type="numbering" w:customStyle="1" w:styleId="31">
    <w:name w:val="列表 31"/>
    <w:basedOn w:val="a2"/>
    <w:rsid w:val="004B232D"/>
    <w:pPr>
      <w:numPr>
        <w:numId w:val="2"/>
      </w:numPr>
    </w:pPr>
  </w:style>
  <w:style w:type="paragraph" w:styleId="a3">
    <w:name w:val="header"/>
    <w:basedOn w:val="a"/>
    <w:link w:val="a4"/>
    <w:uiPriority w:val="99"/>
    <w:unhideWhenUsed/>
    <w:rsid w:val="00E93CA1"/>
    <w:pPr>
      <w:tabs>
        <w:tab w:val="center" w:pos="4153"/>
        <w:tab w:val="right" w:pos="8306"/>
      </w:tabs>
      <w:snapToGrid w:val="0"/>
    </w:pPr>
    <w:rPr>
      <w:sz w:val="20"/>
      <w:szCs w:val="20"/>
    </w:rPr>
  </w:style>
  <w:style w:type="character" w:customStyle="1" w:styleId="a4">
    <w:name w:val="頁首 字元"/>
    <w:basedOn w:val="a0"/>
    <w:link w:val="a3"/>
    <w:uiPriority w:val="99"/>
    <w:rsid w:val="00E93CA1"/>
    <w:rPr>
      <w:sz w:val="20"/>
      <w:szCs w:val="20"/>
    </w:rPr>
  </w:style>
  <w:style w:type="paragraph" w:styleId="a5">
    <w:name w:val="footer"/>
    <w:basedOn w:val="a"/>
    <w:link w:val="a6"/>
    <w:uiPriority w:val="99"/>
    <w:unhideWhenUsed/>
    <w:rsid w:val="00E93CA1"/>
    <w:pPr>
      <w:tabs>
        <w:tab w:val="center" w:pos="4153"/>
        <w:tab w:val="right" w:pos="8306"/>
      </w:tabs>
      <w:snapToGrid w:val="0"/>
    </w:pPr>
    <w:rPr>
      <w:sz w:val="20"/>
      <w:szCs w:val="20"/>
    </w:rPr>
  </w:style>
  <w:style w:type="character" w:customStyle="1" w:styleId="a6">
    <w:name w:val="頁尾 字元"/>
    <w:basedOn w:val="a0"/>
    <w:link w:val="a5"/>
    <w:uiPriority w:val="99"/>
    <w:rsid w:val="00E93CA1"/>
    <w:rPr>
      <w:sz w:val="20"/>
      <w:szCs w:val="20"/>
    </w:rPr>
  </w:style>
  <w:style w:type="character" w:styleId="a7">
    <w:name w:val="Placeholder Text"/>
    <w:basedOn w:val="a0"/>
    <w:uiPriority w:val="99"/>
    <w:semiHidden/>
    <w:rsid w:val="00C8546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54092">
      <w:bodyDiv w:val="1"/>
      <w:marLeft w:val="0"/>
      <w:marRight w:val="0"/>
      <w:marTop w:val="0"/>
      <w:marBottom w:val="0"/>
      <w:divBdr>
        <w:top w:val="none" w:sz="0" w:space="0" w:color="auto"/>
        <w:left w:val="none" w:sz="0" w:space="0" w:color="auto"/>
        <w:bottom w:val="none" w:sz="0" w:space="0" w:color="auto"/>
        <w:right w:val="none" w:sz="0" w:space="0" w:color="auto"/>
      </w:divBdr>
    </w:div>
    <w:div w:id="293295053">
      <w:bodyDiv w:val="1"/>
      <w:marLeft w:val="0"/>
      <w:marRight w:val="0"/>
      <w:marTop w:val="0"/>
      <w:marBottom w:val="0"/>
      <w:divBdr>
        <w:top w:val="none" w:sz="0" w:space="0" w:color="auto"/>
        <w:left w:val="none" w:sz="0" w:space="0" w:color="auto"/>
        <w:bottom w:val="none" w:sz="0" w:space="0" w:color="auto"/>
        <w:right w:val="none" w:sz="0" w:space="0" w:color="auto"/>
      </w:divBdr>
    </w:div>
    <w:div w:id="297684564">
      <w:bodyDiv w:val="1"/>
      <w:marLeft w:val="0"/>
      <w:marRight w:val="0"/>
      <w:marTop w:val="0"/>
      <w:marBottom w:val="0"/>
      <w:divBdr>
        <w:top w:val="none" w:sz="0" w:space="0" w:color="auto"/>
        <w:left w:val="none" w:sz="0" w:space="0" w:color="auto"/>
        <w:bottom w:val="none" w:sz="0" w:space="0" w:color="auto"/>
        <w:right w:val="none" w:sz="0" w:space="0" w:color="auto"/>
      </w:divBdr>
    </w:div>
    <w:div w:id="358432653">
      <w:bodyDiv w:val="1"/>
      <w:marLeft w:val="0"/>
      <w:marRight w:val="0"/>
      <w:marTop w:val="0"/>
      <w:marBottom w:val="0"/>
      <w:divBdr>
        <w:top w:val="none" w:sz="0" w:space="0" w:color="auto"/>
        <w:left w:val="none" w:sz="0" w:space="0" w:color="auto"/>
        <w:bottom w:val="none" w:sz="0" w:space="0" w:color="auto"/>
        <w:right w:val="none" w:sz="0" w:space="0" w:color="auto"/>
      </w:divBdr>
    </w:div>
    <w:div w:id="413824856">
      <w:bodyDiv w:val="1"/>
      <w:marLeft w:val="0"/>
      <w:marRight w:val="0"/>
      <w:marTop w:val="0"/>
      <w:marBottom w:val="0"/>
      <w:divBdr>
        <w:top w:val="none" w:sz="0" w:space="0" w:color="auto"/>
        <w:left w:val="none" w:sz="0" w:space="0" w:color="auto"/>
        <w:bottom w:val="none" w:sz="0" w:space="0" w:color="auto"/>
        <w:right w:val="none" w:sz="0" w:space="0" w:color="auto"/>
      </w:divBdr>
    </w:div>
    <w:div w:id="520974009">
      <w:bodyDiv w:val="1"/>
      <w:marLeft w:val="0"/>
      <w:marRight w:val="0"/>
      <w:marTop w:val="0"/>
      <w:marBottom w:val="0"/>
      <w:divBdr>
        <w:top w:val="none" w:sz="0" w:space="0" w:color="auto"/>
        <w:left w:val="none" w:sz="0" w:space="0" w:color="auto"/>
        <w:bottom w:val="none" w:sz="0" w:space="0" w:color="auto"/>
        <w:right w:val="none" w:sz="0" w:space="0" w:color="auto"/>
      </w:divBdr>
    </w:div>
    <w:div w:id="547378026">
      <w:bodyDiv w:val="1"/>
      <w:marLeft w:val="0"/>
      <w:marRight w:val="0"/>
      <w:marTop w:val="0"/>
      <w:marBottom w:val="0"/>
      <w:divBdr>
        <w:top w:val="none" w:sz="0" w:space="0" w:color="auto"/>
        <w:left w:val="none" w:sz="0" w:space="0" w:color="auto"/>
        <w:bottom w:val="none" w:sz="0" w:space="0" w:color="auto"/>
        <w:right w:val="none" w:sz="0" w:space="0" w:color="auto"/>
      </w:divBdr>
    </w:div>
    <w:div w:id="565579198">
      <w:bodyDiv w:val="1"/>
      <w:marLeft w:val="0"/>
      <w:marRight w:val="0"/>
      <w:marTop w:val="0"/>
      <w:marBottom w:val="0"/>
      <w:divBdr>
        <w:top w:val="none" w:sz="0" w:space="0" w:color="auto"/>
        <w:left w:val="none" w:sz="0" w:space="0" w:color="auto"/>
        <w:bottom w:val="none" w:sz="0" w:space="0" w:color="auto"/>
        <w:right w:val="none" w:sz="0" w:space="0" w:color="auto"/>
      </w:divBdr>
    </w:div>
    <w:div w:id="648091105">
      <w:bodyDiv w:val="1"/>
      <w:marLeft w:val="0"/>
      <w:marRight w:val="0"/>
      <w:marTop w:val="0"/>
      <w:marBottom w:val="0"/>
      <w:divBdr>
        <w:top w:val="none" w:sz="0" w:space="0" w:color="auto"/>
        <w:left w:val="none" w:sz="0" w:space="0" w:color="auto"/>
        <w:bottom w:val="none" w:sz="0" w:space="0" w:color="auto"/>
        <w:right w:val="none" w:sz="0" w:space="0" w:color="auto"/>
      </w:divBdr>
    </w:div>
    <w:div w:id="756514147">
      <w:bodyDiv w:val="1"/>
      <w:marLeft w:val="0"/>
      <w:marRight w:val="0"/>
      <w:marTop w:val="0"/>
      <w:marBottom w:val="0"/>
      <w:divBdr>
        <w:top w:val="none" w:sz="0" w:space="0" w:color="auto"/>
        <w:left w:val="none" w:sz="0" w:space="0" w:color="auto"/>
        <w:bottom w:val="none" w:sz="0" w:space="0" w:color="auto"/>
        <w:right w:val="none" w:sz="0" w:space="0" w:color="auto"/>
      </w:divBdr>
    </w:div>
    <w:div w:id="825245481">
      <w:bodyDiv w:val="1"/>
      <w:marLeft w:val="0"/>
      <w:marRight w:val="0"/>
      <w:marTop w:val="0"/>
      <w:marBottom w:val="0"/>
      <w:divBdr>
        <w:top w:val="none" w:sz="0" w:space="0" w:color="auto"/>
        <w:left w:val="none" w:sz="0" w:space="0" w:color="auto"/>
        <w:bottom w:val="none" w:sz="0" w:space="0" w:color="auto"/>
        <w:right w:val="none" w:sz="0" w:space="0" w:color="auto"/>
      </w:divBdr>
    </w:div>
    <w:div w:id="1142847717">
      <w:bodyDiv w:val="1"/>
      <w:marLeft w:val="0"/>
      <w:marRight w:val="0"/>
      <w:marTop w:val="0"/>
      <w:marBottom w:val="0"/>
      <w:divBdr>
        <w:top w:val="none" w:sz="0" w:space="0" w:color="auto"/>
        <w:left w:val="none" w:sz="0" w:space="0" w:color="auto"/>
        <w:bottom w:val="none" w:sz="0" w:space="0" w:color="auto"/>
        <w:right w:val="none" w:sz="0" w:space="0" w:color="auto"/>
      </w:divBdr>
    </w:div>
    <w:div w:id="1156453037">
      <w:bodyDiv w:val="1"/>
      <w:marLeft w:val="0"/>
      <w:marRight w:val="0"/>
      <w:marTop w:val="0"/>
      <w:marBottom w:val="0"/>
      <w:divBdr>
        <w:top w:val="none" w:sz="0" w:space="0" w:color="auto"/>
        <w:left w:val="none" w:sz="0" w:space="0" w:color="auto"/>
        <w:bottom w:val="none" w:sz="0" w:space="0" w:color="auto"/>
        <w:right w:val="none" w:sz="0" w:space="0" w:color="auto"/>
      </w:divBdr>
    </w:div>
    <w:div w:id="1175419816">
      <w:bodyDiv w:val="1"/>
      <w:marLeft w:val="0"/>
      <w:marRight w:val="0"/>
      <w:marTop w:val="0"/>
      <w:marBottom w:val="0"/>
      <w:divBdr>
        <w:top w:val="none" w:sz="0" w:space="0" w:color="auto"/>
        <w:left w:val="none" w:sz="0" w:space="0" w:color="auto"/>
        <w:bottom w:val="none" w:sz="0" w:space="0" w:color="auto"/>
        <w:right w:val="none" w:sz="0" w:space="0" w:color="auto"/>
      </w:divBdr>
    </w:div>
    <w:div w:id="1184900533">
      <w:bodyDiv w:val="1"/>
      <w:marLeft w:val="0"/>
      <w:marRight w:val="0"/>
      <w:marTop w:val="0"/>
      <w:marBottom w:val="0"/>
      <w:divBdr>
        <w:top w:val="none" w:sz="0" w:space="0" w:color="auto"/>
        <w:left w:val="none" w:sz="0" w:space="0" w:color="auto"/>
        <w:bottom w:val="none" w:sz="0" w:space="0" w:color="auto"/>
        <w:right w:val="none" w:sz="0" w:space="0" w:color="auto"/>
      </w:divBdr>
    </w:div>
    <w:div w:id="1188249241">
      <w:bodyDiv w:val="1"/>
      <w:marLeft w:val="0"/>
      <w:marRight w:val="0"/>
      <w:marTop w:val="0"/>
      <w:marBottom w:val="0"/>
      <w:divBdr>
        <w:top w:val="none" w:sz="0" w:space="0" w:color="auto"/>
        <w:left w:val="none" w:sz="0" w:space="0" w:color="auto"/>
        <w:bottom w:val="none" w:sz="0" w:space="0" w:color="auto"/>
        <w:right w:val="none" w:sz="0" w:space="0" w:color="auto"/>
      </w:divBdr>
    </w:div>
    <w:div w:id="1246525584">
      <w:bodyDiv w:val="1"/>
      <w:marLeft w:val="0"/>
      <w:marRight w:val="0"/>
      <w:marTop w:val="0"/>
      <w:marBottom w:val="0"/>
      <w:divBdr>
        <w:top w:val="none" w:sz="0" w:space="0" w:color="auto"/>
        <w:left w:val="none" w:sz="0" w:space="0" w:color="auto"/>
        <w:bottom w:val="none" w:sz="0" w:space="0" w:color="auto"/>
        <w:right w:val="none" w:sz="0" w:space="0" w:color="auto"/>
      </w:divBdr>
    </w:div>
    <w:div w:id="1431584750">
      <w:bodyDiv w:val="1"/>
      <w:marLeft w:val="0"/>
      <w:marRight w:val="0"/>
      <w:marTop w:val="0"/>
      <w:marBottom w:val="0"/>
      <w:divBdr>
        <w:top w:val="none" w:sz="0" w:space="0" w:color="auto"/>
        <w:left w:val="none" w:sz="0" w:space="0" w:color="auto"/>
        <w:bottom w:val="none" w:sz="0" w:space="0" w:color="auto"/>
        <w:right w:val="none" w:sz="0" w:space="0" w:color="auto"/>
      </w:divBdr>
    </w:div>
    <w:div w:id="1457211259">
      <w:bodyDiv w:val="1"/>
      <w:marLeft w:val="0"/>
      <w:marRight w:val="0"/>
      <w:marTop w:val="0"/>
      <w:marBottom w:val="0"/>
      <w:divBdr>
        <w:top w:val="none" w:sz="0" w:space="0" w:color="auto"/>
        <w:left w:val="none" w:sz="0" w:space="0" w:color="auto"/>
        <w:bottom w:val="none" w:sz="0" w:space="0" w:color="auto"/>
        <w:right w:val="none" w:sz="0" w:space="0" w:color="auto"/>
      </w:divBdr>
    </w:div>
    <w:div w:id="1466660386">
      <w:bodyDiv w:val="1"/>
      <w:marLeft w:val="0"/>
      <w:marRight w:val="0"/>
      <w:marTop w:val="0"/>
      <w:marBottom w:val="0"/>
      <w:divBdr>
        <w:top w:val="none" w:sz="0" w:space="0" w:color="auto"/>
        <w:left w:val="none" w:sz="0" w:space="0" w:color="auto"/>
        <w:bottom w:val="none" w:sz="0" w:space="0" w:color="auto"/>
        <w:right w:val="none" w:sz="0" w:space="0" w:color="auto"/>
      </w:divBdr>
    </w:div>
    <w:div w:id="1577938160">
      <w:bodyDiv w:val="1"/>
      <w:marLeft w:val="0"/>
      <w:marRight w:val="0"/>
      <w:marTop w:val="0"/>
      <w:marBottom w:val="0"/>
      <w:divBdr>
        <w:top w:val="none" w:sz="0" w:space="0" w:color="auto"/>
        <w:left w:val="none" w:sz="0" w:space="0" w:color="auto"/>
        <w:bottom w:val="none" w:sz="0" w:space="0" w:color="auto"/>
        <w:right w:val="none" w:sz="0" w:space="0" w:color="auto"/>
      </w:divBdr>
    </w:div>
    <w:div w:id="1716078537">
      <w:bodyDiv w:val="1"/>
      <w:marLeft w:val="0"/>
      <w:marRight w:val="0"/>
      <w:marTop w:val="0"/>
      <w:marBottom w:val="0"/>
      <w:divBdr>
        <w:top w:val="none" w:sz="0" w:space="0" w:color="auto"/>
        <w:left w:val="none" w:sz="0" w:space="0" w:color="auto"/>
        <w:bottom w:val="none" w:sz="0" w:space="0" w:color="auto"/>
        <w:right w:val="none" w:sz="0" w:space="0" w:color="auto"/>
      </w:divBdr>
    </w:div>
    <w:div w:id="1737849423">
      <w:bodyDiv w:val="1"/>
      <w:marLeft w:val="0"/>
      <w:marRight w:val="0"/>
      <w:marTop w:val="0"/>
      <w:marBottom w:val="0"/>
      <w:divBdr>
        <w:top w:val="none" w:sz="0" w:space="0" w:color="auto"/>
        <w:left w:val="none" w:sz="0" w:space="0" w:color="auto"/>
        <w:bottom w:val="none" w:sz="0" w:space="0" w:color="auto"/>
        <w:right w:val="none" w:sz="0" w:space="0" w:color="auto"/>
      </w:divBdr>
    </w:div>
    <w:div w:id="1916935488">
      <w:bodyDiv w:val="1"/>
      <w:marLeft w:val="0"/>
      <w:marRight w:val="0"/>
      <w:marTop w:val="0"/>
      <w:marBottom w:val="0"/>
      <w:divBdr>
        <w:top w:val="none" w:sz="0" w:space="0" w:color="auto"/>
        <w:left w:val="none" w:sz="0" w:space="0" w:color="auto"/>
        <w:bottom w:val="none" w:sz="0" w:space="0" w:color="auto"/>
        <w:right w:val="none" w:sz="0" w:space="0" w:color="auto"/>
      </w:divBdr>
    </w:div>
    <w:div w:id="2113471509">
      <w:bodyDiv w:val="1"/>
      <w:marLeft w:val="0"/>
      <w:marRight w:val="0"/>
      <w:marTop w:val="0"/>
      <w:marBottom w:val="0"/>
      <w:divBdr>
        <w:top w:val="none" w:sz="0" w:space="0" w:color="auto"/>
        <w:left w:val="none" w:sz="0" w:space="0" w:color="auto"/>
        <w:bottom w:val="none" w:sz="0" w:space="0" w:color="auto"/>
        <w:right w:val="none" w:sz="0" w:space="0" w:color="auto"/>
      </w:divBdr>
    </w:div>
    <w:div w:id="2121367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1585</Words>
  <Characters>9039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Faff</dc:creator>
  <cp:lastModifiedBy>李伯修</cp:lastModifiedBy>
  <cp:revision>36</cp:revision>
  <dcterms:created xsi:type="dcterms:W3CDTF">2026-07-07T06:07:00Z</dcterms:created>
  <dcterms:modified xsi:type="dcterms:W3CDTF">2026-07-21T06:48:00Z</dcterms:modified>
</cp:coreProperties>
</file>