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FFF23" w14:textId="77777777" w:rsidR="004B232D" w:rsidRPr="004B232D" w:rsidRDefault="00E93CA1" w:rsidP="004B232D">
      <w:pPr>
        <w:pStyle w:val="Body"/>
        <w:jc w:val="both"/>
        <w:rPr>
          <w:rFonts w:ascii="Times New Roman" w:eastAsia="Times New Roman" w:hAnsi="Times New Roman" w:cs="Times New Roman"/>
          <w:b/>
          <w:bCs/>
          <w:color w:val="FF0000"/>
          <w:sz w:val="20"/>
          <w:szCs w:val="20"/>
        </w:rPr>
      </w:pPr>
      <w:r>
        <w:rPr>
          <w:rFonts w:ascii="Times New Roman" w:hAnsi="Times New Roman" w:cs="Times New Roman"/>
          <w:b/>
          <w:bCs/>
          <w:color w:val="FF0000"/>
          <w:sz w:val="20"/>
          <w:szCs w:val="20"/>
          <w:lang w:eastAsia="zh-TW"/>
        </w:rPr>
        <w:t>A160: Chinese L</w:t>
      </w:r>
      <w:r w:rsidRPr="004B232D">
        <w:rPr>
          <w:rFonts w:ascii="Times New Roman" w:hAnsi="Times New Roman" w:cs="Times New Roman"/>
          <w:b/>
          <w:bCs/>
          <w:color w:val="FF0000"/>
          <w:sz w:val="20"/>
          <w:szCs w:val="20"/>
          <w:lang w:eastAsia="zh-TW"/>
        </w:rPr>
        <w:t xml:space="preserve">anguage Version of </w:t>
      </w:r>
      <w:proofErr w:type="spellStart"/>
      <w:r w:rsidRPr="004B232D">
        <w:rPr>
          <w:rFonts w:ascii="Times New Roman" w:hAnsi="Times New Roman" w:cs="Times New Roman"/>
          <w:b/>
          <w:bCs/>
          <w:color w:val="FF0000"/>
          <w:sz w:val="20"/>
          <w:szCs w:val="20"/>
          <w:lang w:eastAsia="zh-TW"/>
        </w:rPr>
        <w:t>Faff’s</w:t>
      </w:r>
      <w:proofErr w:type="spellEnd"/>
      <w:r w:rsidRPr="004B232D">
        <w:rPr>
          <w:rFonts w:ascii="Times New Roman" w:hAnsi="Times New Roman" w:cs="Times New Roman"/>
          <w:b/>
          <w:bCs/>
          <w:color w:val="FF0000"/>
          <w:sz w:val="20"/>
          <w:szCs w:val="20"/>
          <w:lang w:eastAsia="zh-TW"/>
        </w:rPr>
        <w:t xml:space="preserve"> (2015, 2017) Pitching Template – Cued</w:t>
      </w:r>
      <w:r w:rsidR="004B232D" w:rsidRPr="004B232D">
        <w:rPr>
          <w:rFonts w:ascii="Times New Roman" w:hAnsi="Times New Roman" w:cs="Times New Roman"/>
          <w:b/>
          <w:bCs/>
          <w:color w:val="FF0000"/>
          <w:sz w:val="20"/>
          <w:szCs w:val="20"/>
        </w:rPr>
        <w:t xml:space="preserve"> </w:t>
      </w:r>
    </w:p>
    <w:tbl>
      <w:tblPr>
        <w:tblStyle w:val="TableNormal1"/>
        <w:tblW w:w="1386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52"/>
        <w:gridCol w:w="4111"/>
        <w:gridCol w:w="1418"/>
        <w:gridCol w:w="2126"/>
        <w:gridCol w:w="2125"/>
        <w:gridCol w:w="1532"/>
      </w:tblGrid>
      <w:tr w:rsidR="004B232D" w:rsidRPr="0084156B" w14:paraId="2A60ACE4" w14:textId="77777777" w:rsidTr="008D1B53">
        <w:trPr>
          <w:trHeight w:val="76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BC750" w14:textId="77777777" w:rsidR="004B232D" w:rsidRPr="0084156B" w:rsidRDefault="00E93CA1" w:rsidP="008D1B53">
            <w:pPr>
              <w:pStyle w:val="Body"/>
              <w:spacing w:after="200" w:line="276" w:lineRule="auto"/>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Pitcher’s Name</w:t>
            </w:r>
          </w:p>
          <w:p w14:paraId="167A53F5" w14:textId="77777777" w:rsidR="004B232D" w:rsidRPr="0084156B" w:rsidRDefault="00E93CA1" w:rsidP="008D1B53">
            <w:pPr>
              <w:pStyle w:val="Body"/>
              <w:spacing w:after="200" w:line="276" w:lineRule="auto"/>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論文寫作者姓名</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39646" w14:textId="2FCE95DD" w:rsidR="004B232D" w:rsidRPr="007D1E07" w:rsidRDefault="00F4271A" w:rsidP="008D1B53">
            <w:pPr>
              <w:pStyle w:val="Body"/>
              <w:jc w:val="both"/>
              <w:rPr>
                <w:rFonts w:ascii="Times New Roman" w:eastAsiaTheme="minorEastAsia" w:hAnsi="Times New Roman" w:cs="Times New Roman"/>
                <w:color w:val="000000" w:themeColor="text1"/>
                <w:sz w:val="16"/>
                <w:szCs w:val="16"/>
              </w:rPr>
            </w:pPr>
            <w:r>
              <w:rPr>
                <w:rFonts w:ascii="Times New Roman" w:eastAsia="新細明體" w:hAnsi="Times New Roman" w:cs="Times New Roman" w:hint="eastAsia"/>
                <w:color w:val="000000" w:themeColor="text1"/>
                <w:sz w:val="16"/>
                <w:szCs w:val="16"/>
                <w:u w:color="FF0000"/>
                <w:lang w:eastAsia="zh-TW"/>
              </w:rPr>
              <w:t>Bo-</w:t>
            </w:r>
            <w:proofErr w:type="spellStart"/>
            <w:r>
              <w:rPr>
                <w:rFonts w:ascii="Times New Roman" w:eastAsia="新細明體" w:hAnsi="Times New Roman" w:cs="Times New Roman" w:hint="eastAsia"/>
                <w:color w:val="000000" w:themeColor="text1"/>
                <w:sz w:val="16"/>
                <w:szCs w:val="16"/>
                <w:u w:color="FF0000"/>
                <w:lang w:eastAsia="zh-TW"/>
              </w:rPr>
              <w:t>Siou</w:t>
            </w:r>
            <w:proofErr w:type="spellEnd"/>
            <w:r>
              <w:rPr>
                <w:rFonts w:ascii="Times New Roman" w:eastAsia="新細明體" w:hAnsi="Times New Roman" w:cs="Times New Roman" w:hint="eastAsia"/>
                <w:color w:val="000000" w:themeColor="text1"/>
                <w:sz w:val="16"/>
                <w:szCs w:val="16"/>
                <w:u w:color="FF0000"/>
                <w:lang w:eastAsia="zh-TW"/>
              </w:rPr>
              <w:t xml:space="preserve"> Li</w:t>
            </w:r>
          </w:p>
        </w:tc>
        <w:tc>
          <w:tcPr>
            <w:tcW w:w="1418"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34D8E514" w14:textId="77777777" w:rsidR="004B232D" w:rsidRPr="0084156B" w:rsidRDefault="00E93CA1" w:rsidP="008D1B53">
            <w:pPr>
              <w:pStyle w:val="Body"/>
              <w:jc w:val="both"/>
              <w:rPr>
                <w:rFonts w:ascii="Times New Roman" w:eastAsia="Times New Roman" w:hAnsi="Times New Roman" w:cs="Times New Roman"/>
                <w:sz w:val="16"/>
                <w:szCs w:val="16"/>
                <w:u w:color="000000"/>
              </w:rPr>
            </w:pPr>
            <w:proofErr w:type="spellStart"/>
            <w:r w:rsidRPr="00E93CA1">
              <w:rPr>
                <w:rFonts w:ascii="Times New Roman" w:eastAsia="新細明體" w:hAnsi="Times New Roman" w:cs="Times New Roman"/>
                <w:sz w:val="16"/>
                <w:szCs w:val="16"/>
                <w:u w:color="000000"/>
                <w:lang w:eastAsia="zh-TW"/>
              </w:rPr>
              <w:t>FoR</w:t>
            </w:r>
            <w:proofErr w:type="spellEnd"/>
            <w:r w:rsidRPr="00E93CA1">
              <w:rPr>
                <w:rFonts w:ascii="Times New Roman" w:eastAsia="新細明體" w:hAnsi="Times New Roman" w:cs="Times New Roman"/>
                <w:sz w:val="16"/>
                <w:szCs w:val="16"/>
                <w:u w:color="000000"/>
                <w:lang w:eastAsia="zh-TW"/>
              </w:rPr>
              <w:t xml:space="preserve"> category</w:t>
            </w:r>
          </w:p>
          <w:p w14:paraId="7FD90E99"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sz w:val="16"/>
                <w:szCs w:val="16"/>
                <w:u w:color="000000"/>
                <w:lang w:eastAsia="zh-TW"/>
              </w:rPr>
              <w:t>論文類別</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11F7B9" w14:textId="308DA6FD"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hint="eastAsia"/>
                <w:color w:val="000000" w:themeColor="text1"/>
                <w:sz w:val="16"/>
                <w:szCs w:val="16"/>
                <w:u w:color="FF0000"/>
                <w:lang w:eastAsia="zh-TW"/>
              </w:rPr>
              <w:t>Quantitative Finance</w:t>
            </w:r>
          </w:p>
        </w:tc>
        <w:tc>
          <w:tcPr>
            <w:tcW w:w="2125" w:type="dxa"/>
            <w:tcBorders>
              <w:top w:val="single" w:sz="4" w:space="0" w:color="000000"/>
              <w:left w:val="single" w:sz="4" w:space="0" w:color="000000"/>
              <w:bottom w:val="single" w:sz="4" w:space="0" w:color="000000"/>
              <w:right w:val="single" w:sz="4" w:space="0" w:color="000000"/>
            </w:tcBorders>
            <w:shd w:val="clear" w:color="auto" w:fill="CCCCCC"/>
            <w:tcMar>
              <w:top w:w="80" w:type="dxa"/>
              <w:left w:w="80" w:type="dxa"/>
              <w:bottom w:w="80" w:type="dxa"/>
              <w:right w:w="80" w:type="dxa"/>
            </w:tcMar>
          </w:tcPr>
          <w:p w14:paraId="5D593CA9" w14:textId="77777777" w:rsidR="004B232D" w:rsidRPr="0084156B" w:rsidRDefault="00E93CA1" w:rsidP="008D1B53">
            <w:pPr>
              <w:pStyle w:val="Body"/>
              <w:jc w:val="both"/>
              <w:rPr>
                <w:rFonts w:ascii="Times New Roman" w:eastAsia="Times New Roman" w:hAnsi="Times New Roman" w:cs="Times New Roman"/>
                <w:b/>
                <w:bCs/>
                <w:sz w:val="16"/>
                <w:szCs w:val="16"/>
                <w:u w:color="000000"/>
              </w:rPr>
            </w:pPr>
            <w:r w:rsidRPr="00E93CA1">
              <w:rPr>
                <w:rFonts w:ascii="Times New Roman" w:eastAsia="新細明體" w:hAnsi="Times New Roman" w:cs="Times New Roman"/>
                <w:b/>
                <w:bCs/>
                <w:sz w:val="16"/>
                <w:szCs w:val="16"/>
                <w:u w:color="000000"/>
                <w:lang w:eastAsia="zh-TW"/>
              </w:rPr>
              <w:t>Date Completed</w:t>
            </w:r>
          </w:p>
          <w:p w14:paraId="43791209" w14:textId="77777777" w:rsidR="004B232D" w:rsidRPr="0084156B" w:rsidRDefault="004B232D" w:rsidP="008D1B53">
            <w:pPr>
              <w:pStyle w:val="Body"/>
              <w:jc w:val="both"/>
              <w:rPr>
                <w:rFonts w:ascii="Times New Roman" w:eastAsia="Times New Roman" w:hAnsi="Times New Roman" w:cs="Times New Roman"/>
                <w:b/>
                <w:bCs/>
                <w:sz w:val="16"/>
                <w:szCs w:val="16"/>
                <w:u w:color="000000"/>
              </w:rPr>
            </w:pPr>
          </w:p>
          <w:p w14:paraId="16B5B9AA" w14:textId="77777777" w:rsidR="004B232D" w:rsidRPr="0084156B" w:rsidRDefault="00E93CA1" w:rsidP="008D1B53">
            <w:pPr>
              <w:pStyle w:val="Body"/>
              <w:jc w:val="both"/>
              <w:rPr>
                <w:rFonts w:ascii="Times New Roman" w:hAnsi="Times New Roman" w:cs="Times New Roman"/>
                <w:sz w:val="16"/>
                <w:szCs w:val="16"/>
              </w:rPr>
            </w:pPr>
            <w:r w:rsidRPr="00E93CA1">
              <w:rPr>
                <w:rFonts w:ascii="SimSun" w:eastAsia="新細明體" w:hAnsi="SimSun" w:cs="SimSun" w:hint="eastAsia"/>
                <w:b/>
                <w:bCs/>
                <w:sz w:val="16"/>
                <w:szCs w:val="16"/>
                <w:u w:color="000000"/>
                <w:lang w:eastAsia="zh-TW"/>
              </w:rPr>
              <w:t>完成時間</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A072CB" w14:textId="77777777" w:rsidR="004B232D" w:rsidRPr="007D1E07" w:rsidRDefault="00673934" w:rsidP="008D1B53">
            <w:pPr>
              <w:pStyle w:val="Body"/>
              <w:jc w:val="both"/>
              <w:rPr>
                <w:rFonts w:ascii="Times New Roman" w:hAnsi="Times New Roman" w:cs="Times New Roman"/>
                <w:color w:val="000000" w:themeColor="text1"/>
                <w:sz w:val="16"/>
                <w:szCs w:val="16"/>
              </w:rPr>
            </w:pPr>
            <w:r w:rsidRPr="007D1E07">
              <w:rPr>
                <w:rFonts w:ascii="Times New Roman" w:eastAsia="新細明體" w:hAnsi="Times New Roman" w:cs="Times New Roman"/>
                <w:color w:val="000000" w:themeColor="text1"/>
                <w:sz w:val="16"/>
                <w:szCs w:val="16"/>
                <w:u w:color="FF0000"/>
                <w:lang w:eastAsia="zh-TW"/>
              </w:rPr>
              <w:t>2026-07</w:t>
            </w:r>
          </w:p>
        </w:tc>
      </w:tr>
      <w:tr w:rsidR="004B232D" w14:paraId="7F0AB8DF"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D563D2" w14:textId="77777777" w:rsidR="004B232D" w:rsidRPr="007730CA" w:rsidRDefault="00E93CA1" w:rsidP="004B232D">
            <w:pPr>
              <w:pStyle w:val="Body"/>
              <w:numPr>
                <w:ilvl w:val="0"/>
                <w:numId w:val="1"/>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Working Title</w:t>
            </w:r>
          </w:p>
          <w:p w14:paraId="6A63439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論文課題</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24923A" w14:textId="2A04DADA" w:rsidR="007D1E07" w:rsidRPr="007D1E07" w:rsidRDefault="007D1E07" w:rsidP="008D1B53">
            <w:pPr>
              <w:pStyle w:val="Body"/>
              <w:jc w:val="both"/>
              <w:rPr>
                <w:rFonts w:ascii="Times New Roman" w:hAnsi="Times New Roman" w:cs="Times New Roman"/>
                <w:color w:val="000000" w:themeColor="text1"/>
              </w:rPr>
            </w:pPr>
            <w:r w:rsidRPr="007D1E07">
              <w:rPr>
                <w:rFonts w:ascii="Times New Roman" w:hAnsi="Times New Roman" w:cs="Times New Roman"/>
                <w:color w:val="000000" w:themeColor="text1"/>
              </w:rPr>
              <w:t>Construction and Empirical Investigation of a Pairs Trading System Combining Pair-Source Assembly and Action-Space Design: Evidence from the S&amp;P 500</w:t>
            </w:r>
          </w:p>
        </w:tc>
      </w:tr>
      <w:tr w:rsidR="004B232D" w14:paraId="62A82B21" w14:textId="77777777" w:rsidTr="008D1B53">
        <w:trPr>
          <w:trHeight w:val="465"/>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9634250"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(B) Basic Research Question</w:t>
            </w:r>
          </w:p>
          <w:p w14:paraId="4FF3E847"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基本研究題目</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A81011" w14:textId="77777777" w:rsidR="004B232D" w:rsidRDefault="00F4271A" w:rsidP="008D1B53">
            <w:pPr>
              <w:pStyle w:val="Body"/>
              <w:jc w:val="both"/>
              <w:rPr>
                <w:rFonts w:ascii="Times New Roman" w:eastAsia="新細明體" w:hAnsi="Times New Roman" w:cs="Times New Roman"/>
                <w:color w:val="000000" w:themeColor="text1"/>
                <w:sz w:val="18"/>
                <w:szCs w:val="18"/>
                <w:u w:color="FF0000"/>
                <w:lang w:eastAsia="zh-TW"/>
              </w:rPr>
            </w:pPr>
            <w:r w:rsidRPr="00F4271A">
              <w:rPr>
                <w:rFonts w:ascii="Times New Roman" w:eastAsia="新細明體" w:hAnsi="Times New Roman" w:cs="Times New Roman"/>
                <w:color w:val="000000" w:themeColor="text1"/>
                <w:sz w:val="18"/>
                <w:szCs w:val="18"/>
                <w:u w:color="FF0000"/>
                <w:lang w:eastAsia="zh-TW"/>
              </w:rPr>
              <w:t>This study asks how the design of the action space determines the success of a learning-based pairs trading module, decomposed into three questions.</w:t>
            </w:r>
          </w:p>
          <w:p w14:paraId="04A81011" w14:textId="77777777" w:rsidR="004B232D" w:rsidRDefault="00F4271A" w:rsidP="008D1B53">
            <w:pPr>
              <w:pStyle w:val="Body"/>
              <w:jc w:val="both"/>
              <w:rPr>
                <w:rFonts w:ascii="Times New Roman" w:eastAsia="新細明體" w:hAnsi="Times New Roman" w:cs="Times New Roman"/>
                <w:color w:val="000000" w:themeColor="text1"/>
                <w:sz w:val="18"/>
                <w:szCs w:val="18"/>
                <w:u w:color="FF0000"/>
                <w:lang w:eastAsia="zh-TW"/>
              </w:rPr>
            </w:pPr>
            <w:r w:rsidRPr="00F4271A">
              <w:rPr>
                <w:rFonts w:ascii="Times New Roman" w:eastAsia="新細明體" w:hAnsi="Times New Roman" w:cs="Times New Roman"/>
                <w:color w:val="000000" w:themeColor="text1"/>
                <w:sz w:val="18"/>
                <w:szCs w:val="18"/>
                <w:u w:color="FF0000"/>
                <w:lang w:eastAsia="zh-TW"/>
              </w:rPr>
              <w:t>Q1 (Is the action space a binding constraint?) Holding pair source, hedging convention, grid cell, and training budget identical, does expanding the number of decisions available per trading period from zero (a fixed threshold), to one (selecting one threshold pair per period), to at most 126 (freely choosing a position each day) systematically induce overtrading and performance deterioration?</w:t>
            </w:r>
          </w:p>
          <w:p w14:paraId="04A81011" w14:textId="77777777" w:rsidR="004B232D" w:rsidRDefault="00F4271A" w:rsidP="008D1B53">
            <w:pPr>
              <w:pStyle w:val="Body"/>
              <w:jc w:val="both"/>
              <w:rPr>
                <w:rFonts w:ascii="Times New Roman" w:eastAsia="新細明體" w:hAnsi="Times New Roman" w:cs="Times New Roman"/>
                <w:color w:val="000000" w:themeColor="text1"/>
                <w:sz w:val="18"/>
                <w:szCs w:val="18"/>
                <w:u w:color="FF0000"/>
                <w:lang w:eastAsia="zh-TW"/>
              </w:rPr>
            </w:pPr>
            <w:r w:rsidRPr="00F4271A">
              <w:rPr>
                <w:rFonts w:ascii="Times New Roman" w:eastAsia="新細明體" w:hAnsi="Times New Roman" w:cs="Times New Roman"/>
                <w:color w:val="000000" w:themeColor="text1"/>
                <w:sz w:val="18"/>
                <w:szCs w:val="18"/>
                <w:u w:color="FF0000"/>
                <w:lang w:eastAsia="zh-TW"/>
              </w:rPr>
              <w:t>Q2 (Does pair-level discrimination exist?) Once the action space is reduced to a single threshold choice per period, can a model identify the threshold appropriate to each individual pair — that is, can it outperform an expanding-window optimal constant that performs no discrimination at all?</w:t>
            </w:r>
          </w:p>
          <w:p w14:paraId="04A81011" w14:textId="77777777" w:rsidR="004B232D" w:rsidRDefault="00F4271A" w:rsidP="008D1B53">
            <w:pPr>
              <w:pStyle w:val="Body"/>
              <w:jc w:val="both"/>
              <w:rPr>
                <w:rFonts w:ascii="Times New Roman" w:eastAsia="新細明體" w:hAnsi="Times New Roman" w:cs="Times New Roman"/>
                <w:color w:val="000000" w:themeColor="text1"/>
                <w:sz w:val="18"/>
                <w:szCs w:val="18"/>
                <w:u w:color="FF0000"/>
                <w:lang w:eastAsia="zh-TW"/>
              </w:rPr>
            </w:pPr>
            <w:r w:rsidRPr="00F4271A">
              <w:rPr>
                <w:rFonts w:ascii="Times New Roman" w:eastAsia="新細明體" w:hAnsi="Times New Roman" w:cs="Times New Roman"/>
                <w:color w:val="000000" w:themeColor="text1"/>
                <w:sz w:val="18"/>
                <w:szCs w:val="18"/>
                <w:u w:color="FF0000"/>
                <w:lang w:eastAsia="zh-TW"/>
              </w:rPr>
              <w:t>Q3 (The relative effect and its boundary.) Relative to a fixed threshold, does threshold selection deliver a robust advantage across five pair sources; and under which return convention does that advantage hold, versus under which does it fail to support a claim of tradability?</w:t>
            </w:r>
          </w:p>
          <w:p w14:paraId="04A81011" w14:textId="77777777" w:rsidR="004B232D" w:rsidRDefault="00F4271A" w:rsidP="008D1B53">
            <w:pPr>
              <w:pStyle w:val="Body"/>
              <w:jc w:val="both"/>
              <w:rPr>
                <w:rFonts w:ascii="Times New Roman" w:eastAsia="新細明體" w:hAnsi="Times New Roman" w:cs="Times New Roman"/>
                <w:color w:val="000000" w:themeColor="text1"/>
                <w:sz w:val="18"/>
                <w:szCs w:val="18"/>
                <w:u w:color="FF0000"/>
                <w:lang w:eastAsia="zh-TW"/>
              </w:rPr>
            </w:pPr>
            <w:r w:rsidRPr="00F4271A">
              <w:rPr>
                <w:rFonts w:ascii="Times New Roman" w:eastAsia="新細明體" w:hAnsi="Times New Roman" w:cs="Times New Roman"/>
                <w:color w:val="000000" w:themeColor="text1"/>
                <w:sz w:val="18"/>
                <w:szCs w:val="18"/>
                <w:u w:color="FF0000"/>
                <w:lang w:eastAsia="zh-TW"/>
              </w:rPr>
              <w:t>The third question is deliberately not posed as “can the system obtain statistically significant robust excess returns”. This study answers yes at the relative level and no at the absolute level; the two must not be conflated, so the convention has to be written into the question itself.</w:t>
            </w:r>
          </w:p>
        </w:tc>
      </w:tr>
      <w:tr w:rsidR="001D51BE" w14:paraId="392B1EA0" w14:textId="77777777" w:rsidTr="008D1B53">
        <w:trPr>
          <w:trHeight w:val="9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88B875F" w14:textId="77777777" w:rsidR="001D51BE" w:rsidRPr="007730CA" w:rsidRDefault="001D51BE" w:rsidP="001D51BE">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(C) Key paper(s)</w:t>
            </w:r>
          </w:p>
          <w:p w14:paraId="4BD5476A" w14:textId="77777777" w:rsidR="001D51BE" w:rsidRPr="007730CA" w:rsidRDefault="001D51BE" w:rsidP="001D51BE">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重要文獻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88DC2" w14:textId="43120CAA" w:rsidR="001D51BE" w:rsidRPr="004E2207" w:rsidRDefault="001D51BE" w:rsidP="001D51BE">
            <w:pPr>
              <w:pStyle w:val="Body"/>
              <w:jc w:val="both"/>
              <w:rPr>
                <w:rFonts w:ascii="Times New Roman" w:eastAsia="新細明體" w:hAnsi="Times New Roman" w:cs="Times New Roman" w:hint="eastAsia"/>
                <w:color w:val="000000" w:themeColor="text1"/>
                <w:sz w:val="18"/>
                <w:szCs w:val="18"/>
                <w:u w:color="FF0000"/>
                <w:lang w:val="en-AU" w:eastAsia="zh-TW"/>
              </w:rPr>
            </w:pPr>
            <w:r>
              <w:rPr>
                <w:rFonts w:ascii="Times New Roman" w:eastAsia="新細明體" w:hAnsi="Times New Roman" w:cs="Times New Roman" w:hint="eastAsia"/>
                <w:color w:val="000000" w:themeColor="text1"/>
                <w:sz w:val="18"/>
                <w:szCs w:val="18"/>
                <w:u w:color="FF0000"/>
                <w:lang w:val="en-AU" w:eastAsia="zh-TW"/>
              </w:rPr>
              <w:t>Basic</w:t>
            </w:r>
          </w:p>
          <w:p w14:paraId="2BA2FC2E" w14:textId="77777777" w:rsidR="001D51BE" w:rsidRPr="004E2207" w:rsidRDefault="001D51BE" w:rsidP="001D51BE">
            <w:pPr>
              <w:pStyle w:val="Body"/>
              <w:numPr>
                <w:ilvl w:val="0"/>
                <w:numId w:val="8"/>
              </w:numPr>
              <w:jc w:val="both"/>
              <w:rPr>
                <w:rFonts w:ascii="Times New Roman" w:eastAsia="新細明體" w:hAnsi="Times New Roman" w:cs="Times New Roman"/>
                <w:color w:val="000000" w:themeColor="text1"/>
                <w:sz w:val="18"/>
                <w:szCs w:val="18"/>
                <w:u w:color="FF0000"/>
                <w:lang w:val="en-AU" w:eastAsia="zh-TW"/>
              </w:rPr>
            </w:pPr>
            <w:proofErr w:type="spellStart"/>
            <w:r w:rsidRPr="004E2207">
              <w:rPr>
                <w:rFonts w:ascii="Times New Roman" w:eastAsia="新細明體" w:hAnsi="Times New Roman" w:cs="Times New Roman"/>
                <w:color w:val="000000" w:themeColor="text1"/>
                <w:sz w:val="18"/>
                <w:szCs w:val="18"/>
                <w:u w:color="FF0000"/>
                <w:lang w:eastAsia="zh-TW"/>
              </w:rPr>
              <w:t>Gatev</w:t>
            </w:r>
            <w:proofErr w:type="spellEnd"/>
            <w:r w:rsidRPr="004E2207">
              <w:rPr>
                <w:rFonts w:ascii="Times New Roman" w:eastAsia="新細明體" w:hAnsi="Times New Roman" w:cs="Times New Roman"/>
                <w:color w:val="000000" w:themeColor="text1"/>
                <w:sz w:val="18"/>
                <w:szCs w:val="18"/>
                <w:u w:color="FF0000"/>
                <w:lang w:eastAsia="zh-TW"/>
              </w:rPr>
              <w:t xml:space="preserve">, E., </w:t>
            </w:r>
            <w:proofErr w:type="spellStart"/>
            <w:r w:rsidRPr="004E2207">
              <w:rPr>
                <w:rFonts w:ascii="Times New Roman" w:eastAsia="新細明體" w:hAnsi="Times New Roman" w:cs="Times New Roman"/>
                <w:color w:val="000000" w:themeColor="text1"/>
                <w:sz w:val="18"/>
                <w:szCs w:val="18"/>
                <w:u w:color="FF0000"/>
                <w:lang w:eastAsia="zh-TW"/>
              </w:rPr>
              <w:t>Goetzmann</w:t>
            </w:r>
            <w:proofErr w:type="spellEnd"/>
            <w:r w:rsidRPr="004E2207">
              <w:rPr>
                <w:rFonts w:ascii="Times New Roman" w:eastAsia="新細明體" w:hAnsi="Times New Roman" w:cs="Times New Roman"/>
                <w:color w:val="000000" w:themeColor="text1"/>
                <w:sz w:val="18"/>
                <w:szCs w:val="18"/>
                <w:u w:color="FF0000"/>
                <w:lang w:eastAsia="zh-TW"/>
              </w:rPr>
              <w:t xml:space="preserve">, W. N., &amp; </w:t>
            </w:r>
            <w:proofErr w:type="spellStart"/>
            <w:r w:rsidRPr="004E2207">
              <w:rPr>
                <w:rFonts w:ascii="Times New Roman" w:eastAsia="新細明體" w:hAnsi="Times New Roman" w:cs="Times New Roman"/>
                <w:color w:val="000000" w:themeColor="text1"/>
                <w:sz w:val="18"/>
                <w:szCs w:val="18"/>
                <w:u w:color="FF0000"/>
                <w:lang w:eastAsia="zh-TW"/>
              </w:rPr>
              <w:t>Rouwenhorst</w:t>
            </w:r>
            <w:proofErr w:type="spellEnd"/>
            <w:r w:rsidRPr="004E2207">
              <w:rPr>
                <w:rFonts w:ascii="Times New Roman" w:eastAsia="新細明體" w:hAnsi="Times New Roman" w:cs="Times New Roman"/>
                <w:color w:val="000000" w:themeColor="text1"/>
                <w:sz w:val="18"/>
                <w:szCs w:val="18"/>
                <w:u w:color="FF0000"/>
                <w:lang w:eastAsia="zh-TW"/>
              </w:rPr>
              <w:t>, K. G. (2006). Pairs trading: Performance of a relative-value arbitrage rule.</w:t>
            </w:r>
            <w:r w:rsidRPr="004E2207">
              <w:rPr>
                <w:rFonts w:ascii="Times New Roman" w:eastAsia="新細明體" w:hAnsi="Times New Roman" w:cs="Times New Roman" w:hint="eastAsia"/>
                <w:color w:val="000000" w:themeColor="text1"/>
                <w:sz w:val="18"/>
                <w:szCs w:val="18"/>
                <w:u w:color="FF0000"/>
                <w:lang w:eastAsia="zh-TW"/>
              </w:rPr>
              <w:t>－</w:t>
            </w:r>
            <w:r w:rsidRPr="004E2207">
              <w:rPr>
                <w:rFonts w:ascii="Times New Roman" w:eastAsia="新細明體" w:hAnsi="Times New Roman" w:cs="Times New Roman" w:hint="eastAsia"/>
                <w:color w:val="000000" w:themeColor="text1"/>
                <w:sz w:val="18"/>
                <w:szCs w:val="18"/>
                <w:u w:color="FF0000"/>
                <w:lang w:eastAsia="zh-TW"/>
              </w:rPr>
              <w:t>T</w:t>
            </w:r>
            <w:r w:rsidRPr="004E2207">
              <w:rPr>
                <w:rFonts w:ascii="Times New Roman" w:eastAsia="新細明體" w:hAnsi="Times New Roman" w:cs="Times New Roman"/>
                <w:color w:val="000000" w:themeColor="text1"/>
                <w:sz w:val="18"/>
                <w:szCs w:val="18"/>
                <w:u w:color="FF0000"/>
                <w:lang w:val="en-AU" w:eastAsia="zh-TW"/>
              </w:rPr>
              <w:t>he Review of Financial Studies (RFS)</w:t>
            </w:r>
          </w:p>
          <w:p w14:paraId="26B14D1A" w14:textId="77777777" w:rsidR="001D51BE" w:rsidRPr="004E2207" w:rsidRDefault="001D51BE" w:rsidP="001D51BE">
            <w:pPr>
              <w:pStyle w:val="Body"/>
              <w:numPr>
                <w:ilvl w:val="0"/>
                <w:numId w:val="8"/>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eastAsia="zh-TW"/>
              </w:rPr>
              <w:t>Sun, Y. (2025). A survey of statistical arbitrage pair trading with machine learning, deep learning, and reinforcement learning methods.</w:t>
            </w:r>
            <w:r w:rsidRPr="004E2207">
              <w:rPr>
                <w:rFonts w:ascii="Times New Roman" w:eastAsia="新細明體" w:hAnsi="Times New Roman" w:cs="Times New Roman" w:hint="eastAsia"/>
                <w:color w:val="000000" w:themeColor="text1"/>
                <w:sz w:val="18"/>
                <w:szCs w:val="18"/>
                <w:u w:color="FF0000"/>
                <w:lang w:eastAsia="zh-TW"/>
              </w:rPr>
              <w:t>－</w:t>
            </w:r>
            <w:r w:rsidRPr="004E2207">
              <w:rPr>
                <w:rFonts w:ascii="Times New Roman" w:eastAsia="新細明體" w:hAnsi="Times New Roman" w:cs="Times New Roman"/>
                <w:color w:val="000000" w:themeColor="text1"/>
                <w:sz w:val="18"/>
                <w:szCs w:val="18"/>
                <w:u w:color="FF0000"/>
                <w:lang w:eastAsia="zh-TW"/>
              </w:rPr>
              <w:t>University of Warsaw Working Paper</w:t>
            </w:r>
            <w:r w:rsidRPr="004E2207">
              <w:rPr>
                <w:rFonts w:ascii="Times New Roman" w:eastAsia="新細明體" w:hAnsi="Times New Roman" w:cs="Times New Roman" w:hint="eastAsia"/>
                <w:color w:val="000000" w:themeColor="text1"/>
                <w:sz w:val="18"/>
                <w:szCs w:val="18"/>
                <w:u w:color="FF0000"/>
                <w:lang w:eastAsia="zh-TW"/>
              </w:rPr>
              <w:t>.</w:t>
            </w:r>
          </w:p>
          <w:p w14:paraId="7AE7A77F" w14:textId="086D9F95" w:rsidR="001D51BE" w:rsidRPr="004E2207" w:rsidRDefault="001D51BE" w:rsidP="001D51BE">
            <w:pPr>
              <w:pStyle w:val="Body"/>
              <w:jc w:val="both"/>
              <w:rPr>
                <w:rFonts w:ascii="Times New Roman" w:eastAsia="新細明體" w:hAnsi="Times New Roman" w:cs="Times New Roman"/>
                <w:color w:val="000000" w:themeColor="text1"/>
                <w:sz w:val="18"/>
                <w:szCs w:val="18"/>
                <w:u w:color="FF0000"/>
                <w:lang w:eastAsia="zh-TW"/>
              </w:rPr>
            </w:pPr>
            <w:r>
              <w:rPr>
                <w:rFonts w:ascii="Times New Roman" w:eastAsia="新細明體" w:hAnsi="Times New Roman" w:cs="Times New Roman" w:hint="eastAsia"/>
                <w:color w:val="000000" w:themeColor="text1"/>
                <w:sz w:val="18"/>
                <w:szCs w:val="18"/>
                <w:u w:color="FF0000"/>
                <w:lang w:eastAsia="zh-TW"/>
              </w:rPr>
              <w:t>Formation</w:t>
            </w:r>
          </w:p>
          <w:p w14:paraId="2411B72A" w14:textId="77777777" w:rsidR="001D51BE" w:rsidRPr="004E2207" w:rsidRDefault="001D51BE" w:rsidP="001D51BE">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 xml:space="preserve">Han, C., He, Z., &amp; </w:t>
            </w:r>
            <w:proofErr w:type="spellStart"/>
            <w:r w:rsidRPr="004E2207">
              <w:rPr>
                <w:rFonts w:ascii="Times New Roman" w:eastAsia="新細明體" w:hAnsi="Times New Roman" w:cs="Times New Roman"/>
                <w:color w:val="000000" w:themeColor="text1"/>
                <w:sz w:val="18"/>
                <w:szCs w:val="18"/>
                <w:u w:color="FF0000"/>
                <w:lang w:val="en-AU" w:eastAsia="zh-TW"/>
              </w:rPr>
              <w:t>Toh</w:t>
            </w:r>
            <w:proofErr w:type="spellEnd"/>
            <w:r w:rsidRPr="004E2207">
              <w:rPr>
                <w:rFonts w:ascii="Times New Roman" w:eastAsia="新細明體" w:hAnsi="Times New Roman" w:cs="Times New Roman"/>
                <w:color w:val="000000" w:themeColor="text1"/>
                <w:sz w:val="18"/>
                <w:szCs w:val="18"/>
                <w:u w:color="FF0000"/>
                <w:lang w:val="en-AU" w:eastAsia="zh-TW"/>
              </w:rPr>
              <w:t>, A. J. W. (2023). Pairs trading via unsupervised learning.</w:t>
            </w:r>
            <w:r w:rsidRPr="004E2207">
              <w:rPr>
                <w:rFonts w:ascii="Times New Roman" w:eastAsia="新細明體" w:hAnsi="Times New Roman" w:cs="Times New Roman" w:hint="eastAsia"/>
                <w:color w:val="000000" w:themeColor="text1"/>
                <w:sz w:val="18"/>
                <w:szCs w:val="18"/>
                <w:u w:color="FF0000"/>
                <w:lang w:val="en-AU" w:eastAsia="zh-TW"/>
              </w:rPr>
              <w:t>－</w:t>
            </w:r>
            <w:r w:rsidRPr="004E2207">
              <w:rPr>
                <w:rFonts w:ascii="Times New Roman" w:eastAsia="新細明體" w:hAnsi="Times New Roman" w:cs="Times New Roman"/>
                <w:color w:val="000000" w:themeColor="text1"/>
                <w:sz w:val="18"/>
                <w:szCs w:val="18"/>
                <w:u w:color="FF0000"/>
                <w:lang w:val="en-AU" w:eastAsia="zh-TW"/>
              </w:rPr>
              <w:t>European Journal of Operational Research (EJOR)</w:t>
            </w:r>
          </w:p>
          <w:p w14:paraId="56AC7BD5" w14:textId="77777777" w:rsidR="001D51BE" w:rsidRPr="004E2207" w:rsidRDefault="001D51BE" w:rsidP="001D51BE">
            <w:pPr>
              <w:pStyle w:val="Body"/>
              <w:numPr>
                <w:ilvl w:val="0"/>
                <w:numId w:val="9"/>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許鈞翔（</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）。最小距離法結合動態時間校正之配對交易研究</w:t>
            </w:r>
          </w:p>
          <w:p w14:paraId="32176F59" w14:textId="429AD03E" w:rsidR="001D51BE" w:rsidRPr="004E2207" w:rsidRDefault="001D51BE" w:rsidP="001D51BE">
            <w:pPr>
              <w:pStyle w:val="Body"/>
              <w:jc w:val="both"/>
              <w:rPr>
                <w:rFonts w:ascii="Times New Roman" w:eastAsia="新細明體" w:hAnsi="Times New Roman" w:cs="Times New Roman"/>
                <w:color w:val="000000" w:themeColor="text1"/>
                <w:sz w:val="18"/>
                <w:szCs w:val="18"/>
                <w:u w:color="FF0000"/>
                <w:lang w:val="en-AU" w:eastAsia="zh-TW"/>
              </w:rPr>
            </w:pPr>
            <w:r>
              <w:rPr>
                <w:rFonts w:ascii="Times New Roman" w:eastAsia="新細明體" w:hAnsi="Times New Roman" w:cs="Times New Roman" w:hint="eastAsia"/>
                <w:color w:val="000000" w:themeColor="text1"/>
                <w:sz w:val="18"/>
                <w:szCs w:val="18"/>
                <w:u w:color="FF0000"/>
                <w:lang w:val="en-AU" w:eastAsia="zh-TW"/>
              </w:rPr>
              <w:t>Trading</w:t>
            </w:r>
          </w:p>
          <w:p w14:paraId="4817826C" w14:textId="77777777" w:rsidR="001D51BE" w:rsidRPr="004E2207" w:rsidRDefault="001D51BE" w:rsidP="001D51BE">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Kim, T., &amp; Kim, H. Y. (2019). Optimizing the pairs-trading strategy using deep reinforcement learning with trading and stop-loss boundaries.</w:t>
            </w:r>
            <w:r w:rsidRPr="004E2207">
              <w:rPr>
                <w:rFonts w:ascii="Times New Roman" w:eastAsia="新細明體" w:hAnsi="Times New Roman" w:cs="Times New Roman" w:hint="eastAsia"/>
                <w:color w:val="000000" w:themeColor="text1"/>
                <w:sz w:val="18"/>
                <w:szCs w:val="18"/>
                <w:u w:color="FF0000"/>
                <w:lang w:val="en-AU" w:eastAsia="zh-TW"/>
              </w:rPr>
              <w:t>－</w:t>
            </w:r>
            <w:r w:rsidRPr="004E2207">
              <w:rPr>
                <w:rFonts w:ascii="Times New Roman" w:eastAsia="新細明體" w:hAnsi="Times New Roman" w:cs="Times New Roman"/>
                <w:color w:val="000000" w:themeColor="text1"/>
                <w:sz w:val="18"/>
                <w:szCs w:val="18"/>
                <w:u w:color="FF0000"/>
                <w:lang w:val="en-AU" w:eastAsia="zh-TW"/>
              </w:rPr>
              <w:t>Complexity</w:t>
            </w:r>
          </w:p>
          <w:p w14:paraId="1402595E" w14:textId="48F341F3" w:rsidR="001D51BE" w:rsidRPr="007D1E07" w:rsidRDefault="001D51BE" w:rsidP="002A3607">
            <w:pPr>
              <w:pStyle w:val="Body"/>
              <w:numPr>
                <w:ilvl w:val="0"/>
                <w:numId w:val="10"/>
              </w:numPr>
              <w:jc w:val="both"/>
              <w:rPr>
                <w:rFonts w:ascii="Times New Roman" w:eastAsia="新細明體" w:hAnsi="Times New Roman" w:cs="Times New Roman"/>
                <w:color w:val="000000" w:themeColor="text1"/>
                <w:sz w:val="18"/>
                <w:szCs w:val="18"/>
                <w:u w:color="FF0000"/>
                <w:lang w:eastAsia="zh-TW"/>
              </w:rPr>
            </w:pPr>
            <w:r w:rsidRPr="004E2207">
              <w:rPr>
                <w:rFonts w:ascii="Times New Roman" w:eastAsia="新細明體" w:hAnsi="Times New Roman" w:cs="Times New Roman"/>
                <w:color w:val="000000" w:themeColor="text1"/>
                <w:sz w:val="18"/>
                <w:szCs w:val="18"/>
                <w:u w:color="FF0000"/>
                <w:lang w:val="en-AU" w:eastAsia="zh-TW"/>
              </w:rPr>
              <w:t>朱羿璁（</w:t>
            </w:r>
            <w:r w:rsidRPr="004E2207">
              <w:rPr>
                <w:rFonts w:ascii="Times New Roman" w:eastAsia="新細明體" w:hAnsi="Times New Roman" w:cs="Times New Roman"/>
                <w:color w:val="000000" w:themeColor="text1"/>
                <w:sz w:val="18"/>
                <w:szCs w:val="18"/>
                <w:u w:color="FF0000"/>
                <w:lang w:val="en-AU" w:eastAsia="zh-TW"/>
              </w:rPr>
              <w:t>2025</w:t>
            </w:r>
            <w:r w:rsidRPr="004E2207">
              <w:rPr>
                <w:rFonts w:ascii="Times New Roman" w:eastAsia="新細明體" w:hAnsi="Times New Roman" w:cs="Times New Roman"/>
                <w:color w:val="000000" w:themeColor="text1"/>
                <w:sz w:val="18"/>
                <w:szCs w:val="18"/>
                <w:u w:color="FF0000"/>
                <w:lang w:val="en-AU" w:eastAsia="zh-TW"/>
              </w:rPr>
              <w:t>）。結合共整避險比率與混合獎勵設計之強化學習配對交易模型</w:t>
            </w:r>
          </w:p>
        </w:tc>
      </w:tr>
      <w:tr w:rsidR="004B232D" w14:paraId="49DAAF53" w14:textId="77777777" w:rsidTr="008D1B53">
        <w:trPr>
          <w:trHeight w:val="6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642B1CC"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(D) Motivation/Puzzle</w:t>
            </w:r>
          </w:p>
          <w:p w14:paraId="07ABB881" w14:textId="77777777" w:rsidR="004B232D" w:rsidRPr="007730CA" w:rsidRDefault="00E93CA1" w:rsidP="008D1B53">
            <w:pPr>
              <w:jc w:val="both"/>
            </w:pPr>
            <w:r w:rsidRPr="00E93CA1">
              <w:rPr>
                <w:rFonts w:ascii="SimSun" w:eastAsia="新細明體" w:hAnsi="SimSun" w:cs="SimSun" w:hint="eastAsia"/>
                <w:b/>
                <w:bCs/>
                <w:sz w:val="18"/>
                <w:szCs w:val="18"/>
                <w:lang w:eastAsia="zh-TW"/>
              </w:rPr>
              <w:t>研究動機</w:t>
            </w:r>
            <w:r w:rsidRPr="007730CA">
              <w:rPr>
                <w:b/>
                <w:bCs/>
                <w:sz w:val="18"/>
                <w:szCs w:val="18"/>
                <w:lang w:eastAsia="zh-TW"/>
              </w:rPr>
              <w:t>/</w:t>
            </w:r>
            <w:r w:rsidRPr="00E93CA1">
              <w:rPr>
                <w:rFonts w:ascii="SimSun" w:eastAsia="新細明體" w:hAnsi="SimSun" w:cs="SimSun" w:hint="eastAsia"/>
                <w:b/>
                <w:bCs/>
                <w:sz w:val="18"/>
                <w:szCs w:val="18"/>
                <w:lang w:eastAsia="zh-TW"/>
              </w:rPr>
              <w:t>解決疑惑</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1D4B9" w14:textId="6CE37A15" w:rsidR="004B232D" w:rsidRPr="007D1E07" w:rsidRDefault="00A26ED6" w:rsidP="008D1B53">
            <w:pPr>
              <w:pStyle w:val="Body"/>
              <w:jc w:val="both"/>
              <w:rPr>
                <w:rFonts w:ascii="Times New Roman" w:hAnsi="Times New Roman" w:cs="Times New Roman"/>
                <w:color w:val="000000" w:themeColor="text1"/>
                <w:lang w:eastAsia="zh-TW"/>
              </w:rPr>
            </w:pPr>
            <w:r w:rsidRPr="00A26ED6">
              <w:rPr>
                <w:rFonts w:ascii="Times New Roman" w:eastAsia="新細明體" w:hAnsi="Times New Roman" w:cs="Times New Roman"/>
                <w:color w:val="000000" w:themeColor="text1"/>
                <w:sz w:val="18"/>
                <w:szCs w:val="18"/>
                <w:u w:color="FF0000"/>
                <w:lang w:eastAsia="zh-TW"/>
              </w:rPr>
              <w:t>Returns to classical pairs trading (Gatev et al., 2006) have decayed steadily since 2002, and the literature has largely turned to machine learning to improve either pair selection or trading decisions. On the trading side, however, existing studies applying deep reinforcement learning to pairs trading each adopt one action space — most granting the agent the right to choose a position freely each day — and report performance directly; none holds everything else fixed within a single pipeline and varies only the action space itself. The action space is therefore a design choice made repeatedly but never examined as an experimental variable. The motivation of this study is to supply that ablation. The tension is answerable by experiment yet unanswered in the literature: daily free positioning subsumes any fixed-threshold rule in expressive power, so on expressiveness alone it should weakly dominate one threshold choice per period; but the more decisions are taken, the shorter the signal each rests on, the higher the share of noise, and the more turnover cost each may incur. Which way this trade-off tips at daily frequency is precisely what this study sets out to answer. A further cross-literature observation motivates the work: studies reporting that AI works in pairs trading are heavily concentrated at intraday frequency, where the signal-to-noise ratio is far higher than at daily frequency — what that pattern lacks is exactly a controlled daily-frequency comparison.</w:t>
            </w:r>
            <w:proofErr w:type="spellStart"/>
            <w:proofErr w:type="spellEnd"/>
            <w:proofErr w:type="spellStart"/>
            <w:proofErr w:type="spellEnd"/>
          </w:p>
        </w:tc>
      </w:tr>
      <w:tr w:rsidR="004B232D" w14:paraId="48ED1088" w14:textId="77777777" w:rsidTr="008D1B53">
        <w:trPr>
          <w:trHeight w:val="270"/>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584CF21"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 xml:space="preserve">THREE </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30B05DF"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Three</w:t>
            </w:r>
            <w:r w:rsidRPr="00E93CA1">
              <w:rPr>
                <w:rFonts w:ascii="Times New Roman" w:eastAsia="新細明體" w:hAnsi="Times New Roman" w:cs="Times New Roman"/>
                <w:sz w:val="18"/>
                <w:szCs w:val="18"/>
                <w:u w:color="000000"/>
                <w:lang w:eastAsia="zh-TW"/>
              </w:rPr>
              <w:t xml:space="preserve"> core aspects of any empirical research project i.e. the “</w:t>
            </w:r>
            <w:proofErr w:type="spellStart"/>
            <w:r w:rsidRPr="00E93CA1">
              <w:rPr>
                <w:rFonts w:ascii="Times New Roman" w:eastAsia="新細明體" w:hAnsi="Times New Roman" w:cs="Times New Roman"/>
                <w:b/>
                <w:bCs/>
                <w:sz w:val="18"/>
                <w:szCs w:val="18"/>
                <w:u w:color="000000"/>
                <w:lang w:eastAsia="zh-TW"/>
              </w:rPr>
              <w:t>ID</w:t>
            </w:r>
            <w:r w:rsidRPr="00E93CA1">
              <w:rPr>
                <w:rFonts w:ascii="Times New Roman" w:eastAsia="新細明體" w:hAnsi="Times New Roman" w:cs="Times New Roman"/>
                <w:sz w:val="18"/>
                <w:szCs w:val="18"/>
                <w:u w:color="000000"/>
                <w:lang w:eastAsia="zh-TW"/>
              </w:rPr>
              <w:t>io</w:t>
            </w:r>
            <w:r w:rsidRPr="00E93CA1">
              <w:rPr>
                <w:rFonts w:ascii="Times New Roman" w:eastAsia="新細明體" w:hAnsi="Times New Roman" w:cs="Times New Roman"/>
                <w:b/>
                <w:bCs/>
                <w:sz w:val="18"/>
                <w:szCs w:val="18"/>
                <w:u w:color="000000"/>
                <w:lang w:eastAsia="zh-TW"/>
              </w:rPr>
              <w:t>T</w:t>
            </w:r>
            <w:r w:rsidRPr="00E93CA1">
              <w:rPr>
                <w:rFonts w:ascii="Times New Roman" w:eastAsia="新細明體" w:hAnsi="Times New Roman" w:cs="Times New Roman"/>
                <w:sz w:val="18"/>
                <w:szCs w:val="18"/>
                <w:u w:color="000000"/>
                <w:lang w:eastAsia="zh-TW"/>
              </w:rPr>
              <w:t>s</w:t>
            </w:r>
            <w:proofErr w:type="spellEnd"/>
            <w:r w:rsidRPr="00E93CA1">
              <w:rPr>
                <w:rFonts w:ascii="Times New Roman" w:eastAsia="新細明體" w:hAnsi="Times New Roman" w:cs="Times New Roman"/>
                <w:sz w:val="18"/>
                <w:szCs w:val="18"/>
                <w:u w:color="000000"/>
                <w:lang w:eastAsia="zh-TW"/>
              </w:rPr>
              <w:t xml:space="preserve">” guide </w:t>
            </w:r>
            <w:r w:rsidRPr="00E93CA1">
              <w:rPr>
                <w:rFonts w:ascii="SimSun" w:eastAsia="新細明體" w:hAnsi="SimSun" w:cs="SimSun" w:hint="eastAsia"/>
                <w:sz w:val="18"/>
                <w:szCs w:val="18"/>
                <w:u w:color="000000"/>
                <w:lang w:eastAsia="zh-TW"/>
              </w:rPr>
              <w:t>研究課題的三個重要方面</w:t>
            </w:r>
          </w:p>
        </w:tc>
      </w:tr>
      <w:tr w:rsidR="004B232D" w14:paraId="49412B71" w14:textId="77777777" w:rsidTr="008D1B53">
        <w:trPr>
          <w:trHeight w:val="1187"/>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0070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lastRenderedPageBreak/>
              <w:t>(E) Idea?</w:t>
            </w:r>
          </w:p>
          <w:p w14:paraId="1B3B48C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思路？</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F2BD8"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 Research hypotheses. Three hypotheses govern the ablation, all fixed in writing before the backtest began. H1 (turnover): daily free positioning enters significantly more often per period than both one-threshold-per-period selection and the fixed threshold. H2 (performance): its risk-adjusted return is no higher than that of threshold selection. H3 (mechanism): its performance disadvantage is driven mainly by turnover cost, so the gap should narrow substantially when recomputed at zero cost. Two further hypotheses concern the relative effect at the trading layer and are reported separately by outcome. First, threshold selection outperforms the fixed threshold — supported: positive across all five pair sources, 3 of 5 significant after BH-FDR correction. Second, unsupervised clustering outperforms GICS sector classification — not supported; moreover the minimum detectable effect of this design (1.14 percentage points) exceeds the reference arm's own annualised performance (0.461 points), so this layer is reported descriptively and carries no statistical claim.</w:t>
            </w:r>
          </w:p>
          <w:p w14:paraId="72CF2BD8"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II. Dependent variables. The primary outcome is entries per period (including reversals), with effect size expressed as the ratio of total entries. Per-period ratios are not used: roughly 3% of baseline periods contain zero entries, which would divide by zero, and discarding those periods would remove precisely the periods in which the baseline does not trade while the treatment does, systematically understating the effect. Secondary measures are Sharpe ratio, annualised return, and maximum drawdown — the last compared descriptively only, with no significance test.</w:t>
            </w:r>
          </w:p>
          <w:p w14:paraId="72CF2BD8"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III. Independent variable. The sole variable under test is the size of the action space, i.e. the number of decisions available per period (0 / 1 / at most 126).</w:t>
            </w:r>
          </w:p>
          <w:p w14:paraId="72CF2BD8" w14:textId="77777777" w:rsidR="001313D5" w:rsidRPr="001313D5" w:rsidRDefault="001313D5" w:rsidP="001313D5">
            <w:pPr>
              <w:pStyle w:val="Body"/>
              <w:jc w:val="both"/>
              <w:rPr>
                <w:rFonts w:ascii="Times New Roman" w:eastAsia="新細明體" w:hAnsi="Times New Roman" w:cs="Times New Roman"/>
                <w:b/>
                <w:bCs/>
                <w:color w:val="000000" w:themeColor="text1"/>
                <w:sz w:val="18"/>
                <w:szCs w:val="18"/>
                <w:u w:color="FF0000"/>
                <w:lang w:eastAsia="zh-TW"/>
              </w:rPr>
            </w:pPr>
            <w:r w:rsidRPr="001313D5">
              <w:rPr>
                <w:rFonts w:ascii="Times New Roman" w:eastAsia="新細明體" w:hAnsi="Times New Roman" w:cs="Times New Roman"/>
                <w:b/>
                <w:bCs/>
                <w:color w:val="000000" w:themeColor="text1"/>
                <w:sz w:val="18"/>
                <w:szCs w:val="18"/>
                <w:u w:color="FF0000"/>
                <w:lang w:eastAsia="zh-TW"/>
              </w:rPr>
              <w:t>IV. Identification strategy and robustness controls. The single-variable principle is implemented as a property of the program architecture: the formation stage uses a four-layer design (features, grouping, screening, ranking) so that differences among the five pair sources are confined to the grouping layer alone, while all trading modules share one pair-loading and simulation interface, so any trading module can be re-run unchanged on the same set of pairs. Look-ahead bias is prevented by walk-forward windows and per-period re-estimation, with formation and trading periods strictly separated and incremental training restricted to samples whose trading period ended before the current period began. The sampling unit is time rather than the parameter grid — the latter shares one dataset, one span, and one set of pairs, and is therefore pseudo-replication. The principal test is a difference in daily returns with a circular block bootstrap (10,000 resamples); multiple comparisons are corrected by BH-FDR, and selection bias is separately assessed by the Deflated Sharpe Ratio. All performance claims and tests use the equal-weight combination of 15 parameter configurations, which removes selection bias at source. The ablation's hypotheses, effect-size thresholds, comparison family, frozen hyperparameter list, and seven execution checks were committed to version control before the backtest began, with every subsequent deviation recorded individually.</w:t>
            </w:r>
          </w:p>
        </w:tc>
      </w:tr>
      <w:tr w:rsidR="004B232D" w14:paraId="400BA705" w14:textId="77777777" w:rsidTr="008D1B53">
        <w:trPr>
          <w:trHeight w:val="3482"/>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C73F4"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lastRenderedPageBreak/>
              <w:t>(F) Data?</w:t>
            </w:r>
          </w:p>
          <w:p w14:paraId="186932AE"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數據？</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488C69" w14:textId="7DA11CB4"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Data sources. Index membership is taken from the membership-interval table of the price database (843 tickers, 866 membership intervals, 363 of which carry a removal date), not from Wikipedia revision histories; CRSP is not used — it appears in the thesis only as a disclosure of scope deviation, since the universe here is the S&amp;P 500 rather than the full US market. Prices are dividend-adjusted total-return series from Tiingo; firm fundamentals are point-in-time monthly data from Financial Modeling Prep, supplemented by features built from SEC XBRL filings.</w:t>
            </w:r>
          </w:p>
          <w:p w14:paraId="72488C69" w14:textId="7DA11CB4"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Sample universe and period. The universe is the dynamic constituent set of the S&amp;P 500, median 411 tickers per period, from 2000-01-03 to 2025-12-31 — 6,539 trading days, of which 6,287 are tradable after the first formation window.</w:t>
            </w:r>
          </w:p>
          <w:p w14:paraId="72488C69" w14:textId="7DA11CB4"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Point-in-time handling operates in three places: membership is resolved to those tickers genuinely in the index at each formation-period end date; fundamentals always take the most recent record dated no later than that end date; and feature computation uses only data inside the formation window, with trading-period prices entering no estimation.</w:t>
            </w:r>
          </w:p>
          <w:p w14:paraId="72488C69" w14:textId="7DA11CB4"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Window structure. Formation 252 trading days, trading 126 trading days, rolling step 21 trading days, for 295 periods; six trading periods run concurrently at any moment, so the per-period return series is structurally autocorrelated — reflected in the test design by setting the block length to one full trading period. Transaction costs are 0.29% per side (Do &amp; Faff, 2012), charged on entry and exit, roughly 0.58% per round trip.</w:t>
            </w:r>
          </w:p>
          <w:p w14:paraId="72488C69" w14:textId="7DA11CB4" w:rsidR="00992512" w:rsidRPr="00992512" w:rsidRDefault="00992512" w:rsidP="00992512">
            <w:pPr>
              <w:pStyle w:val="Body"/>
              <w:jc w:val="both"/>
              <w:rPr>
                <w:rFonts w:ascii="Times New Roman" w:eastAsia="新細明體" w:hAnsi="Times New Roman" w:cs="Times New Roman"/>
                <w:color w:val="000000" w:themeColor="text1"/>
                <w:sz w:val="18"/>
                <w:szCs w:val="18"/>
                <w:u w:color="FF0000"/>
                <w:lang w:eastAsia="zh-TW"/>
              </w:rPr>
            </w:pPr>
            <w:r w:rsidRPr="00992512">
              <w:rPr>
                <w:rFonts w:ascii="Times New Roman" w:eastAsia="新細明體" w:hAnsi="Times New Roman" w:cs="Times New Roman"/>
                <w:b/>
                <w:bCs/>
                <w:color w:val="000000" w:themeColor="text1"/>
                <w:sz w:val="18"/>
                <w:szCs w:val="18"/>
                <w:u w:color="FF0000"/>
                <w:lang w:eastAsia="zh-TW"/>
              </w:rPr>
              <w:t>Data filtering. The only screen actually applied is a cointegration test (Engle-Granger two-step, with residual ADF evaluated against MacKinnon response-surface critical values rather than Dickey-Fuller values). Penny-stock exclusion, caps on non-trading days within a window, and limits on daily volume as a share of ADV are not implemented and are not claimed — adding them would alter the pair universe and require re-running all 295 periods, while all arms share one ticker pool, so such screens offset in the same direction for a relative comparison of action spaces. The restriction to large-cap stocks is recorded as a limitation. Survivorship bias is not fully eliminated: of 170 delisted tickers, 49 lack price data; the bias overstates absolute performance and is disclosed.</w:t>
            </w:r>
          </w:p>
        </w:tc>
      </w:tr>
      <w:tr w:rsidR="004B232D" w14:paraId="6C224D6A" w14:textId="77777777" w:rsidTr="008D1B53">
        <w:trPr>
          <w:trHeight w:val="111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134662"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(G) Tools?</w:t>
            </w:r>
          </w:p>
          <w:p w14:paraId="707FCFBA"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研究方法</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687B2E" w14:textId="78FD4FA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Programmatic data pipeline. Dividend-adjusted total-return prices are retrieved from Tiingo; firm fundamentals are obtained as point-in-time monthly records through the Financial Modeling Prep enterprise API.</w:t>
            </w:r>
          </w:p>
          <w:p w14:paraId="43687B2E" w14:textId="78FD4FA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Formation stage: a four-layer architecture built on the Python data-science stack (scikit-learn, NumPy, pandas). The feature layer spans 19 dimensions — the first five principal-component loadings of returns, log market capitalisation, earnings yield, and a 12-dimension GICS sector one-hot. The grouping layer supplies five pair sources (no grouping, GICS sectors, HDBSCAN, agglomerative clustering, K-means), re-estimated in each of the 295 periods, with the K-means cluster count aligned to the contemporaneous agglomerative solution so that comparison targets mechanism rather than granularity. The screening layer runs Engle-Granger cointegration diagnostics via statsmodels. The ranking layer applies three distance criteria — SSD, DTW under a Sakoe-Chiba band of 15, and SDP, the sum of the two after z-standardisation.</w:t>
            </w:r>
          </w:p>
          <w:p w14:paraId="43687B2E" w14:textId="78FD4FA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Trading stage: the core trading module is implemented in PyTorch, but its learning problem is not reinforcement learning. The returns to all nine actions in a period can be recovered exactly by counterfactually simulating each threshold pair against that period's prices, so no exploration-exploitation trade-off exists. The module is therefore a full-information supervised regression (ThresholdNet, a 12-64-9 multilayer perceptron trained incrementally each period under mean-squared-error loss), referred to throughout as DL-THR rather than DRL. A partial-feedback counterpart, RL-THR, observing only the return of the action actually taken, is implemented as a controlled comparison identical to DL-THR bit for bit in action menu, state space, network architecture, and data splits. Neither PPO nor DQN is used, and no OpenAI Gym / Gymnasium environment wrapper is used — both appear only in the three archived daily free-positioning implementations (LSTM-DQN, its repaired version, and batch fitted-Q iteration), which constitute the treatment arms tested and falsified in this study's ablation.</w:t>
            </w:r>
          </w:p>
          <w:p w14:paraId="43687B2E" w14:textId="78FD4FA7" w:rsidR="00313E10" w:rsidRPr="00313E10" w:rsidRDefault="00313E10" w:rsidP="00313E10">
            <w:pPr>
              <w:pStyle w:val="Body"/>
              <w:jc w:val="both"/>
              <w:rPr>
                <w:rFonts w:ascii="Times New Roman" w:eastAsia="新細明體" w:hAnsi="Times New Roman" w:cs="Times New Roman"/>
                <w:color w:val="000000" w:themeColor="text1"/>
                <w:sz w:val="18"/>
                <w:szCs w:val="18"/>
                <w:u w:color="FF0000"/>
                <w:lang w:eastAsia="zh-TW"/>
              </w:rPr>
            </w:pPr>
            <w:r w:rsidRPr="00313E10">
              <w:rPr>
                <w:rFonts w:ascii="Times New Roman" w:eastAsia="新細明體" w:hAnsi="Times New Roman" w:cs="Times New Roman"/>
                <w:b/>
                <w:bCs/>
                <w:color w:val="000000" w:themeColor="text1"/>
                <w:sz w:val="18"/>
                <w:szCs w:val="18"/>
                <w:u w:color="FF0000"/>
                <w:lang w:eastAsia="zh-TW"/>
              </w:rPr>
              <w:t>Statistical analysis: circular block bootstrap with 10,000 resamples, BH-FDR correction for multiple testing, Newey-West HAC computed in parallel as a cross-check, and the Deflated Sharpe Ratio for selection bias. The system runs on Python 3.11.</w:t>
            </w:r>
          </w:p>
        </w:tc>
      </w:tr>
      <w:tr w:rsidR="004B232D" w14:paraId="6D6F406F" w14:textId="77777777" w:rsidTr="008D1B53">
        <w:trPr>
          <w:trHeight w:val="251"/>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7B00C740"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TWO</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7E8EA3E"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Two</w:t>
            </w:r>
            <w:r w:rsidRPr="00E93CA1">
              <w:rPr>
                <w:rFonts w:ascii="Times New Roman" w:eastAsia="新細明體" w:hAnsi="Times New Roman" w:cs="Times New Roman"/>
                <w:sz w:val="18"/>
                <w:szCs w:val="18"/>
                <w:u w:color="000000"/>
                <w:lang w:eastAsia="zh-TW"/>
              </w:rPr>
              <w:t xml:space="preserve"> key questions </w:t>
            </w:r>
            <w:r w:rsidRPr="00E93CA1">
              <w:rPr>
                <w:rFonts w:ascii="SimSun" w:eastAsia="新細明體" w:hAnsi="SimSun" w:cs="SimSun" w:hint="eastAsia"/>
                <w:sz w:val="18"/>
                <w:szCs w:val="18"/>
                <w:u w:color="000000"/>
                <w:lang w:eastAsia="zh-TW"/>
              </w:rPr>
              <w:t>兩個重要的問題</w:t>
            </w:r>
          </w:p>
        </w:tc>
      </w:tr>
      <w:tr w:rsidR="004B232D" w14:paraId="371A1EBD" w14:textId="77777777" w:rsidTr="008D1B53">
        <w:trPr>
          <w:trHeight w:val="939"/>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07E273"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(H) What’s New?</w:t>
            </w:r>
          </w:p>
          <w:p w14:paraId="298746FF"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創新點</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053EB1" w14:textId="77777777" w:rsidR="00BF6B1A" w:rsidRPr="00BF6B1A" w:rsidRDefault="00BF6B1A" w:rsidP="00BF6B1A">
            <w:pPr>
              <w:pStyle w:val="Body"/>
              <w:jc w:val="both"/>
              <w:rPr>
                <w:rFonts w:ascii="Times New Roman" w:eastAsia="新細明體" w:hAnsi="Times New Roman" w:cs="Times New Roman"/>
                <w:b/>
                <w:bCs/>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1. Limitations of existing literature. Studies applying deep reinforcement learning to pairs trading each adopt one action space and report performance; none holds everything else fixed within a single pipeline and varies only the action space, which is thus set repeatedly yet never examined. A second limitation is frequency dependence: studies reporting that AI works cluster heavily at intraday frequency, leaving daily frequency without a controlled comparison.</w:t>
            </w:r>
          </w:p>
          <w:p w14:paraId="34053EB1" w14:textId="77777777" w:rsidR="00BF6B1A" w:rsidRPr="00BF6B1A" w:rsidRDefault="00BF6B1A" w:rsidP="00BF6B1A">
            <w:pPr>
              <w:pStyle w:val="Body"/>
              <w:jc w:val="both"/>
              <w:rPr>
                <w:rFonts w:ascii="Times New Roman" w:eastAsia="新細明體" w:hAnsi="Times New Roman" w:cs="Times New Roman"/>
                <w:b/>
                <w:bCs/>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2. The core finding, and why it is counterintuitive. The innovation here is not to couple two machine-learning modules more tightly, but to show that the trading module's action space should be made smaller. Daily free positioning subsumes any fixed-threshold rule in expressive power, so on expressiveness it should weakly dominate one threshold choice per period. The measurement shows the opposite, by a wide margin: turnover 2.1 to 4.1 times higher and Sharpe ratios uniformly lower, with all three arms beating both baselines simultaneously (BH-FDR corrected p &lt;= 0.0004). The result was obtained under full preregistration and holds under two alternative definitions of an entry. Cost attribution further shows that the three generations fail for different reasons: the two LSTM-DQN variants are dominated by turnover cost (the gap narrows by 87.0% and 83.4% when recomputed at zero cost), whereas fitted-Q iteration is not (narrowing only 31.7%; at zero cost it is in fact slightly better than threshold selection, and turns negative as soon as cost is restored).</w:t>
            </w:r>
          </w:p>
          <w:p w14:paraId="34053EB1" w14:textId="77777777" w:rsidR="00BF6B1A" w:rsidRPr="00BF6B1A" w:rsidRDefault="00BF6B1A" w:rsidP="00BF6B1A">
            <w:pPr>
              <w:pStyle w:val="Body"/>
              <w:jc w:val="both"/>
              <w:rPr>
                <w:rFonts w:ascii="Times New Roman" w:eastAsia="新細明體" w:hAnsi="Times New Roman" w:cs="Times New Roman"/>
                <w:b/>
                <w:bCs/>
                <w:color w:val="000000" w:themeColor="text1"/>
                <w:sz w:val="18"/>
                <w:szCs w:val="18"/>
                <w:u w:color="FF0000"/>
                <w:lang w:eastAsia="zh-TW"/>
              </w:rPr>
            </w:pPr>
            <w:r w:rsidRPr="00BF6B1A">
              <w:rPr>
                <w:rFonts w:ascii="Times New Roman" w:eastAsia="新細明體" w:hAnsi="Times New Roman" w:cs="Times New Roman"/>
                <w:b/>
                <w:bCs/>
                <w:color w:val="000000" w:themeColor="text1"/>
                <w:sz w:val="18"/>
                <w:szCs w:val="18"/>
                <w:u w:color="FF0000"/>
                <w:lang w:eastAsia="zh-TW"/>
              </w:rPr>
              <w:t>3. A separable mechanism. This study further separates the shape of the action space from pair-level discrimination and tests them apart, showing the gain arises from the former: learning thresholds pair-by-pair via supervised regression performs significantly worse than an expanding-window optimal constant. The mechanism is informational rather than financial — the signal itself is weak, and selecting by argmax across multiple regression outputs systematically favours the output with the largest prediction error under a weak signal, so the selection introduces more noise than the signal carries.</w:t>
            </w:r>
          </w:p>
        </w:tc>
      </w:tr>
      <w:tr w:rsidR="004B232D" w14:paraId="50B4D305" w14:textId="77777777" w:rsidTr="008D1B53">
        <w:trPr>
          <w:trHeight w:val="42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1A0145" w14:textId="77777777" w:rsidR="004B232D" w:rsidRPr="007730CA" w:rsidRDefault="00E93CA1" w:rsidP="004B232D">
            <w:pPr>
              <w:pStyle w:val="Body"/>
              <w:numPr>
                <w:ilvl w:val="0"/>
                <w:numId w:val="2"/>
              </w:numPr>
              <w:ind w:left="360" w:hanging="360"/>
              <w:jc w:val="both"/>
              <w:rPr>
                <w:rFonts w:ascii="Times New Roman" w:eastAsia="Calibri"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So What?</w:t>
            </w:r>
          </w:p>
          <w:p w14:paraId="00AF67EC"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為什麼？</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BF359E" w14:textId="00C264F8"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b/>
                <w:bCs/>
                <w:color w:val="000000" w:themeColor="text1"/>
                <w:sz w:val="18"/>
                <w:szCs w:val="18"/>
                <w:u w:color="FF0000"/>
                <w:lang w:eastAsia="zh-TW"/>
              </w:rPr>
              <w:t>Enhancing Strategy Adaptability and Survival in Non-Stationary Markets</w:t>
            </w:r>
            <w:r w:rsidRPr="00550654">
              <w:rPr>
                <w:rFonts w:ascii="Times New Roman" w:eastAsia="新細明體" w:hAnsi="Times New Roman" w:cs="Times New Roman"/>
                <w:color w:val="000000" w:themeColor="text1"/>
                <w:sz w:val="18"/>
                <w:szCs w:val="18"/>
                <w:u w:color="FF0000"/>
                <w:lang w:eastAsia="zh-TW"/>
              </w:rPr>
              <w:t>:</w:t>
            </w:r>
          </w:p>
          <w:p w14:paraId="57789F07" w14:textId="77777777"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i/>
                <w:iCs/>
                <w:color w:val="000000" w:themeColor="text1"/>
                <w:sz w:val="18"/>
                <w:szCs w:val="18"/>
                <w:u w:color="FF0000"/>
                <w:lang w:eastAsia="zh-TW"/>
              </w:rPr>
              <w:t xml:space="preserve">Modern financial markets are characterized by frequent structural breaks and high non-stationarity. Conventional parametric pairs trading frameworks (e.g., </w:t>
            </w:r>
            <w:proofErr w:type="spellStart"/>
            <w:r w:rsidRPr="00550654">
              <w:rPr>
                <w:rFonts w:ascii="Times New Roman" w:eastAsia="新細明體" w:hAnsi="Times New Roman" w:cs="Times New Roman"/>
                <w:i/>
                <w:iCs/>
                <w:color w:val="000000" w:themeColor="text1"/>
                <w:sz w:val="18"/>
                <w:szCs w:val="18"/>
                <w:u w:color="FF0000"/>
                <w:lang w:eastAsia="zh-TW"/>
              </w:rPr>
              <w:t>Gatev</w:t>
            </w:r>
            <w:proofErr w:type="spellEnd"/>
            <w:r w:rsidRPr="00550654">
              <w:rPr>
                <w:rFonts w:ascii="Times New Roman" w:eastAsia="新細明體" w:hAnsi="Times New Roman" w:cs="Times New Roman"/>
                <w:i/>
                <w:iCs/>
                <w:color w:val="000000" w:themeColor="text1"/>
                <w:sz w:val="18"/>
                <w:szCs w:val="18"/>
                <w:u w:color="FF0000"/>
                <w:lang w:eastAsia="zh-TW"/>
              </w:rPr>
              <w:t xml:space="preserve"> et al., 2006) universally suffer from data overfitting due to their reliance on static statistical thresholds calculated in historical windows. Consequently, during a sudden market regime shift, these static boundaries collapse under permanent spread divergence, triggering severe unhedged losses. The unified dynamic decision system proposed in this study empowers a deep reinforcement learning (DRL) agent to adaptively readjust entry, exit, and </w:t>
            </w:r>
            <w:r w:rsidRPr="00550654">
              <w:rPr>
                <w:rFonts w:ascii="Times New Roman" w:eastAsia="新細明體" w:hAnsi="Times New Roman" w:cs="Times New Roman"/>
                <w:i/>
                <w:iCs/>
                <w:color w:val="000000" w:themeColor="text1"/>
                <w:sz w:val="18"/>
                <w:szCs w:val="18"/>
                <w:u w:color="FF0000"/>
                <w:lang w:eastAsia="zh-TW"/>
              </w:rPr>
              <w:lastRenderedPageBreak/>
              <w:t>stop-loss triggers. By enabling proactive trade liquidations at the inception of structural breakdowns, this framework fundamentally mitigates tail-risk exposure, offering premium risk-management utility for modern quantitative fund management.</w:t>
            </w:r>
          </w:p>
          <w:p w14:paraId="4979A4F6" w14:textId="5E98B32D"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b/>
                <w:bCs/>
                <w:color w:val="000000" w:themeColor="text1"/>
                <w:sz w:val="18"/>
                <w:szCs w:val="18"/>
                <w:u w:color="FF0000"/>
                <w:lang w:eastAsia="zh-TW"/>
              </w:rPr>
              <w:t>Optimizing Allocation Flexibility and Securing Dynamic Market Neutrality</w:t>
            </w:r>
            <w:r w:rsidRPr="00550654">
              <w:rPr>
                <w:rFonts w:ascii="Times New Roman" w:eastAsia="新細明體" w:hAnsi="Times New Roman" w:cs="Times New Roman"/>
                <w:color w:val="000000" w:themeColor="text1"/>
                <w:sz w:val="18"/>
                <w:szCs w:val="18"/>
                <w:u w:color="FF0000"/>
                <w:lang w:eastAsia="zh-TW"/>
              </w:rPr>
              <w:t>:</w:t>
            </w:r>
          </w:p>
          <w:p w14:paraId="5ABA4DE7" w14:textId="79505111" w:rsidR="00550654" w:rsidRPr="00550654" w:rsidRDefault="00550654" w:rsidP="00550654">
            <w:pPr>
              <w:pStyle w:val="Body"/>
              <w:jc w:val="both"/>
              <w:rPr>
                <w:rFonts w:ascii="Times New Roman" w:eastAsia="新細明體" w:hAnsi="Times New Roman" w:cs="Times New Roman"/>
                <w:color w:val="000000" w:themeColor="text1"/>
                <w:sz w:val="18"/>
                <w:szCs w:val="18"/>
                <w:u w:color="FF0000"/>
                <w:lang w:eastAsia="zh-TW"/>
              </w:rPr>
            </w:pPr>
            <w:r w:rsidRPr="00550654">
              <w:rPr>
                <w:rFonts w:ascii="Times New Roman" w:eastAsia="新細明體" w:hAnsi="Times New Roman" w:cs="Times New Roman"/>
                <w:i/>
                <w:iCs/>
                <w:color w:val="000000" w:themeColor="text1"/>
                <w:sz w:val="18"/>
                <w:szCs w:val="18"/>
                <w:u w:color="FF0000"/>
                <w:lang w:eastAsia="zh-TW"/>
              </w:rPr>
              <w:t>Spanning an intensive 26-year empirical horizon (2000-2025), this research stress-tests the hybrid trading system across diverse macroeconomic crises. The results demonstrate that under extreme market turbulence (e.g., VIX spikes or systemic liquidity contractions), combining data-driven unsupervised cross-industry clustering with a time-varying Beta-hedging allocation protocol shields the portfolio from idiosyncratic sector shocks (black swan events). By introducing a robust statistical arbitrage pipeline that transcends rigid, conventional industry classifications, this study contributes a highly flexible investment framework that assists quantitative practitioners in securely maintaining dynamic market neutrality under volatile market conditions.</w:t>
            </w:r>
          </w:p>
          <w:p w14:paraId="7E1397D5" w14:textId="559394C5" w:rsidR="00806BA4" w:rsidRPr="007D1E07" w:rsidRDefault="00806BA4" w:rsidP="008D1B53">
            <w:pPr>
              <w:pStyle w:val="Body"/>
              <w:jc w:val="both"/>
              <w:rPr>
                <w:rFonts w:ascii="Times New Roman" w:eastAsia="新細明體" w:hAnsi="Times New Roman" w:cs="Times New Roman"/>
                <w:color w:val="000000" w:themeColor="text1"/>
                <w:sz w:val="18"/>
                <w:szCs w:val="18"/>
                <w:u w:color="FF0000"/>
                <w:lang w:eastAsia="zh-TW"/>
              </w:rPr>
            </w:pPr>
          </w:p>
        </w:tc>
      </w:tr>
      <w:tr w:rsidR="004B232D" w14:paraId="5F6AF00F" w14:textId="77777777" w:rsidTr="008D1B53">
        <w:trPr>
          <w:trHeight w:val="269"/>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4103E68"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lastRenderedPageBreak/>
              <w:t>ONE</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3E370295" w14:textId="77777777" w:rsidR="004B232D" w:rsidRPr="007730CA" w:rsidRDefault="00E93CA1" w:rsidP="008D1B53">
            <w:pPr>
              <w:pStyle w:val="Body"/>
              <w:jc w:val="both"/>
              <w:rPr>
                <w:rFonts w:ascii="Times New Roman" w:hAnsi="Times New Roman" w:cs="Times New Roman"/>
              </w:rPr>
            </w:pPr>
            <w:r w:rsidRPr="00E93CA1">
              <w:rPr>
                <w:rFonts w:ascii="Times New Roman" w:eastAsia="新細明體" w:hAnsi="Times New Roman" w:cs="Times New Roman"/>
                <w:b/>
                <w:bCs/>
                <w:sz w:val="18"/>
                <w:szCs w:val="18"/>
                <w:u w:color="000000"/>
                <w:lang w:eastAsia="zh-TW"/>
              </w:rPr>
              <w:t>One</w:t>
            </w:r>
            <w:r w:rsidRPr="00E93CA1">
              <w:rPr>
                <w:rFonts w:ascii="Times New Roman" w:eastAsia="新細明體" w:hAnsi="Times New Roman" w:cs="Times New Roman"/>
                <w:sz w:val="18"/>
                <w:szCs w:val="18"/>
                <w:u w:color="000000"/>
                <w:lang w:eastAsia="zh-TW"/>
              </w:rPr>
              <w:t xml:space="preserve"> bottom line</w:t>
            </w:r>
            <w:r w:rsidRPr="00E93CA1">
              <w:rPr>
                <w:rFonts w:ascii="Times New Roman" w:eastAsia="新細明體" w:hAnsi="Times New Roman" w:cs="Times New Roman"/>
                <w:u w:color="000000"/>
                <w:lang w:eastAsia="zh-TW"/>
              </w:rPr>
              <w:t xml:space="preserve"> </w:t>
            </w:r>
            <w:r w:rsidRPr="00E93CA1">
              <w:rPr>
                <w:rFonts w:ascii="SimSun" w:eastAsia="新細明體" w:hAnsi="SimSun" w:cs="SimSun" w:hint="eastAsia"/>
                <w:sz w:val="18"/>
                <w:szCs w:val="18"/>
                <w:u w:color="000000"/>
                <w:lang w:eastAsia="zh-TW"/>
              </w:rPr>
              <w:t>一個概要</w:t>
            </w:r>
          </w:p>
        </w:tc>
      </w:tr>
      <w:tr w:rsidR="004B232D" w14:paraId="33B576A5" w14:textId="77777777" w:rsidTr="008D1B53">
        <w:trPr>
          <w:trHeight w:val="470"/>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8858CD"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(J) Contribution?</w:t>
            </w:r>
          </w:p>
          <w:p w14:paraId="1DC372C9"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貢獻</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7AA7AC" w14:textId="7FCFF93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Contribution 1 — treating the action space as the sole variable, under full preregistration. Holding pair source, hedging convention, grid cell, and training budget fixed within one pipeline, only the action space is varied. Three generations of daily free-positioning modules turn over 2.1 to 4.1 times as often as one-threshold-per-period selection, with all three arms beating both baselines simultaneously (BH-FDR corrected p &lt;= 0.0004; 3 of 3 met, against a criterion requiring 2 of 3), and Sharpe ratios never exceeding threshold selection (-0.829, -1.547, and -0.298 respectively). These figures supersede the earlier development note recording “cost roughly 6x, Sharpe -1.1 to -2.3”: the backtest records behind that note no longer exist after a database rebuild, and the preregistered re-run reproduces the direction but at a smaller magnitude. This study reports the re-run and records the discrepancy. Hypotheses, effect-size thresholds, comparison family, frozen hyperparameters, and seven execution checks were all committed to version control before the backtest began; every deviation is recorded, including one caused by the researcher's own implementation error whose correction turned a failed check into a passing one.</w:t>
            </w:r>
          </w:p>
          <w:p w14:paraId="577AA7AC" w14:textId="7FCFF93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Contribution 2 — separating the shape of the action space from pair-level discrimination. Where the literature reports a learning-based trading module beating a fixed rule, the two are usually not distinguished, yet their practical implications are opposite: the former points to better menu design, the latter to better features and models. A controlled comparison of pair-by-pair threshold learning against an expanding-window optimal constant separates them, and the gain is attributable to the former. The decision space proposed on that basis — one threshold optimisation per period plus Z-score state-machine execution — spans SKIP and eight boundary configurations, necessarily contains the static baseline within its strategy space, and grants the agent the option to decline a poor pair, a selectivity fixed rules do not possess.</w:t>
            </w:r>
          </w:p>
          <w:p w14:paraId="577AA7AC" w14:textId="7FCFF93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Contribution 3 — establishing what the gain does not come from. Three null distributions test the most immediate mechanical alternative explanations (the stock-picking direction of SKIP, threshold level, and reduced gross exposure), and the analysis shows that the “SKIP contribution” in a profit decomposition is an accounting identity rather than an attribution of skill: when the underlying expectation is negative, skipping any set of pairs avoids losses in expectation. Permutation tests confirm this — for two pair sources the SKIP skill component is negative, i.e. worse at avoiding losses than skipping the same number at random.</w:t>
            </w:r>
          </w:p>
          <w:p w14:paraId="577AA7AC" w14:textId="7FCFF93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Contribution 4 — data governance, and a record of implementation defects. A dynamic constituent matrix built from the price database's membership intervals retains every ticker that was once included and later delisted, acquired, or removed; of 170 delisted tickers, however, 49 lack price data, so survivorship bias is not fully eliminated, overstates absolute performance, and is disclosed as such. The study also records several discrepancies between implementation and stated method together with their effect on the conclusions — after correction, the relative effect at the trading layer moved from 0 of 5 significant to 3 of 5. Such records are rare in the literature yet quantify concretely how much the same data can yield under different implementations.</w:t>
            </w:r>
          </w:p>
          <w:p w14:paraId="577AA7AC" w14:textId="7FCFF93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A note on pair sources. This study originally expected unsupervised clustering to outperform GICS sector classification. That was not supported, and the minimum detectable effect of the design exceeds the reference arm's own performance, so the layer is reported descriptively and carries no statistical claim. Switching to agglomerative clustering with a calibrated dynamic distance threshold does avoid density-based clustering labelling over 30% of tickers as noise and discarding them, but this is an implementation-level improvement, not a tested performance contribution.</w:t>
            </w:r>
          </w:p>
        </w:tc>
      </w:tr>
      <w:tr w:rsidR="004B232D" w14:paraId="5A3C142D" w14:textId="77777777" w:rsidTr="008D1B53">
        <w:trPr>
          <w:trHeight w:val="2206"/>
        </w:trPr>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53956916" w14:textId="77777777" w:rsidR="004B232D" w:rsidRPr="007730CA" w:rsidRDefault="00E93CA1" w:rsidP="008D1B53">
            <w:pPr>
              <w:pStyle w:val="Body"/>
              <w:jc w:val="both"/>
              <w:rPr>
                <w:rFonts w:ascii="Times New Roman" w:eastAsia="Times New Roman" w:hAnsi="Times New Roman" w:cs="Times New Roman"/>
                <w:b/>
                <w:bCs/>
                <w:sz w:val="18"/>
                <w:szCs w:val="18"/>
                <w:u w:color="000000"/>
              </w:rPr>
            </w:pPr>
            <w:r w:rsidRPr="00E93CA1">
              <w:rPr>
                <w:rFonts w:ascii="Times New Roman" w:eastAsia="新細明體" w:hAnsi="Times New Roman" w:cs="Times New Roman"/>
                <w:b/>
                <w:bCs/>
                <w:sz w:val="18"/>
                <w:szCs w:val="18"/>
                <w:u w:color="000000"/>
                <w:lang w:eastAsia="zh-TW"/>
              </w:rPr>
              <w:t>(K) Other Considerations</w:t>
            </w:r>
            <w:r w:rsidR="004B232D" w:rsidRPr="007730CA">
              <w:rPr>
                <w:rFonts w:ascii="Times New Roman" w:eastAsia="Calibri" w:hAnsi="Times New Roman" w:cs="Times New Roman"/>
                <w:b/>
                <w:bCs/>
                <w:sz w:val="18"/>
                <w:szCs w:val="18"/>
                <w:u w:color="000000"/>
              </w:rPr>
              <w:t xml:space="preserve"> </w:t>
            </w:r>
          </w:p>
          <w:p w14:paraId="25ED6655" w14:textId="77777777" w:rsidR="004B232D" w:rsidRPr="007730CA" w:rsidRDefault="00E93CA1" w:rsidP="008D1B53">
            <w:pPr>
              <w:pStyle w:val="Body"/>
              <w:jc w:val="both"/>
              <w:rPr>
                <w:rFonts w:ascii="Times New Roman" w:hAnsi="Times New Roman" w:cs="Times New Roman"/>
              </w:rPr>
            </w:pPr>
            <w:r w:rsidRPr="00E93CA1">
              <w:rPr>
                <w:rFonts w:ascii="SimSun" w:eastAsia="新細明體" w:hAnsi="SimSun" w:cs="SimSun" w:hint="eastAsia"/>
                <w:b/>
                <w:bCs/>
                <w:sz w:val="18"/>
                <w:szCs w:val="18"/>
                <w:u w:color="000000"/>
                <w:lang w:eastAsia="zh-TW"/>
              </w:rPr>
              <w:t>其他考慮因素</w:t>
            </w:r>
          </w:p>
        </w:tc>
        <w:tc>
          <w:tcPr>
            <w:tcW w:w="1131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4A3F61" w14:textId="1A3FD41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Model robustness and execution variance. None of the four learning arms fixes a random seed, and each was executed once; the measured range of entries per period across two runs of an identical configuration reaches 2.0 to 2.8 times. The effect size here (2.1 to 4.1 times) exceeds that noise, and the two baseline arms are deterministic bit for bit, so the conclusion stands; but seed control and repeated runs are prerequisites for comparing design differences of smaller magnitude, and are recorded as such for future work. Five independent retraining rounds separately test whether the shift produced by pipeline corrections exceeds training noise: in 88 of 120 comparisons (73.3%) the pre-correction Sharpe falls below the minimum of the four post-correction rounds.</w:t>
            </w:r>
          </w:p>
          <w:p w14:paraId="0A4A3F61" w14:textId="1A3FD41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Treatment of transaction costs. Costs are not handled as a reward-function penalty — DL-THR is a supervised regression and has no reward function. Costs are charged trade by trade inside the backtest engine, with a zero-cost recomputation used separately for mechanism attribution, and break-even cost reported to reduce the conclusions' dependence on any single cost assumption.</w:t>
            </w:r>
          </w:p>
          <w:p w14:paraId="0A4A3F61" w14:textId="1A3FD41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Scope and its limits. The universe is restricted to S&amp;P 500 large caps, and Do &amp; Faff (2010) note that return decay is more pronounced among the more liquid large caps, so this universe is precisely where decay bites hardest; the conclusions do not necessarily extend to small caps or other markets. The action-space ablation was executed on a single pair source, a single grid cell, a single hedging convention, and 108 trading periods.</w:t>
            </w:r>
          </w:p>
          <w:p w14:paraId="0A4A3F61" w14:textId="1A3FD411" w:rsidR="008F52AE" w:rsidRPr="008F52AE" w:rsidRDefault="008F52AE" w:rsidP="008F52AE">
            <w:pPr>
              <w:pStyle w:val="Body"/>
              <w:jc w:val="both"/>
              <w:rPr>
                <w:rFonts w:ascii="Times New Roman" w:eastAsia="新細明體" w:hAnsi="Times New Roman" w:cs="Times New Roman"/>
                <w:color w:val="000000" w:themeColor="text1"/>
                <w:sz w:val="18"/>
                <w:szCs w:val="18"/>
                <w:u w:color="FF0000"/>
                <w:lang w:eastAsia="zh-TW"/>
              </w:rPr>
            </w:pPr>
            <w:r w:rsidRPr="008F52AE">
              <w:rPr>
                <w:rFonts w:ascii="Times New Roman" w:eastAsia="新細明體" w:hAnsi="Times New Roman" w:cs="Times New Roman"/>
                <w:b/>
                <w:bCs/>
                <w:color w:val="000000" w:themeColor="text1"/>
                <w:sz w:val="18"/>
                <w:szCs w:val="18"/>
                <w:u w:color="FF0000"/>
                <w:lang w:eastAsia="zh-TW"/>
              </w:rPr>
              <w:t>The boundary of tradability. This study does not recommend deploying the strategies examined. On a consistent basis crediting idle cash with interest, none of the 15 fixed-threshold baseline cells outperforms the risk-free rate (the best reaching only +0.009 percentage points); the best configuration with threshold selection layered on exceeds it by merely +0.375 points, of which +0.282 derive purely from deploying less capital and earning interest on the remainder and should not be credited as skill; no strategy among 41 passes a Deflated Sharpe Ratio of 0.95; and tests of whether mean daily return differs from zero are insignificant in all six cases. “Better than some benchmark” and “tradable in itself” are distinct claims, and only the former is supported.</w:t>
            </w:r>
          </w:p>
        </w:tc>
      </w:tr>
    </w:tbl>
    <w:p w14:paraId="4DDEDA03" w14:textId="43CE607C" w:rsidR="00394FBE" w:rsidRDefault="00394FBE">
      <w:pPr>
        <w:rPr>
          <w:lang w:eastAsia="zh-TW"/>
        </w:rPr>
      </w:pPr>
    </w:p>
    <w:p w14:paraId="7A73B407" w14:textId="3D8A32BA" w:rsidR="00BB01FB" w:rsidRPr="00394FBE" w:rsidRDefault="00BB01FB">
      <w:pPr>
        <w:rPr>
          <w:lang w:eastAsia="zh-TW"/>
        </w:rPr>
      </w:pPr>
    </w:p>
    <w:sectPr w:rsidR="00BB01FB" w:rsidRPr="00394FBE" w:rsidSect="004B232D">
      <w:pgSz w:w="16838" w:h="11906" w:orient="landscape"/>
      <w:pgMar w:top="851"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A8BBA" w14:textId="77777777" w:rsidR="00822ABB" w:rsidRDefault="00822ABB" w:rsidP="00E93CA1">
      <w:pPr>
        <w:spacing w:after="0" w:line="240" w:lineRule="auto"/>
      </w:pPr>
      <w:r>
        <w:separator/>
      </w:r>
    </w:p>
  </w:endnote>
  <w:endnote w:type="continuationSeparator" w:id="0">
    <w:p w14:paraId="2BEB2F93" w14:textId="77777777" w:rsidR="00822ABB" w:rsidRDefault="00822ABB" w:rsidP="00E93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850C8" w14:textId="77777777" w:rsidR="00822ABB" w:rsidRDefault="00822ABB" w:rsidP="00E93CA1">
      <w:pPr>
        <w:spacing w:after="0" w:line="240" w:lineRule="auto"/>
      </w:pPr>
      <w:r>
        <w:separator/>
      </w:r>
    </w:p>
  </w:footnote>
  <w:footnote w:type="continuationSeparator" w:id="0">
    <w:p w14:paraId="5425299B" w14:textId="77777777" w:rsidR="00822ABB" w:rsidRDefault="00822ABB" w:rsidP="00E93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E02"/>
    <w:multiLevelType w:val="multilevel"/>
    <w:tmpl w:val="316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8D6"/>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F75E0"/>
    <w:multiLevelType w:val="multilevel"/>
    <w:tmpl w:val="B9F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3F41"/>
    <w:multiLevelType w:val="hybridMultilevel"/>
    <w:tmpl w:val="02282A4E"/>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F820F80"/>
    <w:multiLevelType w:val="hybridMultilevel"/>
    <w:tmpl w:val="079EB1CC"/>
    <w:lvl w:ilvl="0" w:tplc="23221B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600B17"/>
    <w:multiLevelType w:val="hybridMultilevel"/>
    <w:tmpl w:val="5AFE3D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3AC72ED"/>
    <w:multiLevelType w:val="multilevel"/>
    <w:tmpl w:val="7E3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61B7"/>
    <w:multiLevelType w:val="hybridMultilevel"/>
    <w:tmpl w:val="07B60E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5C97304"/>
    <w:multiLevelType w:val="multilevel"/>
    <w:tmpl w:val="5E0C5DAC"/>
    <w:styleLink w:val="31"/>
    <w:lvl w:ilvl="0">
      <w:start w:val="1"/>
      <w:numFmt w:val="upperRoman"/>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Roman"/>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Roman"/>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Roman"/>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Roman"/>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Roman"/>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Roman"/>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Roman"/>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Roman"/>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230077AF"/>
    <w:multiLevelType w:val="hybridMultilevel"/>
    <w:tmpl w:val="744A94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80F1432"/>
    <w:multiLevelType w:val="multilevel"/>
    <w:tmpl w:val="E70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C6F2D"/>
    <w:multiLevelType w:val="multilevel"/>
    <w:tmpl w:val="D534A634"/>
    <w:styleLink w:val="21"/>
    <w:lvl w:ilvl="0">
      <w:start w:val="1"/>
      <w:numFmt w:val="upperLetter"/>
      <w:lvlText w:val="(%1)"/>
      <w:lvlJc w:val="left"/>
      <w:pPr>
        <w:tabs>
          <w:tab w:val="num" w:pos="295"/>
        </w:tabs>
        <w:ind w:left="2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1">
      <w:start w:val="1"/>
      <w:numFmt w:val="upperLetter"/>
      <w:lvlText w:val="(%2)"/>
      <w:lvlJc w:val="left"/>
      <w:pPr>
        <w:tabs>
          <w:tab w:val="num" w:pos="655"/>
        </w:tabs>
        <w:ind w:left="6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2">
      <w:start w:val="1"/>
      <w:numFmt w:val="upperLetter"/>
      <w:lvlText w:val="(%3)"/>
      <w:lvlJc w:val="left"/>
      <w:pPr>
        <w:tabs>
          <w:tab w:val="num" w:pos="1015"/>
        </w:tabs>
        <w:ind w:left="10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3">
      <w:start w:val="1"/>
      <w:numFmt w:val="upperLetter"/>
      <w:lvlText w:val="(%4)"/>
      <w:lvlJc w:val="left"/>
      <w:pPr>
        <w:tabs>
          <w:tab w:val="num" w:pos="1375"/>
        </w:tabs>
        <w:ind w:left="13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4">
      <w:start w:val="1"/>
      <w:numFmt w:val="upperLetter"/>
      <w:lvlText w:val="(%5)"/>
      <w:lvlJc w:val="left"/>
      <w:pPr>
        <w:tabs>
          <w:tab w:val="num" w:pos="1735"/>
        </w:tabs>
        <w:ind w:left="173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5">
      <w:start w:val="1"/>
      <w:numFmt w:val="upperLetter"/>
      <w:lvlText w:val="(%6)"/>
      <w:lvlJc w:val="left"/>
      <w:pPr>
        <w:tabs>
          <w:tab w:val="num" w:pos="2095"/>
        </w:tabs>
        <w:ind w:left="209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6">
      <w:start w:val="1"/>
      <w:numFmt w:val="upperLetter"/>
      <w:lvlText w:val="(%7)"/>
      <w:lvlJc w:val="left"/>
      <w:pPr>
        <w:tabs>
          <w:tab w:val="num" w:pos="2455"/>
        </w:tabs>
        <w:ind w:left="245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7">
      <w:start w:val="1"/>
      <w:numFmt w:val="upperLetter"/>
      <w:lvlText w:val="(%8)"/>
      <w:lvlJc w:val="left"/>
      <w:pPr>
        <w:tabs>
          <w:tab w:val="num" w:pos="2815"/>
        </w:tabs>
        <w:ind w:left="281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lvl w:ilvl="8">
      <w:start w:val="1"/>
      <w:numFmt w:val="upperLetter"/>
      <w:lvlText w:val="(%9)"/>
      <w:lvlJc w:val="left"/>
      <w:pPr>
        <w:tabs>
          <w:tab w:val="num" w:pos="3175"/>
        </w:tabs>
        <w:ind w:left="3175" w:hanging="295"/>
      </w:pPr>
      <w:rPr>
        <w:b/>
        <w:bCs/>
        <w:caps w:val="0"/>
        <w:smallCaps w:val="0"/>
        <w:strike w:val="0"/>
        <w:dstrike w:val="0"/>
        <w:color w:val="000000"/>
        <w:spacing w:val="0"/>
        <w:kern w:val="0"/>
        <w:position w:val="0"/>
        <w:sz w:val="18"/>
        <w:szCs w:val="18"/>
        <w:u w:val="none" w:color="000000"/>
        <w:vertAlign w:val="baseline"/>
        <w:rtl w:val="0"/>
        <w:lang w:val="en-US"/>
        <w14:textOutline w14:w="0" w14:cap="rnd" w14:cmpd="sng" w14:algn="ctr">
          <w14:noFill/>
          <w14:prstDash w14:val="solid"/>
          <w14:bevel/>
        </w14:textOutline>
      </w:rPr>
    </w:lvl>
  </w:abstractNum>
  <w:abstractNum w:abstractNumId="12" w15:restartNumberingAfterBreak="0">
    <w:nsid w:val="3BCD61F8"/>
    <w:multiLevelType w:val="multilevel"/>
    <w:tmpl w:val="5FE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3353D"/>
    <w:multiLevelType w:val="hybridMultilevel"/>
    <w:tmpl w:val="66484348"/>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D9354B1"/>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EC4F75"/>
    <w:multiLevelType w:val="multilevel"/>
    <w:tmpl w:val="F2CE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21EAF"/>
    <w:multiLevelType w:val="multilevel"/>
    <w:tmpl w:val="8E2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96027"/>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F46163"/>
    <w:multiLevelType w:val="hybridMultilevel"/>
    <w:tmpl w:val="AAE2507C"/>
    <w:lvl w:ilvl="0" w:tplc="B9DE04A8">
      <w:start w:val="1"/>
      <w:numFmt w:val="decimal"/>
      <w:lvlText w:val="%1."/>
      <w:lvlJc w:val="left"/>
      <w:pPr>
        <w:ind w:left="360" w:hanging="360"/>
      </w:pPr>
      <w:rPr>
        <w:rFonts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99B661D"/>
    <w:multiLevelType w:val="multilevel"/>
    <w:tmpl w:val="F2CE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066BC6"/>
    <w:multiLevelType w:val="multilevel"/>
    <w:tmpl w:val="D67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4611D"/>
    <w:multiLevelType w:val="multilevel"/>
    <w:tmpl w:val="A17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8683E"/>
    <w:multiLevelType w:val="hybridMultilevel"/>
    <w:tmpl w:val="9FB45C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9230E4A"/>
    <w:multiLevelType w:val="multilevel"/>
    <w:tmpl w:val="CD46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241EB"/>
    <w:multiLevelType w:val="multilevel"/>
    <w:tmpl w:val="AB6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043718">
    <w:abstractNumId w:val="11"/>
  </w:num>
  <w:num w:numId="2" w16cid:durableId="884872090">
    <w:abstractNumId w:val="8"/>
  </w:num>
  <w:num w:numId="3" w16cid:durableId="2061974170">
    <w:abstractNumId w:val="4"/>
  </w:num>
  <w:num w:numId="4" w16cid:durableId="1254321833">
    <w:abstractNumId w:val="5"/>
  </w:num>
  <w:num w:numId="5" w16cid:durableId="535508977">
    <w:abstractNumId w:val="7"/>
  </w:num>
  <w:num w:numId="6" w16cid:durableId="621032301">
    <w:abstractNumId w:val="9"/>
  </w:num>
  <w:num w:numId="7" w16cid:durableId="2043509330">
    <w:abstractNumId w:val="22"/>
  </w:num>
  <w:num w:numId="8" w16cid:durableId="313879354">
    <w:abstractNumId w:val="3"/>
  </w:num>
  <w:num w:numId="9" w16cid:durableId="1861505975">
    <w:abstractNumId w:val="18"/>
  </w:num>
  <w:num w:numId="10" w16cid:durableId="1828202025">
    <w:abstractNumId w:val="13"/>
  </w:num>
  <w:num w:numId="11" w16cid:durableId="1184393839">
    <w:abstractNumId w:val="20"/>
  </w:num>
  <w:num w:numId="12" w16cid:durableId="1491554215">
    <w:abstractNumId w:val="15"/>
  </w:num>
  <w:num w:numId="13" w16cid:durableId="1697930117">
    <w:abstractNumId w:val="23"/>
  </w:num>
  <w:num w:numId="14" w16cid:durableId="979267954">
    <w:abstractNumId w:val="12"/>
  </w:num>
  <w:num w:numId="15" w16cid:durableId="1806853383">
    <w:abstractNumId w:val="1"/>
  </w:num>
  <w:num w:numId="16" w16cid:durableId="649754930">
    <w:abstractNumId w:val="19"/>
  </w:num>
  <w:num w:numId="17" w16cid:durableId="233514658">
    <w:abstractNumId w:val="24"/>
  </w:num>
  <w:num w:numId="18" w16cid:durableId="126358659">
    <w:abstractNumId w:val="17"/>
  </w:num>
  <w:num w:numId="19" w16cid:durableId="1806042573">
    <w:abstractNumId w:val="6"/>
  </w:num>
  <w:num w:numId="20" w16cid:durableId="1454322824">
    <w:abstractNumId w:val="14"/>
  </w:num>
  <w:num w:numId="21" w16cid:durableId="137117984">
    <w:abstractNumId w:val="0"/>
  </w:num>
  <w:num w:numId="22" w16cid:durableId="1718889132">
    <w:abstractNumId w:val="10"/>
  </w:num>
  <w:num w:numId="23" w16cid:durableId="774907594">
    <w:abstractNumId w:val="21"/>
  </w:num>
  <w:num w:numId="24" w16cid:durableId="2062823990">
    <w:abstractNumId w:val="16"/>
  </w:num>
  <w:num w:numId="25" w16cid:durableId="92179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2D"/>
    <w:rsid w:val="000F6BC4"/>
    <w:rsid w:val="001313D5"/>
    <w:rsid w:val="001D51BE"/>
    <w:rsid w:val="00202454"/>
    <w:rsid w:val="002405E0"/>
    <w:rsid w:val="002A3607"/>
    <w:rsid w:val="002A4D8D"/>
    <w:rsid w:val="00313E10"/>
    <w:rsid w:val="00322066"/>
    <w:rsid w:val="003328FC"/>
    <w:rsid w:val="00347971"/>
    <w:rsid w:val="00394FBE"/>
    <w:rsid w:val="004B232D"/>
    <w:rsid w:val="00550654"/>
    <w:rsid w:val="00575555"/>
    <w:rsid w:val="0061334F"/>
    <w:rsid w:val="00673934"/>
    <w:rsid w:val="006F5C83"/>
    <w:rsid w:val="007D1E07"/>
    <w:rsid w:val="00806BA4"/>
    <w:rsid w:val="00822ABB"/>
    <w:rsid w:val="0083671D"/>
    <w:rsid w:val="008C3F34"/>
    <w:rsid w:val="008F52AE"/>
    <w:rsid w:val="00966A88"/>
    <w:rsid w:val="00980773"/>
    <w:rsid w:val="00992512"/>
    <w:rsid w:val="00A26ED6"/>
    <w:rsid w:val="00A7308B"/>
    <w:rsid w:val="00B71C4F"/>
    <w:rsid w:val="00BB01FB"/>
    <w:rsid w:val="00BF6B1A"/>
    <w:rsid w:val="00C16A1E"/>
    <w:rsid w:val="00C21E52"/>
    <w:rsid w:val="00E424F7"/>
    <w:rsid w:val="00E93CA1"/>
    <w:rsid w:val="00F0030C"/>
    <w:rsid w:val="00F17B89"/>
    <w:rsid w:val="00F41A6C"/>
    <w:rsid w:val="00F4271A"/>
    <w:rsid w:val="00F611DE"/>
    <w:rsid w:val="00F85EBC"/>
    <w:rsid w:val="00FD53C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F438"/>
  <w15:docId w15:val="{C6D622F4-0866-4A3D-9011-8F771026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32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sid w:val="004B232D"/>
    <w:pPr>
      <w:pBdr>
        <w:top w:val="nil"/>
        <w:left w:val="nil"/>
        <w:bottom w:val="nil"/>
        <w:right w:val="nil"/>
        <w:between w:val="nil"/>
        <w:bar w:val="nil"/>
      </w:pBdr>
      <w:spacing w:after="0" w:line="240" w:lineRule="auto"/>
    </w:pPr>
    <w:rPr>
      <w:rFonts w:ascii="Times New Roman" w:hAnsi="Times New Roman" w:cs="Times New Roman"/>
      <w:sz w:val="20"/>
      <w:szCs w:val="20"/>
      <w:bdr w:val="nil"/>
      <w:lang w:val="en-US" w:eastAsia="zh-CN"/>
    </w:rPr>
    <w:tblPr>
      <w:tblInd w:w="0" w:type="dxa"/>
      <w:tblCellMar>
        <w:top w:w="0" w:type="dxa"/>
        <w:left w:w="0" w:type="dxa"/>
        <w:bottom w:w="0" w:type="dxa"/>
        <w:right w:w="0" w:type="dxa"/>
      </w:tblCellMar>
    </w:tblPr>
  </w:style>
  <w:style w:type="paragraph" w:customStyle="1" w:styleId="Body">
    <w:name w:val="Body"/>
    <w:rsid w:val="004B232D"/>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eastAsia="zh-CN"/>
    </w:rPr>
  </w:style>
  <w:style w:type="numbering" w:customStyle="1" w:styleId="21">
    <w:name w:val="列表 21"/>
    <w:basedOn w:val="a2"/>
    <w:rsid w:val="004B232D"/>
    <w:pPr>
      <w:numPr>
        <w:numId w:val="1"/>
      </w:numPr>
    </w:pPr>
  </w:style>
  <w:style w:type="numbering" w:customStyle="1" w:styleId="31">
    <w:name w:val="列表 31"/>
    <w:basedOn w:val="a2"/>
    <w:rsid w:val="004B232D"/>
    <w:pPr>
      <w:numPr>
        <w:numId w:val="2"/>
      </w:numPr>
    </w:pPr>
  </w:style>
  <w:style w:type="paragraph" w:styleId="a3">
    <w:name w:val="header"/>
    <w:basedOn w:val="a"/>
    <w:link w:val="a4"/>
    <w:uiPriority w:val="99"/>
    <w:unhideWhenUsed/>
    <w:rsid w:val="00E93CA1"/>
    <w:pPr>
      <w:tabs>
        <w:tab w:val="center" w:pos="4153"/>
        <w:tab w:val="right" w:pos="8306"/>
      </w:tabs>
      <w:snapToGrid w:val="0"/>
    </w:pPr>
    <w:rPr>
      <w:sz w:val="20"/>
      <w:szCs w:val="20"/>
    </w:rPr>
  </w:style>
  <w:style w:type="character" w:customStyle="1" w:styleId="a4">
    <w:name w:val="頁首 字元"/>
    <w:basedOn w:val="a0"/>
    <w:link w:val="a3"/>
    <w:uiPriority w:val="99"/>
    <w:rsid w:val="00E93CA1"/>
    <w:rPr>
      <w:sz w:val="20"/>
      <w:szCs w:val="20"/>
    </w:rPr>
  </w:style>
  <w:style w:type="paragraph" w:styleId="a5">
    <w:name w:val="footer"/>
    <w:basedOn w:val="a"/>
    <w:link w:val="a6"/>
    <w:uiPriority w:val="99"/>
    <w:unhideWhenUsed/>
    <w:rsid w:val="00E93CA1"/>
    <w:pPr>
      <w:tabs>
        <w:tab w:val="center" w:pos="4153"/>
        <w:tab w:val="right" w:pos="8306"/>
      </w:tabs>
      <w:snapToGrid w:val="0"/>
    </w:pPr>
    <w:rPr>
      <w:sz w:val="20"/>
      <w:szCs w:val="20"/>
    </w:rPr>
  </w:style>
  <w:style w:type="character" w:customStyle="1" w:styleId="a6">
    <w:name w:val="頁尾 字元"/>
    <w:basedOn w:val="a0"/>
    <w:link w:val="a5"/>
    <w:uiPriority w:val="99"/>
    <w:rsid w:val="00E93CA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5202">
      <w:bodyDiv w:val="1"/>
      <w:marLeft w:val="0"/>
      <w:marRight w:val="0"/>
      <w:marTop w:val="0"/>
      <w:marBottom w:val="0"/>
      <w:divBdr>
        <w:top w:val="none" w:sz="0" w:space="0" w:color="auto"/>
        <w:left w:val="none" w:sz="0" w:space="0" w:color="auto"/>
        <w:bottom w:val="none" w:sz="0" w:space="0" w:color="auto"/>
        <w:right w:val="none" w:sz="0" w:space="0" w:color="auto"/>
      </w:divBdr>
    </w:div>
    <w:div w:id="87117458">
      <w:bodyDiv w:val="1"/>
      <w:marLeft w:val="0"/>
      <w:marRight w:val="0"/>
      <w:marTop w:val="0"/>
      <w:marBottom w:val="0"/>
      <w:divBdr>
        <w:top w:val="none" w:sz="0" w:space="0" w:color="auto"/>
        <w:left w:val="none" w:sz="0" w:space="0" w:color="auto"/>
        <w:bottom w:val="none" w:sz="0" w:space="0" w:color="auto"/>
        <w:right w:val="none" w:sz="0" w:space="0" w:color="auto"/>
      </w:divBdr>
    </w:div>
    <w:div w:id="98306237">
      <w:bodyDiv w:val="1"/>
      <w:marLeft w:val="0"/>
      <w:marRight w:val="0"/>
      <w:marTop w:val="0"/>
      <w:marBottom w:val="0"/>
      <w:divBdr>
        <w:top w:val="none" w:sz="0" w:space="0" w:color="auto"/>
        <w:left w:val="none" w:sz="0" w:space="0" w:color="auto"/>
        <w:bottom w:val="none" w:sz="0" w:space="0" w:color="auto"/>
        <w:right w:val="none" w:sz="0" w:space="0" w:color="auto"/>
      </w:divBdr>
    </w:div>
    <w:div w:id="229729791">
      <w:bodyDiv w:val="1"/>
      <w:marLeft w:val="0"/>
      <w:marRight w:val="0"/>
      <w:marTop w:val="0"/>
      <w:marBottom w:val="0"/>
      <w:divBdr>
        <w:top w:val="none" w:sz="0" w:space="0" w:color="auto"/>
        <w:left w:val="none" w:sz="0" w:space="0" w:color="auto"/>
        <w:bottom w:val="none" w:sz="0" w:space="0" w:color="auto"/>
        <w:right w:val="none" w:sz="0" w:space="0" w:color="auto"/>
      </w:divBdr>
    </w:div>
    <w:div w:id="261768756">
      <w:bodyDiv w:val="1"/>
      <w:marLeft w:val="0"/>
      <w:marRight w:val="0"/>
      <w:marTop w:val="0"/>
      <w:marBottom w:val="0"/>
      <w:divBdr>
        <w:top w:val="none" w:sz="0" w:space="0" w:color="auto"/>
        <w:left w:val="none" w:sz="0" w:space="0" w:color="auto"/>
        <w:bottom w:val="none" w:sz="0" w:space="0" w:color="auto"/>
        <w:right w:val="none" w:sz="0" w:space="0" w:color="auto"/>
      </w:divBdr>
    </w:div>
    <w:div w:id="470708214">
      <w:bodyDiv w:val="1"/>
      <w:marLeft w:val="0"/>
      <w:marRight w:val="0"/>
      <w:marTop w:val="0"/>
      <w:marBottom w:val="0"/>
      <w:divBdr>
        <w:top w:val="none" w:sz="0" w:space="0" w:color="auto"/>
        <w:left w:val="none" w:sz="0" w:space="0" w:color="auto"/>
        <w:bottom w:val="none" w:sz="0" w:space="0" w:color="auto"/>
        <w:right w:val="none" w:sz="0" w:space="0" w:color="auto"/>
      </w:divBdr>
    </w:div>
    <w:div w:id="478421558">
      <w:bodyDiv w:val="1"/>
      <w:marLeft w:val="0"/>
      <w:marRight w:val="0"/>
      <w:marTop w:val="0"/>
      <w:marBottom w:val="0"/>
      <w:divBdr>
        <w:top w:val="none" w:sz="0" w:space="0" w:color="auto"/>
        <w:left w:val="none" w:sz="0" w:space="0" w:color="auto"/>
        <w:bottom w:val="none" w:sz="0" w:space="0" w:color="auto"/>
        <w:right w:val="none" w:sz="0" w:space="0" w:color="auto"/>
      </w:divBdr>
    </w:div>
    <w:div w:id="730227455">
      <w:bodyDiv w:val="1"/>
      <w:marLeft w:val="0"/>
      <w:marRight w:val="0"/>
      <w:marTop w:val="0"/>
      <w:marBottom w:val="0"/>
      <w:divBdr>
        <w:top w:val="none" w:sz="0" w:space="0" w:color="auto"/>
        <w:left w:val="none" w:sz="0" w:space="0" w:color="auto"/>
        <w:bottom w:val="none" w:sz="0" w:space="0" w:color="auto"/>
        <w:right w:val="none" w:sz="0" w:space="0" w:color="auto"/>
      </w:divBdr>
    </w:div>
    <w:div w:id="756514147">
      <w:bodyDiv w:val="1"/>
      <w:marLeft w:val="0"/>
      <w:marRight w:val="0"/>
      <w:marTop w:val="0"/>
      <w:marBottom w:val="0"/>
      <w:divBdr>
        <w:top w:val="none" w:sz="0" w:space="0" w:color="auto"/>
        <w:left w:val="none" w:sz="0" w:space="0" w:color="auto"/>
        <w:bottom w:val="none" w:sz="0" w:space="0" w:color="auto"/>
        <w:right w:val="none" w:sz="0" w:space="0" w:color="auto"/>
      </w:divBdr>
    </w:div>
    <w:div w:id="1131754573">
      <w:bodyDiv w:val="1"/>
      <w:marLeft w:val="0"/>
      <w:marRight w:val="0"/>
      <w:marTop w:val="0"/>
      <w:marBottom w:val="0"/>
      <w:divBdr>
        <w:top w:val="none" w:sz="0" w:space="0" w:color="auto"/>
        <w:left w:val="none" w:sz="0" w:space="0" w:color="auto"/>
        <w:bottom w:val="none" w:sz="0" w:space="0" w:color="auto"/>
        <w:right w:val="none" w:sz="0" w:space="0" w:color="auto"/>
      </w:divBdr>
    </w:div>
    <w:div w:id="1156453037">
      <w:bodyDiv w:val="1"/>
      <w:marLeft w:val="0"/>
      <w:marRight w:val="0"/>
      <w:marTop w:val="0"/>
      <w:marBottom w:val="0"/>
      <w:divBdr>
        <w:top w:val="none" w:sz="0" w:space="0" w:color="auto"/>
        <w:left w:val="none" w:sz="0" w:space="0" w:color="auto"/>
        <w:bottom w:val="none" w:sz="0" w:space="0" w:color="auto"/>
        <w:right w:val="none" w:sz="0" w:space="0" w:color="auto"/>
      </w:divBdr>
    </w:div>
    <w:div w:id="1205681751">
      <w:bodyDiv w:val="1"/>
      <w:marLeft w:val="0"/>
      <w:marRight w:val="0"/>
      <w:marTop w:val="0"/>
      <w:marBottom w:val="0"/>
      <w:divBdr>
        <w:top w:val="none" w:sz="0" w:space="0" w:color="auto"/>
        <w:left w:val="none" w:sz="0" w:space="0" w:color="auto"/>
        <w:bottom w:val="none" w:sz="0" w:space="0" w:color="auto"/>
        <w:right w:val="none" w:sz="0" w:space="0" w:color="auto"/>
      </w:divBdr>
    </w:div>
    <w:div w:id="1356611749">
      <w:bodyDiv w:val="1"/>
      <w:marLeft w:val="0"/>
      <w:marRight w:val="0"/>
      <w:marTop w:val="0"/>
      <w:marBottom w:val="0"/>
      <w:divBdr>
        <w:top w:val="none" w:sz="0" w:space="0" w:color="auto"/>
        <w:left w:val="none" w:sz="0" w:space="0" w:color="auto"/>
        <w:bottom w:val="none" w:sz="0" w:space="0" w:color="auto"/>
        <w:right w:val="none" w:sz="0" w:space="0" w:color="auto"/>
      </w:divBdr>
    </w:div>
    <w:div w:id="1466660386">
      <w:bodyDiv w:val="1"/>
      <w:marLeft w:val="0"/>
      <w:marRight w:val="0"/>
      <w:marTop w:val="0"/>
      <w:marBottom w:val="0"/>
      <w:divBdr>
        <w:top w:val="none" w:sz="0" w:space="0" w:color="auto"/>
        <w:left w:val="none" w:sz="0" w:space="0" w:color="auto"/>
        <w:bottom w:val="none" w:sz="0" w:space="0" w:color="auto"/>
        <w:right w:val="none" w:sz="0" w:space="0" w:color="auto"/>
      </w:divBdr>
    </w:div>
    <w:div w:id="1561405151">
      <w:bodyDiv w:val="1"/>
      <w:marLeft w:val="0"/>
      <w:marRight w:val="0"/>
      <w:marTop w:val="0"/>
      <w:marBottom w:val="0"/>
      <w:divBdr>
        <w:top w:val="none" w:sz="0" w:space="0" w:color="auto"/>
        <w:left w:val="none" w:sz="0" w:space="0" w:color="auto"/>
        <w:bottom w:val="none" w:sz="0" w:space="0" w:color="auto"/>
        <w:right w:val="none" w:sz="0" w:space="0" w:color="auto"/>
      </w:divBdr>
    </w:div>
    <w:div w:id="1777554751">
      <w:bodyDiv w:val="1"/>
      <w:marLeft w:val="0"/>
      <w:marRight w:val="0"/>
      <w:marTop w:val="0"/>
      <w:marBottom w:val="0"/>
      <w:divBdr>
        <w:top w:val="none" w:sz="0" w:space="0" w:color="auto"/>
        <w:left w:val="none" w:sz="0" w:space="0" w:color="auto"/>
        <w:bottom w:val="none" w:sz="0" w:space="0" w:color="auto"/>
        <w:right w:val="none" w:sz="0" w:space="0" w:color="auto"/>
      </w:divBdr>
    </w:div>
    <w:div w:id="1877546149">
      <w:bodyDiv w:val="1"/>
      <w:marLeft w:val="0"/>
      <w:marRight w:val="0"/>
      <w:marTop w:val="0"/>
      <w:marBottom w:val="0"/>
      <w:divBdr>
        <w:top w:val="none" w:sz="0" w:space="0" w:color="auto"/>
        <w:left w:val="none" w:sz="0" w:space="0" w:color="auto"/>
        <w:bottom w:val="none" w:sz="0" w:space="0" w:color="auto"/>
        <w:right w:val="none" w:sz="0" w:space="0" w:color="auto"/>
      </w:divBdr>
    </w:div>
    <w:div w:id="2015642764">
      <w:bodyDiv w:val="1"/>
      <w:marLeft w:val="0"/>
      <w:marRight w:val="0"/>
      <w:marTop w:val="0"/>
      <w:marBottom w:val="0"/>
      <w:divBdr>
        <w:top w:val="none" w:sz="0" w:space="0" w:color="auto"/>
        <w:left w:val="none" w:sz="0" w:space="0" w:color="auto"/>
        <w:bottom w:val="none" w:sz="0" w:space="0" w:color="auto"/>
        <w:right w:val="none" w:sz="0" w:space="0" w:color="auto"/>
      </w:divBdr>
    </w:div>
    <w:div w:id="211165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3617</Words>
  <Characters>20622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Faff</dc:creator>
  <cp:lastModifiedBy>李伯修</cp:lastModifiedBy>
  <cp:revision>28</cp:revision>
  <dcterms:created xsi:type="dcterms:W3CDTF">2026-07-06T07:19:00Z</dcterms:created>
  <dcterms:modified xsi:type="dcterms:W3CDTF">2026-07-07T07:48:00Z</dcterms:modified>
</cp:coreProperties>
</file>