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FFF23" w14:textId="77777777" w:rsidR="004B232D" w:rsidRPr="004B232D" w:rsidRDefault="00E93CA1" w:rsidP="004B232D">
      <w:pPr>
        <w:pStyle w:val="Body"/>
        <w:jc w:val="both"/>
        <w:rPr>
          <w:rFonts w:ascii="Times New Roman" w:eastAsia="Times New Roman" w:hAnsi="Times New Roman" w:cs="Times New Roman"/>
          <w:b/>
          <w:bCs/>
          <w:color w:val="FF0000"/>
          <w:sz w:val="20"/>
          <w:szCs w:val="20"/>
        </w:rPr>
      </w:pPr>
      <w:r>
        <w:rPr>
          <w:rFonts w:ascii="Times New Roman" w:hAnsi="Times New Roman" w:cs="Times New Roman"/>
          <w:b/>
          <w:bCs/>
          <w:color w:val="FF0000"/>
          <w:sz w:val="20"/>
          <w:szCs w:val="20"/>
          <w:lang w:eastAsia="zh-TW"/>
        </w:rPr>
        <w:t>A160: Chinese L</w:t>
      </w:r>
      <w:r w:rsidRPr="004B232D">
        <w:rPr>
          <w:rFonts w:ascii="Times New Roman" w:hAnsi="Times New Roman" w:cs="Times New Roman"/>
          <w:b/>
          <w:bCs/>
          <w:color w:val="FF0000"/>
          <w:sz w:val="20"/>
          <w:szCs w:val="20"/>
          <w:lang w:eastAsia="zh-TW"/>
        </w:rPr>
        <w:t xml:space="preserve">anguage Version of </w:t>
      </w:r>
      <w:proofErr w:type="spellStart"/>
      <w:r w:rsidRPr="004B232D">
        <w:rPr>
          <w:rFonts w:ascii="Times New Roman" w:hAnsi="Times New Roman" w:cs="Times New Roman"/>
          <w:b/>
          <w:bCs/>
          <w:color w:val="FF0000"/>
          <w:sz w:val="20"/>
          <w:szCs w:val="20"/>
          <w:lang w:eastAsia="zh-TW"/>
        </w:rPr>
        <w:t>Faff’s</w:t>
      </w:r>
      <w:proofErr w:type="spellEnd"/>
      <w:r w:rsidRPr="004B232D">
        <w:rPr>
          <w:rFonts w:ascii="Times New Roman" w:hAnsi="Times New Roman" w:cs="Times New Roman"/>
          <w:b/>
          <w:bCs/>
          <w:color w:val="FF0000"/>
          <w:sz w:val="20"/>
          <w:szCs w:val="20"/>
          <w:lang w:eastAsia="zh-TW"/>
        </w:rPr>
        <w:t xml:space="preserve"> (2015, 2017) Pitching Template – Cued</w:t>
      </w:r>
      <w:r w:rsidR="004B232D" w:rsidRPr="004B232D">
        <w:rPr>
          <w:rFonts w:ascii="Times New Roman" w:hAnsi="Times New Roman" w:cs="Times New Roman"/>
          <w:b/>
          <w:bCs/>
          <w:color w:val="FF0000"/>
          <w:sz w:val="20"/>
          <w:szCs w:val="20"/>
        </w:rPr>
        <w:t xml:space="preserve"> </w:t>
      </w:r>
    </w:p>
    <w:tbl>
      <w:tblPr>
        <w:tblStyle w:val="TableNormal1"/>
        <w:tblW w:w="1386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52"/>
        <w:gridCol w:w="4111"/>
        <w:gridCol w:w="1418"/>
        <w:gridCol w:w="2126"/>
        <w:gridCol w:w="2125"/>
        <w:gridCol w:w="1532"/>
      </w:tblGrid>
      <w:tr w:rsidR="004B232D" w:rsidRPr="0084156B" w14:paraId="2A60ACE4" w14:textId="77777777" w:rsidTr="008D1B53">
        <w:trPr>
          <w:trHeight w:val="767"/>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BC750" w14:textId="77777777" w:rsidR="004B232D" w:rsidRPr="0084156B" w:rsidRDefault="00E93CA1" w:rsidP="008D1B53">
            <w:pPr>
              <w:pStyle w:val="Body"/>
              <w:spacing w:after="200" w:line="276" w:lineRule="auto"/>
              <w:jc w:val="both"/>
              <w:rPr>
                <w:rFonts w:ascii="Times New Roman" w:eastAsia="Times New Roman" w:hAnsi="Times New Roman" w:cs="Times New Roman"/>
                <w:b/>
                <w:bCs/>
                <w:sz w:val="16"/>
                <w:szCs w:val="16"/>
                <w:u w:color="000000"/>
              </w:rPr>
            </w:pPr>
            <w:r w:rsidRPr="00E93CA1">
              <w:rPr>
                <w:rFonts w:ascii="Times New Roman" w:eastAsia="新細明體" w:hAnsi="Times New Roman" w:cs="Times New Roman"/>
                <w:b/>
                <w:bCs/>
                <w:sz w:val="16"/>
                <w:szCs w:val="16"/>
                <w:u w:color="000000"/>
                <w:lang w:eastAsia="zh-TW"/>
              </w:rPr>
              <w:t>Pitcher’s Name</w:t>
            </w:r>
          </w:p>
          <w:p w14:paraId="167A53F5" w14:textId="77777777" w:rsidR="004B232D" w:rsidRPr="0084156B" w:rsidRDefault="00E93CA1" w:rsidP="008D1B53">
            <w:pPr>
              <w:pStyle w:val="Body"/>
              <w:spacing w:after="200" w:line="276" w:lineRule="auto"/>
              <w:jc w:val="both"/>
              <w:rPr>
                <w:rFonts w:ascii="Times New Roman" w:hAnsi="Times New Roman" w:cs="Times New Roman"/>
                <w:sz w:val="16"/>
                <w:szCs w:val="16"/>
              </w:rPr>
            </w:pPr>
            <w:r w:rsidRPr="00E93CA1">
              <w:rPr>
                <w:rFonts w:ascii="SimSun" w:eastAsia="新細明體" w:hAnsi="SimSun" w:cs="SimSun" w:hint="eastAsia"/>
                <w:b/>
                <w:bCs/>
                <w:sz w:val="16"/>
                <w:szCs w:val="16"/>
                <w:u w:color="000000"/>
                <w:lang w:eastAsia="zh-TW"/>
              </w:rPr>
              <w:t>論文寫作者姓名</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F39646" w14:textId="2FCE95DD" w:rsidR="004B232D" w:rsidRPr="007D1E07" w:rsidRDefault="00F4271A" w:rsidP="008D1B53">
            <w:pPr>
              <w:pStyle w:val="Body"/>
              <w:jc w:val="both"/>
              <w:rPr>
                <w:rFonts w:ascii="Times New Roman" w:eastAsiaTheme="minorEastAsia" w:hAnsi="Times New Roman" w:cs="Times New Roman"/>
                <w:color w:val="000000" w:themeColor="text1"/>
                <w:sz w:val="16"/>
                <w:szCs w:val="16"/>
              </w:rPr>
            </w:pPr>
            <w:r>
              <w:rPr>
                <w:rFonts w:ascii="Times New Roman" w:eastAsia="新細明體" w:hAnsi="Times New Roman" w:cs="Times New Roman" w:hint="eastAsia"/>
                <w:color w:val="000000" w:themeColor="text1"/>
                <w:sz w:val="16"/>
                <w:szCs w:val="16"/>
                <w:u w:color="FF0000"/>
                <w:lang w:eastAsia="zh-TW"/>
              </w:rPr>
              <w:t>Bo-</w:t>
            </w:r>
            <w:proofErr w:type="spellStart"/>
            <w:r>
              <w:rPr>
                <w:rFonts w:ascii="Times New Roman" w:eastAsia="新細明體" w:hAnsi="Times New Roman" w:cs="Times New Roman" w:hint="eastAsia"/>
                <w:color w:val="000000" w:themeColor="text1"/>
                <w:sz w:val="16"/>
                <w:szCs w:val="16"/>
                <w:u w:color="FF0000"/>
                <w:lang w:eastAsia="zh-TW"/>
              </w:rPr>
              <w:t>Siou</w:t>
            </w:r>
            <w:proofErr w:type="spellEnd"/>
            <w:r>
              <w:rPr>
                <w:rFonts w:ascii="Times New Roman" w:eastAsia="新細明體" w:hAnsi="Times New Roman" w:cs="Times New Roman" w:hint="eastAsia"/>
                <w:color w:val="000000" w:themeColor="text1"/>
                <w:sz w:val="16"/>
                <w:szCs w:val="16"/>
                <w:u w:color="FF0000"/>
                <w:lang w:eastAsia="zh-TW"/>
              </w:rPr>
              <w:t xml:space="preserve"> Li</w:t>
            </w:r>
          </w:p>
        </w:tc>
        <w:tc>
          <w:tcPr>
            <w:tcW w:w="14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tcPr>
          <w:p w14:paraId="34D8E514" w14:textId="77777777" w:rsidR="004B232D" w:rsidRPr="0084156B" w:rsidRDefault="00E93CA1" w:rsidP="008D1B53">
            <w:pPr>
              <w:pStyle w:val="Body"/>
              <w:jc w:val="both"/>
              <w:rPr>
                <w:rFonts w:ascii="Times New Roman" w:eastAsia="Times New Roman" w:hAnsi="Times New Roman" w:cs="Times New Roman"/>
                <w:sz w:val="16"/>
                <w:szCs w:val="16"/>
                <w:u w:color="000000"/>
              </w:rPr>
            </w:pPr>
            <w:proofErr w:type="spellStart"/>
            <w:r w:rsidRPr="00E93CA1">
              <w:rPr>
                <w:rFonts w:ascii="Times New Roman" w:eastAsia="新細明體" w:hAnsi="Times New Roman" w:cs="Times New Roman"/>
                <w:sz w:val="16"/>
                <w:szCs w:val="16"/>
                <w:u w:color="000000"/>
                <w:lang w:eastAsia="zh-TW"/>
              </w:rPr>
              <w:t>FoR</w:t>
            </w:r>
            <w:proofErr w:type="spellEnd"/>
            <w:r w:rsidRPr="00E93CA1">
              <w:rPr>
                <w:rFonts w:ascii="Times New Roman" w:eastAsia="新細明體" w:hAnsi="Times New Roman" w:cs="Times New Roman"/>
                <w:sz w:val="16"/>
                <w:szCs w:val="16"/>
                <w:u w:color="000000"/>
                <w:lang w:eastAsia="zh-TW"/>
              </w:rPr>
              <w:t xml:space="preserve"> category</w:t>
            </w:r>
          </w:p>
          <w:p w14:paraId="7FD90E99" w14:textId="77777777" w:rsidR="004B232D" w:rsidRPr="0084156B" w:rsidRDefault="00E93CA1" w:rsidP="008D1B53">
            <w:pPr>
              <w:pStyle w:val="Body"/>
              <w:jc w:val="both"/>
              <w:rPr>
                <w:rFonts w:ascii="Times New Roman" w:hAnsi="Times New Roman" w:cs="Times New Roman"/>
                <w:sz w:val="16"/>
                <w:szCs w:val="16"/>
              </w:rPr>
            </w:pPr>
            <w:r w:rsidRPr="00E93CA1">
              <w:rPr>
                <w:rFonts w:ascii="SimSun" w:eastAsia="新細明體" w:hAnsi="SimSun" w:cs="SimSun" w:hint="eastAsia"/>
                <w:sz w:val="16"/>
                <w:szCs w:val="16"/>
                <w:u w:color="000000"/>
                <w:lang w:eastAsia="zh-TW"/>
              </w:rPr>
              <w:t>論文類別</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11F7B9" w14:textId="308DA6FD" w:rsidR="004B232D" w:rsidRPr="007D1E07" w:rsidRDefault="00673934" w:rsidP="008D1B53">
            <w:pPr>
              <w:pStyle w:val="Body"/>
              <w:jc w:val="both"/>
              <w:rPr>
                <w:rFonts w:ascii="Times New Roman" w:hAnsi="Times New Roman" w:cs="Times New Roman"/>
                <w:color w:val="000000" w:themeColor="text1"/>
                <w:sz w:val="16"/>
                <w:szCs w:val="16"/>
              </w:rPr>
            </w:pPr>
            <w:r w:rsidRPr="007D1E07">
              <w:rPr>
                <w:rFonts w:ascii="Times New Roman" w:eastAsia="新細明體" w:hAnsi="Times New Roman" w:cs="Times New Roman" w:hint="eastAsia"/>
                <w:color w:val="000000" w:themeColor="text1"/>
                <w:sz w:val="16"/>
                <w:szCs w:val="16"/>
                <w:u w:color="FF0000"/>
                <w:lang w:eastAsia="zh-TW"/>
              </w:rPr>
              <w:t>Quantitative Finance</w:t>
            </w:r>
          </w:p>
        </w:tc>
        <w:tc>
          <w:tcPr>
            <w:tcW w:w="212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tcPr>
          <w:p w14:paraId="5D593CA9" w14:textId="77777777" w:rsidR="004B232D" w:rsidRPr="0084156B" w:rsidRDefault="00E93CA1" w:rsidP="008D1B53">
            <w:pPr>
              <w:pStyle w:val="Body"/>
              <w:jc w:val="both"/>
              <w:rPr>
                <w:rFonts w:ascii="Times New Roman" w:eastAsia="Times New Roman" w:hAnsi="Times New Roman" w:cs="Times New Roman"/>
                <w:b/>
                <w:bCs/>
                <w:sz w:val="16"/>
                <w:szCs w:val="16"/>
                <w:u w:color="000000"/>
              </w:rPr>
            </w:pPr>
            <w:r w:rsidRPr="00E93CA1">
              <w:rPr>
                <w:rFonts w:ascii="Times New Roman" w:eastAsia="新細明體" w:hAnsi="Times New Roman" w:cs="Times New Roman"/>
                <w:b/>
                <w:bCs/>
                <w:sz w:val="16"/>
                <w:szCs w:val="16"/>
                <w:u w:color="000000"/>
                <w:lang w:eastAsia="zh-TW"/>
              </w:rPr>
              <w:t>Date Completed</w:t>
            </w:r>
          </w:p>
          <w:p w14:paraId="43791209" w14:textId="77777777" w:rsidR="004B232D" w:rsidRPr="0084156B" w:rsidRDefault="004B232D" w:rsidP="008D1B53">
            <w:pPr>
              <w:pStyle w:val="Body"/>
              <w:jc w:val="both"/>
              <w:rPr>
                <w:rFonts w:ascii="Times New Roman" w:eastAsia="Times New Roman" w:hAnsi="Times New Roman" w:cs="Times New Roman"/>
                <w:b/>
                <w:bCs/>
                <w:sz w:val="16"/>
                <w:szCs w:val="16"/>
                <w:u w:color="000000"/>
              </w:rPr>
            </w:pPr>
          </w:p>
          <w:p w14:paraId="16B5B9AA" w14:textId="77777777" w:rsidR="004B232D" w:rsidRPr="0084156B" w:rsidRDefault="00E93CA1" w:rsidP="008D1B53">
            <w:pPr>
              <w:pStyle w:val="Body"/>
              <w:jc w:val="both"/>
              <w:rPr>
                <w:rFonts w:ascii="Times New Roman" w:hAnsi="Times New Roman" w:cs="Times New Roman"/>
                <w:sz w:val="16"/>
                <w:szCs w:val="16"/>
              </w:rPr>
            </w:pPr>
            <w:r w:rsidRPr="00E93CA1">
              <w:rPr>
                <w:rFonts w:ascii="SimSun" w:eastAsia="新細明體" w:hAnsi="SimSun" w:cs="SimSun" w:hint="eastAsia"/>
                <w:b/>
                <w:bCs/>
                <w:sz w:val="16"/>
                <w:szCs w:val="16"/>
                <w:u w:color="000000"/>
                <w:lang w:eastAsia="zh-TW"/>
              </w:rPr>
              <w:t>完成時間</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A072CB" w14:textId="77777777" w:rsidR="004B232D" w:rsidRPr="007D1E07" w:rsidRDefault="00673934" w:rsidP="008D1B53">
            <w:pPr>
              <w:pStyle w:val="Body"/>
              <w:jc w:val="both"/>
              <w:rPr>
                <w:rFonts w:ascii="Times New Roman" w:hAnsi="Times New Roman" w:cs="Times New Roman"/>
                <w:color w:val="000000" w:themeColor="text1"/>
                <w:sz w:val="16"/>
                <w:szCs w:val="16"/>
              </w:rPr>
            </w:pPr>
            <w:r w:rsidRPr="007D1E07">
              <w:rPr>
                <w:rFonts w:ascii="Times New Roman" w:eastAsia="新細明體" w:hAnsi="Times New Roman" w:cs="Times New Roman"/>
                <w:color w:val="000000" w:themeColor="text1"/>
                <w:sz w:val="16"/>
                <w:szCs w:val="16"/>
                <w:u w:color="FF0000"/>
                <w:lang w:eastAsia="zh-TW"/>
              </w:rPr>
              <w:t>2026-07</w:t>
            </w:r>
          </w:p>
        </w:tc>
      </w:tr>
      <w:tr w:rsidR="004B232D" w14:paraId="7F0AB8DF" w14:textId="77777777" w:rsidTr="008D1B53">
        <w:trPr>
          <w:trHeight w:val="4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9D563D2" w14:textId="77777777" w:rsidR="004B232D" w:rsidRPr="007730CA" w:rsidRDefault="00E93CA1" w:rsidP="004B232D">
            <w:pPr>
              <w:pStyle w:val="Body"/>
              <w:numPr>
                <w:ilvl w:val="0"/>
                <w:numId w:val="1"/>
              </w:numPr>
              <w:ind w:left="360" w:hanging="360"/>
              <w:jc w:val="both"/>
              <w:rPr>
                <w:rFonts w:ascii="Times New Roman" w:eastAsia="Calibri"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Working Title</w:t>
            </w:r>
          </w:p>
          <w:p w14:paraId="6A634395"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論文課題</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24923A" w14:textId="2A04DADA" w:rsidR="007D1E07" w:rsidRPr="007D1E07" w:rsidRDefault="007D1E07" w:rsidP="008D1B53">
            <w:pPr>
              <w:pStyle w:val="Body"/>
              <w:jc w:val="both"/>
              <w:rPr>
                <w:rFonts w:ascii="Times New Roman" w:hAnsi="Times New Roman" w:cs="Times New Roman"/>
                <w:color w:val="000000" w:themeColor="text1"/>
              </w:rPr>
            </w:pPr>
            <w:r w:rsidRPr="007D1E07">
              <w:rPr>
                <w:rFonts w:ascii="Times New Roman" w:hAnsi="Times New Roman" w:cs="Times New Roman"/>
                <w:color w:val="000000" w:themeColor="text1"/>
              </w:rPr>
              <w:t>Construction and Empirical Investigation of a Pairs Trading System Combining Unsupervised Dynamic Clustering and Deep Reinforcement Learning: Evidence from the S&amp;P 500</w:t>
            </w:r>
          </w:p>
        </w:tc>
      </w:tr>
      <w:tr w:rsidR="004B232D" w14:paraId="62A82B21" w14:textId="77777777" w:rsidTr="008D1B53">
        <w:trPr>
          <w:trHeight w:val="465"/>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9634250"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(B) Basic Research Question</w:t>
            </w:r>
          </w:p>
          <w:p w14:paraId="4FF3E847"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基本研究題目</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A81011" w14:textId="77777777" w:rsidR="004B232D" w:rsidRDefault="00F4271A" w:rsidP="008D1B53">
            <w:pPr>
              <w:pStyle w:val="Body"/>
              <w:jc w:val="both"/>
              <w:rPr>
                <w:rFonts w:ascii="Times New Roman" w:eastAsia="新細明體" w:hAnsi="Times New Roman" w:cs="Times New Roman"/>
                <w:color w:val="000000" w:themeColor="text1"/>
                <w:sz w:val="18"/>
                <w:szCs w:val="18"/>
                <w:u w:color="FF0000"/>
                <w:lang w:eastAsia="zh-TW"/>
              </w:rPr>
            </w:pPr>
            <w:r w:rsidRPr="00F4271A">
              <w:rPr>
                <w:rFonts w:ascii="Times New Roman" w:eastAsia="新細明體" w:hAnsi="Times New Roman" w:cs="Times New Roman"/>
                <w:color w:val="000000" w:themeColor="text1"/>
                <w:sz w:val="18"/>
                <w:szCs w:val="18"/>
                <w:u w:color="FF0000"/>
                <w:lang w:eastAsia="zh-TW"/>
              </w:rPr>
              <w:t>How can an adaptive pairs trading decision system be constructed within the efficient S&amp;P 500 market by leveraging unsupervised dynamic clustering to overcome the limitations of traditional industry classifications and integrating deep reinforcement learning (DRL) to autonomously adapt to market regime shifts?</w:t>
            </w:r>
          </w:p>
          <w:p w14:paraId="7CAFB1C6" w14:textId="77777777" w:rsidR="00A26ED6" w:rsidRDefault="00A26ED6" w:rsidP="008D1B53">
            <w:pPr>
              <w:pStyle w:val="Body"/>
              <w:jc w:val="both"/>
              <w:rPr>
                <w:rFonts w:ascii="Times New Roman" w:hAnsi="Times New Roman" w:cs="Times New Roman"/>
                <w:color w:val="000000" w:themeColor="text1"/>
                <w:lang w:eastAsia="zh-TW"/>
              </w:rPr>
            </w:pPr>
            <w:r>
              <w:rPr>
                <w:rFonts w:ascii="Times New Roman" w:hAnsi="Times New Roman" w:cs="Times New Roman" w:hint="eastAsia"/>
                <w:color w:val="000000" w:themeColor="text1"/>
                <w:lang w:eastAsia="zh-TW"/>
              </w:rPr>
              <w:t>Formation:</w:t>
            </w:r>
          </w:p>
          <w:p w14:paraId="673D2B1B" w14:textId="7F15966C" w:rsidR="00A26ED6" w:rsidRDefault="00A26ED6" w:rsidP="008D1B53">
            <w:pPr>
              <w:pStyle w:val="Body"/>
              <w:jc w:val="both"/>
              <w:rPr>
                <w:rFonts w:ascii="Times New Roman" w:hAnsi="Times New Roman" w:cs="Times New Roman"/>
                <w:color w:val="000000" w:themeColor="text1"/>
                <w:lang w:eastAsia="zh-TW"/>
              </w:rPr>
            </w:pPr>
            <w:r w:rsidRPr="00A26ED6">
              <w:rPr>
                <w:rFonts w:ascii="Times New Roman" w:hAnsi="Times New Roman" w:cs="Times New Roman"/>
                <w:color w:val="000000" w:themeColor="text1"/>
                <w:lang w:eastAsia="zh-TW"/>
              </w:rPr>
              <w:t xml:space="preserve">Can unsupervised machine learning clustering effectively replace traditional GICS industry classifications in capturing time-varying </w:t>
            </w:r>
            <w:proofErr w:type="spellStart"/>
            <w:r w:rsidRPr="00A26ED6">
              <w:rPr>
                <w:rFonts w:ascii="Times New Roman" w:hAnsi="Times New Roman" w:cs="Times New Roman"/>
                <w:color w:val="000000" w:themeColor="text1"/>
                <w:lang w:eastAsia="zh-TW"/>
              </w:rPr>
              <w:t>comovement</w:t>
            </w:r>
            <w:proofErr w:type="spellEnd"/>
            <w:r w:rsidRPr="00A26ED6">
              <w:rPr>
                <w:rFonts w:ascii="Times New Roman" w:hAnsi="Times New Roman" w:cs="Times New Roman"/>
                <w:color w:val="000000" w:themeColor="text1"/>
                <w:lang w:eastAsia="zh-TW"/>
              </w:rPr>
              <w:t xml:space="preserve"> characteristics, thereby mitigating the risk of spurious correlation during the pair formation phase?</w:t>
            </w:r>
          </w:p>
          <w:p w14:paraId="68463755" w14:textId="77777777" w:rsidR="00A26ED6" w:rsidRDefault="00A26ED6" w:rsidP="008D1B53">
            <w:pPr>
              <w:pStyle w:val="Body"/>
              <w:jc w:val="both"/>
              <w:rPr>
                <w:rFonts w:ascii="Times New Roman" w:hAnsi="Times New Roman" w:cs="Times New Roman"/>
                <w:color w:val="000000" w:themeColor="text1"/>
                <w:lang w:eastAsia="zh-TW"/>
              </w:rPr>
            </w:pPr>
            <w:r>
              <w:rPr>
                <w:rFonts w:ascii="Times New Roman" w:hAnsi="Times New Roman" w:cs="Times New Roman" w:hint="eastAsia"/>
                <w:color w:val="000000" w:themeColor="text1"/>
                <w:lang w:eastAsia="zh-TW"/>
              </w:rPr>
              <w:t>Trading:</w:t>
            </w:r>
          </w:p>
          <w:p w14:paraId="54760425" w14:textId="77777777" w:rsidR="00A26ED6" w:rsidRDefault="00A26ED6" w:rsidP="008D1B53">
            <w:pPr>
              <w:pStyle w:val="Body"/>
              <w:jc w:val="both"/>
              <w:rPr>
                <w:rFonts w:ascii="Times New Roman" w:hAnsi="Times New Roman" w:cs="Times New Roman"/>
                <w:color w:val="000000" w:themeColor="text1"/>
                <w:lang w:eastAsia="zh-TW"/>
              </w:rPr>
            </w:pPr>
            <w:r w:rsidRPr="00A26ED6">
              <w:rPr>
                <w:rFonts w:ascii="Times New Roman" w:hAnsi="Times New Roman" w:cs="Times New Roman"/>
                <w:color w:val="000000" w:themeColor="text1"/>
                <w:lang w:eastAsia="zh-TW"/>
              </w:rPr>
              <w:t>Can a deep reinforcement learning agent dynamically optimize trading and stop-loss boundaries when facing non-stationary financial time series, demonstrating superior adaptability compared to traditional fixed-threshold strategies?</w:t>
            </w:r>
          </w:p>
          <w:p w14:paraId="4C076FF2" w14:textId="77777777" w:rsidR="00A26ED6" w:rsidRDefault="00A26ED6" w:rsidP="008D1B53">
            <w:pPr>
              <w:pStyle w:val="Body"/>
              <w:jc w:val="both"/>
              <w:rPr>
                <w:rFonts w:ascii="Times New Roman" w:hAnsi="Times New Roman" w:cs="Times New Roman"/>
                <w:color w:val="000000" w:themeColor="text1"/>
                <w:lang w:eastAsia="zh-TW"/>
              </w:rPr>
            </w:pPr>
            <w:r>
              <w:rPr>
                <w:rFonts w:ascii="Times New Roman" w:hAnsi="Times New Roman" w:cs="Times New Roman" w:hint="eastAsia"/>
                <w:color w:val="000000" w:themeColor="text1"/>
                <w:lang w:eastAsia="zh-TW"/>
              </w:rPr>
              <w:t>Cost</w:t>
            </w:r>
          </w:p>
          <w:p w14:paraId="5B22D73D" w14:textId="7C257DAA" w:rsidR="00A26ED6" w:rsidRPr="007D1E07" w:rsidRDefault="00A26ED6" w:rsidP="008D1B53">
            <w:pPr>
              <w:pStyle w:val="Body"/>
              <w:jc w:val="both"/>
              <w:rPr>
                <w:rFonts w:ascii="Times New Roman" w:hAnsi="Times New Roman" w:cs="Times New Roman"/>
                <w:color w:val="000000" w:themeColor="text1"/>
                <w:lang w:eastAsia="zh-TW"/>
              </w:rPr>
            </w:pPr>
            <w:r w:rsidRPr="00A26ED6">
              <w:rPr>
                <w:rFonts w:ascii="Times New Roman" w:hAnsi="Times New Roman" w:cs="Times New Roman"/>
                <w:color w:val="000000" w:themeColor="text1"/>
                <w:lang w:eastAsia="zh-TW"/>
              </w:rPr>
              <w:t>Accounting for realistic transaction costs, can the proposed two-stage hybrid dynamic system generate statistically significant, robust abnormal returns and superior risk-adjusted performance within the S&amp;P 500 market?</w:t>
            </w:r>
          </w:p>
        </w:tc>
      </w:tr>
      <w:tr w:rsidR="001D51BE" w14:paraId="392B1EA0" w14:textId="77777777" w:rsidTr="008D1B53">
        <w:trPr>
          <w:trHeight w:val="9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88B875F" w14:textId="77777777" w:rsidR="001D51BE" w:rsidRPr="007730CA" w:rsidRDefault="001D51BE" w:rsidP="001D51BE">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(C) Key paper(s)</w:t>
            </w:r>
          </w:p>
          <w:p w14:paraId="4BD5476A" w14:textId="77777777" w:rsidR="001D51BE" w:rsidRPr="007730CA" w:rsidRDefault="001D51BE" w:rsidP="001D51BE">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重要文獻</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388DC2" w14:textId="43120CAA" w:rsidR="001D51BE" w:rsidRPr="004E2207" w:rsidRDefault="001D51BE" w:rsidP="001D51BE">
            <w:pPr>
              <w:pStyle w:val="Body"/>
              <w:jc w:val="both"/>
              <w:rPr>
                <w:rFonts w:ascii="Times New Roman" w:eastAsia="新細明體" w:hAnsi="Times New Roman" w:cs="Times New Roman" w:hint="eastAsia"/>
                <w:color w:val="000000" w:themeColor="text1"/>
                <w:sz w:val="18"/>
                <w:szCs w:val="18"/>
                <w:u w:color="FF0000"/>
                <w:lang w:val="en-AU" w:eastAsia="zh-TW"/>
              </w:rPr>
            </w:pPr>
            <w:r>
              <w:rPr>
                <w:rFonts w:ascii="Times New Roman" w:eastAsia="新細明體" w:hAnsi="Times New Roman" w:cs="Times New Roman" w:hint="eastAsia"/>
                <w:color w:val="000000" w:themeColor="text1"/>
                <w:sz w:val="18"/>
                <w:szCs w:val="18"/>
                <w:u w:color="FF0000"/>
                <w:lang w:val="en-AU" w:eastAsia="zh-TW"/>
              </w:rPr>
              <w:t>Basic</w:t>
            </w:r>
          </w:p>
          <w:p w14:paraId="2BA2FC2E" w14:textId="77777777" w:rsidR="001D51BE" w:rsidRPr="004E2207" w:rsidRDefault="001D51BE" w:rsidP="001D51BE">
            <w:pPr>
              <w:pStyle w:val="Body"/>
              <w:numPr>
                <w:ilvl w:val="0"/>
                <w:numId w:val="8"/>
              </w:numPr>
              <w:jc w:val="both"/>
              <w:rPr>
                <w:rFonts w:ascii="Times New Roman" w:eastAsia="新細明體" w:hAnsi="Times New Roman" w:cs="Times New Roman"/>
                <w:color w:val="000000" w:themeColor="text1"/>
                <w:sz w:val="18"/>
                <w:szCs w:val="18"/>
                <w:u w:color="FF0000"/>
                <w:lang w:val="en-AU" w:eastAsia="zh-TW"/>
              </w:rPr>
            </w:pPr>
            <w:proofErr w:type="spellStart"/>
            <w:r w:rsidRPr="004E2207">
              <w:rPr>
                <w:rFonts w:ascii="Times New Roman" w:eastAsia="新細明體" w:hAnsi="Times New Roman" w:cs="Times New Roman"/>
                <w:color w:val="000000" w:themeColor="text1"/>
                <w:sz w:val="18"/>
                <w:szCs w:val="18"/>
                <w:u w:color="FF0000"/>
                <w:lang w:eastAsia="zh-TW"/>
              </w:rPr>
              <w:t>Gatev</w:t>
            </w:r>
            <w:proofErr w:type="spellEnd"/>
            <w:r w:rsidRPr="004E2207">
              <w:rPr>
                <w:rFonts w:ascii="Times New Roman" w:eastAsia="新細明體" w:hAnsi="Times New Roman" w:cs="Times New Roman"/>
                <w:color w:val="000000" w:themeColor="text1"/>
                <w:sz w:val="18"/>
                <w:szCs w:val="18"/>
                <w:u w:color="FF0000"/>
                <w:lang w:eastAsia="zh-TW"/>
              </w:rPr>
              <w:t xml:space="preserve">, E., </w:t>
            </w:r>
            <w:proofErr w:type="spellStart"/>
            <w:r w:rsidRPr="004E2207">
              <w:rPr>
                <w:rFonts w:ascii="Times New Roman" w:eastAsia="新細明體" w:hAnsi="Times New Roman" w:cs="Times New Roman"/>
                <w:color w:val="000000" w:themeColor="text1"/>
                <w:sz w:val="18"/>
                <w:szCs w:val="18"/>
                <w:u w:color="FF0000"/>
                <w:lang w:eastAsia="zh-TW"/>
              </w:rPr>
              <w:t>Goetzmann</w:t>
            </w:r>
            <w:proofErr w:type="spellEnd"/>
            <w:r w:rsidRPr="004E2207">
              <w:rPr>
                <w:rFonts w:ascii="Times New Roman" w:eastAsia="新細明體" w:hAnsi="Times New Roman" w:cs="Times New Roman"/>
                <w:color w:val="000000" w:themeColor="text1"/>
                <w:sz w:val="18"/>
                <w:szCs w:val="18"/>
                <w:u w:color="FF0000"/>
                <w:lang w:eastAsia="zh-TW"/>
              </w:rPr>
              <w:t xml:space="preserve">, W. N., &amp; </w:t>
            </w:r>
            <w:proofErr w:type="spellStart"/>
            <w:r w:rsidRPr="004E2207">
              <w:rPr>
                <w:rFonts w:ascii="Times New Roman" w:eastAsia="新細明體" w:hAnsi="Times New Roman" w:cs="Times New Roman"/>
                <w:color w:val="000000" w:themeColor="text1"/>
                <w:sz w:val="18"/>
                <w:szCs w:val="18"/>
                <w:u w:color="FF0000"/>
                <w:lang w:eastAsia="zh-TW"/>
              </w:rPr>
              <w:t>Rouwenhorst</w:t>
            </w:r>
            <w:proofErr w:type="spellEnd"/>
            <w:r w:rsidRPr="004E2207">
              <w:rPr>
                <w:rFonts w:ascii="Times New Roman" w:eastAsia="新細明體" w:hAnsi="Times New Roman" w:cs="Times New Roman"/>
                <w:color w:val="000000" w:themeColor="text1"/>
                <w:sz w:val="18"/>
                <w:szCs w:val="18"/>
                <w:u w:color="FF0000"/>
                <w:lang w:eastAsia="zh-TW"/>
              </w:rPr>
              <w:t>, K. G. (2006). Pairs trading: Performance of a relative-value arbitrage rule.</w:t>
            </w:r>
            <w:r w:rsidRPr="004E2207">
              <w:rPr>
                <w:rFonts w:ascii="Times New Roman" w:eastAsia="新細明體" w:hAnsi="Times New Roman" w:cs="Times New Roman" w:hint="eastAsia"/>
                <w:color w:val="000000" w:themeColor="text1"/>
                <w:sz w:val="18"/>
                <w:szCs w:val="18"/>
                <w:u w:color="FF0000"/>
                <w:lang w:eastAsia="zh-TW"/>
              </w:rPr>
              <w:t>－</w:t>
            </w:r>
            <w:r w:rsidRPr="004E2207">
              <w:rPr>
                <w:rFonts w:ascii="Times New Roman" w:eastAsia="新細明體" w:hAnsi="Times New Roman" w:cs="Times New Roman" w:hint="eastAsia"/>
                <w:color w:val="000000" w:themeColor="text1"/>
                <w:sz w:val="18"/>
                <w:szCs w:val="18"/>
                <w:u w:color="FF0000"/>
                <w:lang w:eastAsia="zh-TW"/>
              </w:rPr>
              <w:t>T</w:t>
            </w:r>
            <w:r w:rsidRPr="004E2207">
              <w:rPr>
                <w:rFonts w:ascii="Times New Roman" w:eastAsia="新細明體" w:hAnsi="Times New Roman" w:cs="Times New Roman"/>
                <w:color w:val="000000" w:themeColor="text1"/>
                <w:sz w:val="18"/>
                <w:szCs w:val="18"/>
                <w:u w:color="FF0000"/>
                <w:lang w:val="en-AU" w:eastAsia="zh-TW"/>
              </w:rPr>
              <w:t>he Review of Financial Studies (RFS)</w:t>
            </w:r>
          </w:p>
          <w:p w14:paraId="26B14D1A" w14:textId="77777777" w:rsidR="001D51BE" w:rsidRPr="004E2207" w:rsidRDefault="001D51BE" w:rsidP="001D51BE">
            <w:pPr>
              <w:pStyle w:val="Body"/>
              <w:numPr>
                <w:ilvl w:val="0"/>
                <w:numId w:val="8"/>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eastAsia="zh-TW"/>
              </w:rPr>
              <w:t>Sun, Y. (2025). A survey of statistical arbitrage pair trading with machine learning, deep learning, and reinforcement learning methods.</w:t>
            </w:r>
            <w:r w:rsidRPr="004E2207">
              <w:rPr>
                <w:rFonts w:ascii="Times New Roman" w:eastAsia="新細明體" w:hAnsi="Times New Roman" w:cs="Times New Roman" w:hint="eastAsia"/>
                <w:color w:val="000000" w:themeColor="text1"/>
                <w:sz w:val="18"/>
                <w:szCs w:val="18"/>
                <w:u w:color="FF0000"/>
                <w:lang w:eastAsia="zh-TW"/>
              </w:rPr>
              <w:t>－</w:t>
            </w:r>
            <w:r w:rsidRPr="004E2207">
              <w:rPr>
                <w:rFonts w:ascii="Times New Roman" w:eastAsia="新細明體" w:hAnsi="Times New Roman" w:cs="Times New Roman"/>
                <w:color w:val="000000" w:themeColor="text1"/>
                <w:sz w:val="18"/>
                <w:szCs w:val="18"/>
                <w:u w:color="FF0000"/>
                <w:lang w:eastAsia="zh-TW"/>
              </w:rPr>
              <w:t>University of Warsaw Working Paper</w:t>
            </w:r>
            <w:r w:rsidRPr="004E2207">
              <w:rPr>
                <w:rFonts w:ascii="Times New Roman" w:eastAsia="新細明體" w:hAnsi="Times New Roman" w:cs="Times New Roman" w:hint="eastAsia"/>
                <w:color w:val="000000" w:themeColor="text1"/>
                <w:sz w:val="18"/>
                <w:szCs w:val="18"/>
                <w:u w:color="FF0000"/>
                <w:lang w:eastAsia="zh-TW"/>
              </w:rPr>
              <w:t>.</w:t>
            </w:r>
          </w:p>
          <w:p w14:paraId="7AE7A77F" w14:textId="086D9F95" w:rsidR="001D51BE" w:rsidRPr="004E2207" w:rsidRDefault="001D51BE" w:rsidP="001D51BE">
            <w:pPr>
              <w:pStyle w:val="Body"/>
              <w:jc w:val="both"/>
              <w:rPr>
                <w:rFonts w:ascii="Times New Roman" w:eastAsia="新細明體" w:hAnsi="Times New Roman" w:cs="Times New Roman"/>
                <w:color w:val="000000" w:themeColor="text1"/>
                <w:sz w:val="18"/>
                <w:szCs w:val="18"/>
                <w:u w:color="FF0000"/>
                <w:lang w:eastAsia="zh-TW"/>
              </w:rPr>
            </w:pPr>
            <w:r>
              <w:rPr>
                <w:rFonts w:ascii="Times New Roman" w:eastAsia="新細明體" w:hAnsi="Times New Roman" w:cs="Times New Roman" w:hint="eastAsia"/>
                <w:color w:val="000000" w:themeColor="text1"/>
                <w:sz w:val="18"/>
                <w:szCs w:val="18"/>
                <w:u w:color="FF0000"/>
                <w:lang w:eastAsia="zh-TW"/>
              </w:rPr>
              <w:t>Formation</w:t>
            </w:r>
          </w:p>
          <w:p w14:paraId="2411B72A" w14:textId="77777777" w:rsidR="001D51BE" w:rsidRPr="004E2207" w:rsidRDefault="001D51BE" w:rsidP="001D51BE">
            <w:pPr>
              <w:pStyle w:val="Body"/>
              <w:numPr>
                <w:ilvl w:val="0"/>
                <w:numId w:val="9"/>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 xml:space="preserve">Han, C., He, Z., &amp; </w:t>
            </w:r>
            <w:proofErr w:type="spellStart"/>
            <w:r w:rsidRPr="004E2207">
              <w:rPr>
                <w:rFonts w:ascii="Times New Roman" w:eastAsia="新細明體" w:hAnsi="Times New Roman" w:cs="Times New Roman"/>
                <w:color w:val="000000" w:themeColor="text1"/>
                <w:sz w:val="18"/>
                <w:szCs w:val="18"/>
                <w:u w:color="FF0000"/>
                <w:lang w:val="en-AU" w:eastAsia="zh-TW"/>
              </w:rPr>
              <w:t>Toh</w:t>
            </w:r>
            <w:proofErr w:type="spellEnd"/>
            <w:r w:rsidRPr="004E2207">
              <w:rPr>
                <w:rFonts w:ascii="Times New Roman" w:eastAsia="新細明體" w:hAnsi="Times New Roman" w:cs="Times New Roman"/>
                <w:color w:val="000000" w:themeColor="text1"/>
                <w:sz w:val="18"/>
                <w:szCs w:val="18"/>
                <w:u w:color="FF0000"/>
                <w:lang w:val="en-AU" w:eastAsia="zh-TW"/>
              </w:rPr>
              <w:t>, A. J. W. (2023). Pairs trading via unsupervised learning.</w:t>
            </w:r>
            <w:r w:rsidRPr="004E2207">
              <w:rPr>
                <w:rFonts w:ascii="Times New Roman" w:eastAsia="新細明體" w:hAnsi="Times New Roman" w:cs="Times New Roman" w:hint="eastAsia"/>
                <w:color w:val="000000" w:themeColor="text1"/>
                <w:sz w:val="18"/>
                <w:szCs w:val="18"/>
                <w:u w:color="FF0000"/>
                <w:lang w:val="en-AU" w:eastAsia="zh-TW"/>
              </w:rPr>
              <w:t>－</w:t>
            </w:r>
            <w:r w:rsidRPr="004E2207">
              <w:rPr>
                <w:rFonts w:ascii="Times New Roman" w:eastAsia="新細明體" w:hAnsi="Times New Roman" w:cs="Times New Roman"/>
                <w:color w:val="000000" w:themeColor="text1"/>
                <w:sz w:val="18"/>
                <w:szCs w:val="18"/>
                <w:u w:color="FF0000"/>
                <w:lang w:val="en-AU" w:eastAsia="zh-TW"/>
              </w:rPr>
              <w:t>European Journal of Operational Research (EJOR)</w:t>
            </w:r>
          </w:p>
          <w:p w14:paraId="56AC7BD5" w14:textId="77777777" w:rsidR="001D51BE" w:rsidRPr="004E2207" w:rsidRDefault="001D51BE" w:rsidP="001D51BE">
            <w:pPr>
              <w:pStyle w:val="Body"/>
              <w:numPr>
                <w:ilvl w:val="0"/>
                <w:numId w:val="9"/>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許鈞翔（</w:t>
            </w:r>
            <w:r w:rsidRPr="004E2207">
              <w:rPr>
                <w:rFonts w:ascii="Times New Roman" w:eastAsia="新細明體" w:hAnsi="Times New Roman" w:cs="Times New Roman"/>
                <w:color w:val="000000" w:themeColor="text1"/>
                <w:sz w:val="18"/>
                <w:szCs w:val="18"/>
                <w:u w:color="FF0000"/>
                <w:lang w:val="en-AU" w:eastAsia="zh-TW"/>
              </w:rPr>
              <w:t>2025</w:t>
            </w:r>
            <w:r w:rsidRPr="004E2207">
              <w:rPr>
                <w:rFonts w:ascii="Times New Roman" w:eastAsia="新細明體" w:hAnsi="Times New Roman" w:cs="Times New Roman"/>
                <w:color w:val="000000" w:themeColor="text1"/>
                <w:sz w:val="18"/>
                <w:szCs w:val="18"/>
                <w:u w:color="FF0000"/>
                <w:lang w:val="en-AU" w:eastAsia="zh-TW"/>
              </w:rPr>
              <w:t>）。最小距離法結合動態時間校正之配對交易研究</w:t>
            </w:r>
          </w:p>
          <w:p w14:paraId="32176F59" w14:textId="429AD03E" w:rsidR="001D51BE" w:rsidRPr="004E2207" w:rsidRDefault="001D51BE" w:rsidP="001D51BE">
            <w:pPr>
              <w:pStyle w:val="Body"/>
              <w:jc w:val="both"/>
              <w:rPr>
                <w:rFonts w:ascii="Times New Roman" w:eastAsia="新細明體" w:hAnsi="Times New Roman" w:cs="Times New Roman"/>
                <w:color w:val="000000" w:themeColor="text1"/>
                <w:sz w:val="18"/>
                <w:szCs w:val="18"/>
                <w:u w:color="FF0000"/>
                <w:lang w:val="en-AU" w:eastAsia="zh-TW"/>
              </w:rPr>
            </w:pPr>
            <w:r>
              <w:rPr>
                <w:rFonts w:ascii="Times New Roman" w:eastAsia="新細明體" w:hAnsi="Times New Roman" w:cs="Times New Roman" w:hint="eastAsia"/>
                <w:color w:val="000000" w:themeColor="text1"/>
                <w:sz w:val="18"/>
                <w:szCs w:val="18"/>
                <w:u w:color="FF0000"/>
                <w:lang w:val="en-AU" w:eastAsia="zh-TW"/>
              </w:rPr>
              <w:t>Trading</w:t>
            </w:r>
          </w:p>
          <w:p w14:paraId="4817826C" w14:textId="77777777" w:rsidR="001D51BE" w:rsidRPr="004E2207" w:rsidRDefault="001D51BE" w:rsidP="001D51BE">
            <w:pPr>
              <w:pStyle w:val="Body"/>
              <w:numPr>
                <w:ilvl w:val="0"/>
                <w:numId w:val="10"/>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Kim, T., &amp; Kim, H. Y. (2019). Optimizing the pairs-trading strategy using deep reinforcement learning with trading and stop-loss boundaries.</w:t>
            </w:r>
            <w:r w:rsidRPr="004E2207">
              <w:rPr>
                <w:rFonts w:ascii="Times New Roman" w:eastAsia="新細明體" w:hAnsi="Times New Roman" w:cs="Times New Roman" w:hint="eastAsia"/>
                <w:color w:val="000000" w:themeColor="text1"/>
                <w:sz w:val="18"/>
                <w:szCs w:val="18"/>
                <w:u w:color="FF0000"/>
                <w:lang w:val="en-AU" w:eastAsia="zh-TW"/>
              </w:rPr>
              <w:t>－</w:t>
            </w:r>
            <w:r w:rsidRPr="004E2207">
              <w:rPr>
                <w:rFonts w:ascii="Times New Roman" w:eastAsia="新細明體" w:hAnsi="Times New Roman" w:cs="Times New Roman"/>
                <w:color w:val="000000" w:themeColor="text1"/>
                <w:sz w:val="18"/>
                <w:szCs w:val="18"/>
                <w:u w:color="FF0000"/>
                <w:lang w:val="en-AU" w:eastAsia="zh-TW"/>
              </w:rPr>
              <w:t>Complexity</w:t>
            </w:r>
          </w:p>
          <w:p w14:paraId="1402595E" w14:textId="48F341F3" w:rsidR="001D51BE" w:rsidRPr="007D1E07" w:rsidRDefault="001D51BE" w:rsidP="002A3607">
            <w:pPr>
              <w:pStyle w:val="Body"/>
              <w:numPr>
                <w:ilvl w:val="0"/>
                <w:numId w:val="10"/>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朱羿璁（</w:t>
            </w:r>
            <w:r w:rsidRPr="004E2207">
              <w:rPr>
                <w:rFonts w:ascii="Times New Roman" w:eastAsia="新細明體" w:hAnsi="Times New Roman" w:cs="Times New Roman"/>
                <w:color w:val="000000" w:themeColor="text1"/>
                <w:sz w:val="18"/>
                <w:szCs w:val="18"/>
                <w:u w:color="FF0000"/>
                <w:lang w:val="en-AU" w:eastAsia="zh-TW"/>
              </w:rPr>
              <w:t>2025</w:t>
            </w:r>
            <w:r w:rsidRPr="004E2207">
              <w:rPr>
                <w:rFonts w:ascii="Times New Roman" w:eastAsia="新細明體" w:hAnsi="Times New Roman" w:cs="Times New Roman"/>
                <w:color w:val="000000" w:themeColor="text1"/>
                <w:sz w:val="18"/>
                <w:szCs w:val="18"/>
                <w:u w:color="FF0000"/>
                <w:lang w:val="en-AU" w:eastAsia="zh-TW"/>
              </w:rPr>
              <w:t>）。結合共整避險比率與混合獎勵設計之強化學習配對交易模型</w:t>
            </w:r>
          </w:p>
        </w:tc>
      </w:tr>
      <w:tr w:rsidR="004B232D" w14:paraId="49DAAF53" w14:textId="77777777" w:rsidTr="008D1B53">
        <w:trPr>
          <w:trHeight w:val="6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642B1CC"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(D) Motivation/Puzzle</w:t>
            </w:r>
          </w:p>
          <w:p w14:paraId="07ABB881" w14:textId="77777777" w:rsidR="004B232D" w:rsidRPr="007730CA" w:rsidRDefault="00E93CA1" w:rsidP="008D1B53">
            <w:pPr>
              <w:jc w:val="both"/>
            </w:pPr>
            <w:r w:rsidRPr="00E93CA1">
              <w:rPr>
                <w:rFonts w:ascii="SimSun" w:eastAsia="新細明體" w:hAnsi="SimSun" w:cs="SimSun" w:hint="eastAsia"/>
                <w:b/>
                <w:bCs/>
                <w:sz w:val="18"/>
                <w:szCs w:val="18"/>
                <w:lang w:eastAsia="zh-TW"/>
              </w:rPr>
              <w:t>研究動機</w:t>
            </w:r>
            <w:r w:rsidRPr="007730CA">
              <w:rPr>
                <w:b/>
                <w:bCs/>
                <w:sz w:val="18"/>
                <w:szCs w:val="18"/>
                <w:lang w:eastAsia="zh-TW"/>
              </w:rPr>
              <w:t>/</w:t>
            </w:r>
            <w:r w:rsidRPr="00E93CA1">
              <w:rPr>
                <w:rFonts w:ascii="SimSun" w:eastAsia="新細明體" w:hAnsi="SimSun" w:cs="SimSun" w:hint="eastAsia"/>
                <w:b/>
                <w:bCs/>
                <w:sz w:val="18"/>
                <w:szCs w:val="18"/>
                <w:lang w:eastAsia="zh-TW"/>
              </w:rPr>
              <w:t>解決疑惑</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1D4B9" w14:textId="6CE37A15" w:rsidR="004B232D" w:rsidRPr="007D1E07" w:rsidRDefault="00A26ED6" w:rsidP="008D1B53">
            <w:pPr>
              <w:pStyle w:val="Body"/>
              <w:jc w:val="both"/>
              <w:rPr>
                <w:rFonts w:ascii="Times New Roman" w:hAnsi="Times New Roman" w:cs="Times New Roman"/>
                <w:color w:val="000000" w:themeColor="text1"/>
                <w:lang w:eastAsia="zh-TW"/>
              </w:rPr>
            </w:pPr>
            <w:r w:rsidRPr="00A26ED6">
              <w:rPr>
                <w:rFonts w:ascii="Times New Roman" w:eastAsia="新細明體" w:hAnsi="Times New Roman" w:cs="Times New Roman"/>
                <w:color w:val="000000" w:themeColor="text1"/>
                <w:sz w:val="18"/>
                <w:szCs w:val="18"/>
                <w:u w:color="FF0000"/>
                <w:lang w:eastAsia="zh-TW"/>
              </w:rPr>
              <w:t xml:space="preserve">Traditional pairs trading frameworks (e.g., </w:t>
            </w:r>
            <w:proofErr w:type="spellStart"/>
            <w:r w:rsidRPr="00A26ED6">
              <w:rPr>
                <w:rFonts w:ascii="Times New Roman" w:eastAsia="新細明體" w:hAnsi="Times New Roman" w:cs="Times New Roman"/>
                <w:color w:val="000000" w:themeColor="text1"/>
                <w:sz w:val="18"/>
                <w:szCs w:val="18"/>
                <w:u w:color="FF0000"/>
                <w:lang w:eastAsia="zh-TW"/>
              </w:rPr>
              <w:t>Gatev</w:t>
            </w:r>
            <w:proofErr w:type="spellEnd"/>
            <w:r w:rsidRPr="00A26ED6">
              <w:rPr>
                <w:rFonts w:ascii="Times New Roman" w:eastAsia="新細明體" w:hAnsi="Times New Roman" w:cs="Times New Roman"/>
                <w:color w:val="000000" w:themeColor="text1"/>
                <w:sz w:val="18"/>
                <w:szCs w:val="18"/>
                <w:u w:color="FF0000"/>
                <w:lang w:eastAsia="zh-TW"/>
              </w:rPr>
              <w:t xml:space="preserve"> et al., 2006) heavily rely on predefined, rigid industry classifications (such as GICS). Consequently, when a specific sector faces asymmetric macroeconomic shocks—commonly referred to as "black swan" events—the historical equilibrium between asset pairs often suffers from permanent divergence, triggering catastrophic drawdowns. Furthermore, conventional strategies utilize fixed mean-reversion thresholds (e.g., a constant $\pm2$ standard deviations) determined solely during the formation period. Such static boundaries fail to capture the non-stationarity of financial time series and sudden market regime shifts, frequently leading to unbounded losses when an established pair breaks down </w:t>
            </w:r>
            <w:proofErr w:type="spellStart"/>
            <w:r w:rsidRPr="00A26ED6">
              <w:rPr>
                <w:rFonts w:ascii="Times New Roman" w:eastAsia="新細明體" w:hAnsi="Times New Roman" w:cs="Times New Roman"/>
                <w:color w:val="000000" w:themeColor="text1"/>
                <w:sz w:val="18"/>
                <w:szCs w:val="18"/>
                <w:u w:color="FF0000"/>
                <w:lang w:eastAsia="zh-TW"/>
              </w:rPr>
              <w:t>permanently.Motivated</w:t>
            </w:r>
            <w:proofErr w:type="spellEnd"/>
            <w:r w:rsidRPr="00A26ED6">
              <w:rPr>
                <w:rFonts w:ascii="Times New Roman" w:eastAsia="新細明體" w:hAnsi="Times New Roman" w:cs="Times New Roman"/>
                <w:color w:val="000000" w:themeColor="text1"/>
                <w:sz w:val="18"/>
                <w:szCs w:val="18"/>
                <w:u w:color="FF0000"/>
                <w:lang w:eastAsia="zh-TW"/>
              </w:rPr>
              <w:t xml:space="preserve"> by these critical arbitrage bottlenecks, this study proposes a two-stage adaptive investment system. The first stage leverages unsupervised machine learning (e.g., feature-based clustering or Dynamic Time Warping) to perform cross-industry dynamic clustering, thereby capturing latent, non-linear economic co-movements while mitigating idiosyncratic sector risks. The second stage integrates deep reinforcement learning (DRL), empowering a trading agent to optimize entry, exit, and stop-loss boundaries in real-time under non-stationary environments. This research aims to fundamentally resolve the vulnerability of conventional statistical arbitrage to structural pair divergence within highly efficient markets.</w:t>
            </w:r>
          </w:p>
        </w:tc>
      </w:tr>
      <w:tr w:rsidR="004B232D" w14:paraId="48ED1088" w14:textId="77777777" w:rsidTr="008D1B53">
        <w:trPr>
          <w:trHeight w:val="2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584CF21"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 xml:space="preserve">THREE </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330B05DF"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Three</w:t>
            </w:r>
            <w:r w:rsidRPr="00E93CA1">
              <w:rPr>
                <w:rFonts w:ascii="Times New Roman" w:eastAsia="新細明體" w:hAnsi="Times New Roman" w:cs="Times New Roman"/>
                <w:sz w:val="18"/>
                <w:szCs w:val="18"/>
                <w:u w:color="000000"/>
                <w:lang w:eastAsia="zh-TW"/>
              </w:rPr>
              <w:t xml:space="preserve"> core aspects of any empirical research project i.e. the “</w:t>
            </w:r>
            <w:proofErr w:type="spellStart"/>
            <w:r w:rsidRPr="00E93CA1">
              <w:rPr>
                <w:rFonts w:ascii="Times New Roman" w:eastAsia="新細明體" w:hAnsi="Times New Roman" w:cs="Times New Roman"/>
                <w:b/>
                <w:bCs/>
                <w:sz w:val="18"/>
                <w:szCs w:val="18"/>
                <w:u w:color="000000"/>
                <w:lang w:eastAsia="zh-TW"/>
              </w:rPr>
              <w:t>ID</w:t>
            </w:r>
            <w:r w:rsidRPr="00E93CA1">
              <w:rPr>
                <w:rFonts w:ascii="Times New Roman" w:eastAsia="新細明體" w:hAnsi="Times New Roman" w:cs="Times New Roman"/>
                <w:sz w:val="18"/>
                <w:szCs w:val="18"/>
                <w:u w:color="000000"/>
                <w:lang w:eastAsia="zh-TW"/>
              </w:rPr>
              <w:t>io</w:t>
            </w:r>
            <w:r w:rsidRPr="00E93CA1">
              <w:rPr>
                <w:rFonts w:ascii="Times New Roman" w:eastAsia="新細明體" w:hAnsi="Times New Roman" w:cs="Times New Roman"/>
                <w:b/>
                <w:bCs/>
                <w:sz w:val="18"/>
                <w:szCs w:val="18"/>
                <w:u w:color="000000"/>
                <w:lang w:eastAsia="zh-TW"/>
              </w:rPr>
              <w:t>T</w:t>
            </w:r>
            <w:r w:rsidRPr="00E93CA1">
              <w:rPr>
                <w:rFonts w:ascii="Times New Roman" w:eastAsia="新細明體" w:hAnsi="Times New Roman" w:cs="Times New Roman"/>
                <w:sz w:val="18"/>
                <w:szCs w:val="18"/>
                <w:u w:color="000000"/>
                <w:lang w:eastAsia="zh-TW"/>
              </w:rPr>
              <w:t>s</w:t>
            </w:r>
            <w:proofErr w:type="spellEnd"/>
            <w:r w:rsidRPr="00E93CA1">
              <w:rPr>
                <w:rFonts w:ascii="Times New Roman" w:eastAsia="新細明體" w:hAnsi="Times New Roman" w:cs="Times New Roman"/>
                <w:sz w:val="18"/>
                <w:szCs w:val="18"/>
                <w:u w:color="000000"/>
                <w:lang w:eastAsia="zh-TW"/>
              </w:rPr>
              <w:t xml:space="preserve">” guide </w:t>
            </w:r>
            <w:r w:rsidRPr="00E93CA1">
              <w:rPr>
                <w:rFonts w:ascii="SimSun" w:eastAsia="新細明體" w:hAnsi="SimSun" w:cs="SimSun" w:hint="eastAsia"/>
                <w:sz w:val="18"/>
                <w:szCs w:val="18"/>
                <w:u w:color="000000"/>
                <w:lang w:eastAsia="zh-TW"/>
              </w:rPr>
              <w:t>研究課題的三個重要方面</w:t>
            </w:r>
          </w:p>
        </w:tc>
      </w:tr>
      <w:tr w:rsidR="004B232D" w14:paraId="49412B71" w14:textId="77777777" w:rsidTr="008D1B53">
        <w:trPr>
          <w:trHeight w:val="1187"/>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A0070D"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lastRenderedPageBreak/>
              <w:t>(E) Idea?</w:t>
            </w:r>
          </w:p>
          <w:p w14:paraId="1B3B48CE"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思路？</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CF2BD8"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I. Research Hypotheses</w:t>
            </w:r>
          </w:p>
          <w:p w14:paraId="10D1E7B8" w14:textId="414CC33B" w:rsidR="001313D5" w:rsidRPr="001313D5" w:rsidRDefault="001313D5" w:rsidP="001313D5">
            <w:pPr>
              <w:pStyle w:val="Body"/>
              <w:numPr>
                <w:ilvl w:val="0"/>
                <w:numId w:val="11"/>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 xml:space="preserve">Hypothesis </w:t>
            </w: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H</m:t>
                  </m:r>
                </m:e>
                <m:sub>
                  <m:r>
                    <m:rPr>
                      <m:sty m:val="bi"/>
                    </m:rPr>
                    <w:rPr>
                      <w:rFonts w:ascii="Cambria Math" w:eastAsia="新細明體" w:hAnsi="Cambria Math" w:cs="Times New Roman"/>
                      <w:color w:val="000000" w:themeColor="text1"/>
                      <w:sz w:val="18"/>
                      <w:szCs w:val="18"/>
                      <w:u w:color="FF0000"/>
                      <w:lang w:eastAsia="zh-TW"/>
                    </w:rPr>
                    <m:t>1</m:t>
                  </m:r>
                </m:sub>
              </m:sSub>
            </m:oMath>
            <w:r w:rsidRPr="001313D5">
              <w:rPr>
                <w:rFonts w:ascii="Times New Roman" w:eastAsia="新細明體" w:hAnsi="Times New Roman" w:cs="Times New Roman"/>
                <w:b/>
                <w:bCs/>
                <w:color w:val="000000" w:themeColor="text1"/>
                <w:sz w:val="18"/>
                <w:szCs w:val="18"/>
                <w:u w:color="FF0000"/>
                <w:lang w:eastAsia="zh-TW"/>
              </w:rPr>
              <w:t xml:space="preserve"> (Abnormal Return Performance)</w:t>
            </w:r>
            <w:r w:rsidRPr="001313D5">
              <w:rPr>
                <w:rFonts w:ascii="Times New Roman" w:eastAsia="新細明體" w:hAnsi="Times New Roman" w:cs="Times New Roman"/>
                <w:color w:val="000000" w:themeColor="text1"/>
                <w:sz w:val="18"/>
                <w:szCs w:val="18"/>
                <w:u w:color="FF0000"/>
                <w:lang w:eastAsia="zh-TW"/>
              </w:rPr>
              <w:t xml:space="preserve">: </w:t>
            </w:r>
            <w:r w:rsidRPr="001313D5">
              <w:rPr>
                <w:rFonts w:ascii="Times New Roman" w:eastAsia="新細明體" w:hAnsi="Times New Roman" w:cs="Times New Roman"/>
                <w:i/>
                <w:iCs/>
                <w:color w:val="000000" w:themeColor="text1"/>
                <w:sz w:val="18"/>
                <w:szCs w:val="18"/>
                <w:u w:color="FF0000"/>
                <w:lang w:eastAsia="zh-TW"/>
              </w:rPr>
              <w:t>In the S&amp;P 500 market, an adaptive pairs trading system that integrates unsupervised dynamic clustering with deep reinforcement learning (DRL) generates significantly higher cumulative returns and superior risk-adjusted returns (e.g., Sharpe ratio) compared to conventional statistical arbitrage strategies based on fixed GICS industry classifications and static entry/exit thresholds.</w:t>
            </w:r>
          </w:p>
          <w:p w14:paraId="5FB34732" w14:textId="0961273A" w:rsidR="001313D5" w:rsidRPr="001313D5" w:rsidRDefault="001313D5" w:rsidP="001313D5">
            <w:pPr>
              <w:pStyle w:val="Body"/>
              <w:numPr>
                <w:ilvl w:val="0"/>
                <w:numId w:val="11"/>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 xml:space="preserve">Hypothesis </w:t>
            </w: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H</m:t>
                  </m:r>
                </m:e>
                <m:sub>
                  <m:r>
                    <m:rPr>
                      <m:sty m:val="bi"/>
                    </m:rPr>
                    <w:rPr>
                      <w:rFonts w:ascii="Cambria Math" w:eastAsia="新細明體" w:hAnsi="Cambria Math" w:cs="Times New Roman"/>
                      <w:color w:val="000000" w:themeColor="text1"/>
                      <w:sz w:val="18"/>
                      <w:szCs w:val="18"/>
                      <w:u w:color="FF0000"/>
                      <w:lang w:eastAsia="zh-TW"/>
                    </w:rPr>
                    <m:t>2</m:t>
                  </m:r>
                </m:sub>
              </m:sSub>
            </m:oMath>
            <w:r w:rsidRPr="001313D5">
              <w:rPr>
                <w:rFonts w:ascii="Times New Roman" w:eastAsia="新細明體" w:hAnsi="Times New Roman" w:cs="Times New Roman"/>
                <w:b/>
                <w:bCs/>
                <w:color w:val="000000" w:themeColor="text1"/>
                <w:sz w:val="18"/>
                <w:szCs w:val="18"/>
                <w:u w:color="FF0000"/>
                <w:lang w:eastAsia="zh-TW"/>
              </w:rPr>
              <w:t xml:space="preserve"> (Risk Mitigation Capability)</w:t>
            </w:r>
            <w:r w:rsidRPr="001313D5">
              <w:rPr>
                <w:rFonts w:ascii="Times New Roman" w:eastAsia="新細明體" w:hAnsi="Times New Roman" w:cs="Times New Roman"/>
                <w:color w:val="000000" w:themeColor="text1"/>
                <w:sz w:val="18"/>
                <w:szCs w:val="18"/>
                <w:u w:color="FF0000"/>
                <w:lang w:eastAsia="zh-TW"/>
              </w:rPr>
              <w:t xml:space="preserve">: </w:t>
            </w:r>
            <w:r w:rsidRPr="001313D5">
              <w:rPr>
                <w:rFonts w:ascii="Times New Roman" w:eastAsia="新細明體" w:hAnsi="Times New Roman" w:cs="Times New Roman"/>
                <w:i/>
                <w:iCs/>
                <w:color w:val="000000" w:themeColor="text1"/>
                <w:sz w:val="18"/>
                <w:szCs w:val="18"/>
                <w:u w:color="FF0000"/>
                <w:lang w:eastAsia="zh-TW"/>
              </w:rPr>
              <w:t>The risk diversification mechanism facilitated by cross-industry dynamic clustering, synthesized with the DRL agent's real-time optimization of trading thresholds and stop-loss boundaries, effectively insulates the portfolio from downside risks caused by spread divergence (pair breakdown), thereby yielding a significantly lower maximum drawdown (MDD) than conventional static strategies.</w:t>
            </w:r>
          </w:p>
          <w:p w14:paraId="1CC168B0"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II. Dependent Variables</w:t>
            </w:r>
          </w:p>
          <w:p w14:paraId="42D9DEC9" w14:textId="77777777" w:rsidR="001313D5" w:rsidRPr="001313D5" w:rsidRDefault="001313D5" w:rsidP="000F6BC4">
            <w:pPr>
              <w:pStyle w:val="Body"/>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color w:val="000000" w:themeColor="text1"/>
                <w:sz w:val="18"/>
                <w:szCs w:val="18"/>
                <w:u w:color="FF0000"/>
                <w:lang w:eastAsia="zh-TW"/>
              </w:rPr>
              <w:t>The dependent variables in this study are formulated to systematically evaluate the empirical performance and risk-adjusted resilience of the algorithmic trading system:</w:t>
            </w:r>
          </w:p>
          <w:p w14:paraId="3B449D5C" w14:textId="2A631914" w:rsidR="001313D5" w:rsidRPr="001313D5" w:rsidRDefault="001313D5" w:rsidP="001313D5">
            <w:pPr>
              <w:pStyle w:val="Body"/>
              <w:numPr>
                <w:ilvl w:val="0"/>
                <w:numId w:val="12"/>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Cumulative Return (</w:t>
            </w:r>
            <m:oMath>
              <m:r>
                <m:rPr>
                  <m:sty m:val="bi"/>
                </m:rPr>
                <w:rPr>
                  <w:rFonts w:ascii="Cambria Math" w:eastAsia="新細明體" w:hAnsi="Cambria Math" w:cs="Times New Roman"/>
                  <w:color w:val="000000" w:themeColor="text1"/>
                  <w:sz w:val="18"/>
                  <w:szCs w:val="18"/>
                  <w:u w:color="FF0000"/>
                  <w:lang w:eastAsia="zh-TW"/>
                </w:rPr>
                <m:t>CR</m:t>
              </m:r>
            </m:oMath>
            <w:r w:rsidRPr="001313D5">
              <w:rPr>
                <w:rFonts w:ascii="Times New Roman" w:eastAsia="新細明體" w:hAnsi="Times New Roman" w:cs="Times New Roman"/>
                <w:b/>
                <w:bCs/>
                <w:color w:val="000000" w:themeColor="text1"/>
                <w:sz w:val="18"/>
                <w:szCs w:val="18"/>
                <w:u w:color="FF0000"/>
                <w:lang w:eastAsia="zh-TW"/>
              </w:rPr>
              <w:t>)</w:t>
            </w:r>
            <w:r w:rsidRPr="001313D5">
              <w:rPr>
                <w:rFonts w:ascii="Times New Roman" w:eastAsia="新細明體" w:hAnsi="Times New Roman" w:cs="Times New Roman"/>
                <w:color w:val="000000" w:themeColor="text1"/>
                <w:sz w:val="18"/>
                <w:szCs w:val="18"/>
                <w:u w:color="FF0000"/>
                <w:lang w:eastAsia="zh-TW"/>
              </w:rPr>
              <w:t xml:space="preserve">: Measures the absolute profitability and wealth-generation capacity of the trading system over the entire out-of-sample </w:t>
            </w:r>
            <w:proofErr w:type="spellStart"/>
            <w:r w:rsidRPr="001313D5">
              <w:rPr>
                <w:rFonts w:ascii="Times New Roman" w:eastAsia="新細明體" w:hAnsi="Times New Roman" w:cs="Times New Roman"/>
                <w:color w:val="000000" w:themeColor="text1"/>
                <w:sz w:val="18"/>
                <w:szCs w:val="18"/>
                <w:u w:color="FF0000"/>
                <w:lang w:eastAsia="zh-TW"/>
              </w:rPr>
              <w:t>backtesting</w:t>
            </w:r>
            <w:proofErr w:type="spellEnd"/>
            <w:r w:rsidRPr="001313D5">
              <w:rPr>
                <w:rFonts w:ascii="Times New Roman" w:eastAsia="新細明體" w:hAnsi="Times New Roman" w:cs="Times New Roman"/>
                <w:color w:val="000000" w:themeColor="text1"/>
                <w:sz w:val="18"/>
                <w:szCs w:val="18"/>
                <w:u w:color="FF0000"/>
                <w:lang w:eastAsia="zh-TW"/>
              </w:rPr>
              <w:t xml:space="preserve"> horizon.</w:t>
            </w:r>
          </w:p>
          <w:p w14:paraId="5255B22E" w14:textId="5E66E05B" w:rsidR="001313D5" w:rsidRPr="001313D5" w:rsidRDefault="001313D5" w:rsidP="001313D5">
            <w:pPr>
              <w:pStyle w:val="Body"/>
              <w:numPr>
                <w:ilvl w:val="0"/>
                <w:numId w:val="12"/>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Sharpe Ratio (SR)</w:t>
            </w:r>
            <w:r w:rsidRPr="001313D5">
              <w:rPr>
                <w:rFonts w:ascii="Times New Roman" w:eastAsia="新細明體" w:hAnsi="Times New Roman" w:cs="Times New Roman"/>
                <w:color w:val="000000" w:themeColor="text1"/>
                <w:sz w:val="18"/>
                <w:szCs w:val="18"/>
                <w:u w:color="FF0000"/>
                <w:lang w:eastAsia="zh-TW"/>
              </w:rPr>
              <w:t>: Evaluates the portfolio's abnormal return per unit of total annualized volatility.</w:t>
            </w:r>
          </w:p>
          <w:p w14:paraId="3CA16DCC" w14:textId="15E043C5" w:rsidR="001313D5" w:rsidRPr="001313D5" w:rsidRDefault="001313D5" w:rsidP="001313D5">
            <w:pPr>
              <w:pStyle w:val="Body"/>
              <w:numPr>
                <w:ilvl w:val="0"/>
                <w:numId w:val="12"/>
              </w:numPr>
              <w:jc w:val="both"/>
              <w:rPr>
                <w:rFonts w:ascii="Times New Roman" w:eastAsia="新細明體" w:hAnsi="Times New Roman" w:cs="Times New Roman"/>
                <w:color w:val="000000" w:themeColor="text1"/>
                <w:sz w:val="18"/>
                <w:szCs w:val="18"/>
                <w:u w:color="FF0000"/>
                <w:lang w:eastAsia="zh-TW"/>
              </w:rPr>
            </w:pPr>
            <w:proofErr w:type="spellStart"/>
            <w:r w:rsidRPr="001313D5">
              <w:rPr>
                <w:rFonts w:ascii="Times New Roman" w:eastAsia="新細明體" w:hAnsi="Times New Roman" w:cs="Times New Roman"/>
                <w:b/>
                <w:bCs/>
                <w:color w:val="000000" w:themeColor="text1"/>
                <w:sz w:val="18"/>
                <w:szCs w:val="18"/>
                <w:u w:color="FF0000"/>
                <w:lang w:eastAsia="zh-TW"/>
              </w:rPr>
              <w:t>Sortino</w:t>
            </w:r>
            <w:proofErr w:type="spellEnd"/>
            <w:r w:rsidRPr="001313D5">
              <w:rPr>
                <w:rFonts w:ascii="Times New Roman" w:eastAsia="新細明體" w:hAnsi="Times New Roman" w:cs="Times New Roman"/>
                <w:b/>
                <w:bCs/>
                <w:color w:val="000000" w:themeColor="text1"/>
                <w:sz w:val="18"/>
                <w:szCs w:val="18"/>
                <w:u w:color="FF0000"/>
                <w:lang w:eastAsia="zh-TW"/>
              </w:rPr>
              <w:t xml:space="preserve"> Ratio (SOR)</w:t>
            </w:r>
            <w:r w:rsidRPr="001313D5">
              <w:rPr>
                <w:rFonts w:ascii="Times New Roman" w:eastAsia="新細明體" w:hAnsi="Times New Roman" w:cs="Times New Roman"/>
                <w:color w:val="000000" w:themeColor="text1"/>
                <w:sz w:val="18"/>
                <w:szCs w:val="18"/>
                <w:u w:color="FF0000"/>
                <w:lang w:eastAsia="zh-TW"/>
              </w:rPr>
              <w:t xml:space="preserve">: Specifically measures the excess return per unit of </w:t>
            </w:r>
            <w:r w:rsidRPr="001313D5">
              <w:rPr>
                <w:rFonts w:ascii="Times New Roman" w:eastAsia="新細明體" w:hAnsi="Times New Roman" w:cs="Times New Roman"/>
                <w:b/>
                <w:bCs/>
                <w:color w:val="000000" w:themeColor="text1"/>
                <w:sz w:val="18"/>
                <w:szCs w:val="18"/>
                <w:u w:color="FF0000"/>
                <w:lang w:eastAsia="zh-TW"/>
              </w:rPr>
              <w:t>downside risk (downside deviation)</w:t>
            </w:r>
            <w:r w:rsidRPr="001313D5">
              <w:rPr>
                <w:rFonts w:ascii="Times New Roman" w:eastAsia="新細明體" w:hAnsi="Times New Roman" w:cs="Times New Roman"/>
                <w:color w:val="000000" w:themeColor="text1"/>
                <w:sz w:val="18"/>
                <w:szCs w:val="18"/>
                <w:u w:color="FF0000"/>
                <w:lang w:eastAsia="zh-TW"/>
              </w:rPr>
              <w:t>. Given that empirical pairs trading is inherently vulnerable to tail-risk losses during permanent spread divergence, this metric provides high sensitivity and critical academic validity in assessing the efficacy of the proposed dynamic risk-control mechanism.</w:t>
            </w:r>
          </w:p>
          <w:p w14:paraId="17FDF1D8" w14:textId="7C328776" w:rsidR="001313D5" w:rsidRPr="001313D5" w:rsidRDefault="001313D5" w:rsidP="001313D5">
            <w:pPr>
              <w:pStyle w:val="Body"/>
              <w:numPr>
                <w:ilvl w:val="0"/>
                <w:numId w:val="12"/>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Maximum Drawdown (MDD)</w:t>
            </w:r>
            <w:r w:rsidRPr="001313D5">
              <w:rPr>
                <w:rFonts w:ascii="Times New Roman" w:eastAsia="新細明體" w:hAnsi="Times New Roman" w:cs="Times New Roman"/>
                <w:color w:val="000000" w:themeColor="text1"/>
                <w:sz w:val="18"/>
                <w:szCs w:val="18"/>
                <w:u w:color="FF0000"/>
                <w:lang w:eastAsia="zh-TW"/>
              </w:rPr>
              <w:t>: Quantifies the maximum peak-to-trough percentage decline in the portfolio's net asset value (NAV), serving as a stress-test metric for evaluating the system's capacity to contain catastrophic losses arising from structural breaks or pair breakups.</w:t>
            </w:r>
          </w:p>
          <w:p w14:paraId="0433B0EE"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III. Independent Variables and Feature Space</w:t>
            </w:r>
          </w:p>
          <w:p w14:paraId="4E175C8C"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1. Stage 1: Unsupervised Dynamic Clustering Features</w:t>
            </w:r>
          </w:p>
          <w:p w14:paraId="714648A3" w14:textId="77777777" w:rsidR="001313D5" w:rsidRPr="001313D5" w:rsidRDefault="001313D5" w:rsidP="000F6BC4">
            <w:pPr>
              <w:pStyle w:val="Body"/>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color w:val="000000" w:themeColor="text1"/>
                <w:sz w:val="18"/>
                <w:szCs w:val="18"/>
                <w:u w:color="FF0000"/>
                <w:lang w:eastAsia="zh-TW"/>
              </w:rPr>
              <w:t>A rolling, multidimensional time-series feature vector captured during the pair formation period to represent the statistical profile of S&amp;P 500 equities:</w:t>
            </w:r>
          </w:p>
          <w:p w14:paraId="305D96FE" w14:textId="77777777" w:rsidR="001313D5" w:rsidRPr="001313D5" w:rsidRDefault="001313D5" w:rsidP="001313D5">
            <w:pPr>
              <w:pStyle w:val="Body"/>
              <w:numPr>
                <w:ilvl w:val="0"/>
                <w:numId w:val="13"/>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Return and Volatility Dimensions</w:t>
            </w:r>
            <w:r w:rsidRPr="001313D5">
              <w:rPr>
                <w:rFonts w:ascii="Times New Roman" w:eastAsia="新細明體" w:hAnsi="Times New Roman" w:cs="Times New Roman"/>
                <w:color w:val="000000" w:themeColor="text1"/>
                <w:sz w:val="18"/>
                <w:szCs w:val="18"/>
                <w:u w:color="FF0000"/>
                <w:lang w:eastAsia="zh-TW"/>
              </w:rPr>
              <w:t>: Rolling mean return and rolling daily return volatility.</w:t>
            </w:r>
          </w:p>
          <w:p w14:paraId="117658D5" w14:textId="77777777" w:rsidR="001313D5" w:rsidRPr="001313D5" w:rsidRDefault="001313D5" w:rsidP="001313D5">
            <w:pPr>
              <w:pStyle w:val="Body"/>
              <w:numPr>
                <w:ilvl w:val="0"/>
                <w:numId w:val="13"/>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Time-Series Structural Dimensions</w:t>
            </w:r>
            <w:r w:rsidRPr="001313D5">
              <w:rPr>
                <w:rFonts w:ascii="Times New Roman" w:eastAsia="新細明體" w:hAnsi="Times New Roman" w:cs="Times New Roman"/>
                <w:color w:val="000000" w:themeColor="text1"/>
                <w:sz w:val="18"/>
                <w:szCs w:val="18"/>
                <w:u w:color="FF0000"/>
                <w:lang w:eastAsia="zh-TW"/>
              </w:rPr>
              <w:t>: Dynamic residual variance and the speed of mean reversion (quantified via the half-life of mean reversion, estimated through an Ornstein-</w:t>
            </w:r>
            <w:proofErr w:type="spellStart"/>
            <w:r w:rsidRPr="001313D5">
              <w:rPr>
                <w:rFonts w:ascii="Times New Roman" w:eastAsia="新細明體" w:hAnsi="Times New Roman" w:cs="Times New Roman"/>
                <w:color w:val="000000" w:themeColor="text1"/>
                <w:sz w:val="18"/>
                <w:szCs w:val="18"/>
                <w:u w:color="FF0000"/>
                <w:lang w:eastAsia="zh-TW"/>
              </w:rPr>
              <w:t>Uhlenbeck</w:t>
            </w:r>
            <w:proofErr w:type="spellEnd"/>
            <w:r w:rsidRPr="001313D5">
              <w:rPr>
                <w:rFonts w:ascii="Times New Roman" w:eastAsia="新細明體" w:hAnsi="Times New Roman" w:cs="Times New Roman"/>
                <w:color w:val="000000" w:themeColor="text1"/>
                <w:sz w:val="18"/>
                <w:szCs w:val="18"/>
                <w:u w:color="FF0000"/>
                <w:lang w:eastAsia="zh-TW"/>
              </w:rPr>
              <w:t xml:space="preserve"> process or a rolling autoregressive OLS framework).</w:t>
            </w:r>
          </w:p>
          <w:p w14:paraId="043A8C98"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2. Stage 2: Deep Reinforcement Learning State Space</w:t>
            </w:r>
          </w:p>
          <w:p w14:paraId="553052F2" w14:textId="1FE58ECE" w:rsidR="001313D5" w:rsidRPr="001313D5" w:rsidRDefault="001313D5" w:rsidP="000F6BC4">
            <w:pPr>
              <w:pStyle w:val="Body"/>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color w:val="000000" w:themeColor="text1"/>
                <w:sz w:val="18"/>
                <w:szCs w:val="18"/>
                <w:u w:color="FF0000"/>
                <w:lang w:eastAsia="zh-TW"/>
              </w:rPr>
              <w:t>The environmental state vector perceived by the trading agent at time</w:t>
            </w:r>
            <m:oMath>
              <m:r>
                <w:rPr>
                  <w:rFonts w:ascii="Cambria Math" w:eastAsia="新細明體" w:hAnsi="Cambria Math" w:cs="Times New Roman"/>
                  <w:color w:val="000000" w:themeColor="text1"/>
                  <w:sz w:val="18"/>
                  <w:szCs w:val="18"/>
                  <w:u w:color="FF0000"/>
                  <w:lang w:eastAsia="zh-TW"/>
                </w:rPr>
                <m:t xml:space="preserve"> </m:t>
              </m:r>
              <m:r>
                <m:rPr>
                  <m:sty m:val="bi"/>
                </m:rPr>
                <w:rPr>
                  <w:rFonts w:ascii="Cambria Math" w:eastAsia="新細明體" w:hAnsi="Cambria Math" w:cs="Times New Roman"/>
                  <w:color w:val="000000" w:themeColor="text1"/>
                  <w:sz w:val="18"/>
                  <w:szCs w:val="18"/>
                  <w:u w:color="FF0000"/>
                  <w:lang w:eastAsia="zh-TW"/>
                </w:rPr>
                <m:t>t</m:t>
              </m:r>
            </m:oMath>
            <w:r w:rsidRPr="001313D5">
              <w:rPr>
                <w:rFonts w:ascii="Times New Roman" w:eastAsia="新細明體" w:hAnsi="Times New Roman" w:cs="Times New Roman"/>
                <w:color w:val="000000" w:themeColor="text1"/>
                <w:sz w:val="18"/>
                <w:szCs w:val="18"/>
                <w:u w:color="FF0000"/>
                <w:lang w:eastAsia="zh-TW"/>
              </w:rPr>
              <w:t xml:space="preserve"> is formalized as </w:t>
            </w: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S</m:t>
                  </m:r>
                </m:e>
                <m:sub>
                  <m:r>
                    <m:rPr>
                      <m:sty m:val="bi"/>
                    </m:rPr>
                    <w:rPr>
                      <w:rFonts w:ascii="Cambria Math" w:eastAsia="新細明體" w:hAnsi="Cambria Math" w:cs="Times New Roman"/>
                      <w:color w:val="000000" w:themeColor="text1"/>
                      <w:sz w:val="18"/>
                      <w:szCs w:val="18"/>
                      <w:u w:color="FF0000"/>
                      <w:lang w:eastAsia="zh-TW"/>
                    </w:rPr>
                    <m:t>t</m:t>
                  </m:r>
                </m:sub>
              </m:sSub>
              <m:r>
                <m:rPr>
                  <m:sty m:val="bi"/>
                </m:rPr>
                <w:rPr>
                  <w:rFonts w:ascii="Cambria Math" w:eastAsia="新細明體" w:hAnsi="Cambria Math" w:cs="Times New Roman"/>
                  <w:color w:val="000000" w:themeColor="text1"/>
                  <w:sz w:val="18"/>
                  <w:szCs w:val="18"/>
                  <w:u w:color="FF0000"/>
                  <w:lang w:eastAsia="zh-TW"/>
                </w:rPr>
                <m:t xml:space="preserve"> = [</m:t>
              </m:r>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z</m:t>
                  </m:r>
                </m:e>
                <m:sub>
                  <m:r>
                    <m:rPr>
                      <m:sty m:val="bi"/>
                    </m:rPr>
                    <w:rPr>
                      <w:rFonts w:ascii="Cambria Math" w:eastAsia="新細明體" w:hAnsi="Cambria Math" w:cs="Times New Roman"/>
                      <w:color w:val="000000" w:themeColor="text1"/>
                      <w:sz w:val="18"/>
                      <w:szCs w:val="18"/>
                      <w:u w:color="FF0000"/>
                      <w:lang w:eastAsia="zh-TW"/>
                    </w:rPr>
                    <m:t>t</m:t>
                  </m:r>
                </m:sub>
              </m:sSub>
              <m:r>
                <m:rPr>
                  <m:sty m:val="bi"/>
                </m:rPr>
                <w:rPr>
                  <w:rFonts w:ascii="Cambria Math" w:eastAsia="新細明體" w:hAnsi="Cambria Math" w:cs="Times New Roman"/>
                  <w:color w:val="000000" w:themeColor="text1"/>
                  <w:sz w:val="18"/>
                  <w:szCs w:val="18"/>
                  <w:u w:color="FF0000"/>
                  <w:lang w:eastAsia="zh-TW"/>
                </w:rPr>
                <m:t xml:space="preserve">, </m:t>
              </m:r>
              <m:r>
                <m:rPr>
                  <m:sty m:val="b"/>
                </m:rPr>
                <w:rPr>
                  <w:rFonts w:ascii="Cambria Math" w:eastAsia="新細明體" w:hAnsi="Cambria Math" w:cs="Times New Roman"/>
                  <w:color w:val="000000" w:themeColor="text1"/>
                  <w:sz w:val="18"/>
                  <w:szCs w:val="18"/>
                  <w:u w:color="FF0000"/>
                  <w:lang w:eastAsia="zh-TW"/>
                </w:rPr>
                <m:t>Δ</m:t>
              </m:r>
              <m:r>
                <m:rPr>
                  <m:sty m:val="bi"/>
                </m:rPr>
                <w:rPr>
                  <w:rFonts w:ascii="Cambria Math" w:eastAsia="新細明體" w:hAnsi="Cambria Math" w:cs="Times New Roman"/>
                  <w:color w:val="000000" w:themeColor="text1"/>
                  <w:sz w:val="18"/>
                  <w:szCs w:val="18"/>
                  <w:u w:color="FF0000"/>
                  <w:lang w:eastAsia="zh-TW"/>
                </w:rPr>
                <m:t xml:space="preserve"> </m:t>
              </m:r>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z</m:t>
                  </m:r>
                </m:e>
                <m:sub>
                  <m:r>
                    <m:rPr>
                      <m:sty m:val="bi"/>
                    </m:rPr>
                    <w:rPr>
                      <w:rFonts w:ascii="Cambria Math" w:eastAsia="新細明體" w:hAnsi="Cambria Math" w:cs="Times New Roman"/>
                      <w:color w:val="000000" w:themeColor="text1"/>
                      <w:sz w:val="18"/>
                      <w:szCs w:val="18"/>
                      <w:u w:color="FF0000"/>
                      <w:lang w:eastAsia="zh-TW"/>
                    </w:rPr>
                    <m:t>t</m:t>
                  </m:r>
                </m:sub>
              </m:sSub>
              <m:r>
                <m:rPr>
                  <m:sty m:val="bi"/>
                </m:rPr>
                <w:rPr>
                  <w:rFonts w:ascii="Cambria Math" w:eastAsia="新細明體" w:hAnsi="Cambria Math" w:cs="Times New Roman"/>
                  <w:color w:val="000000" w:themeColor="text1"/>
                  <w:sz w:val="18"/>
                  <w:szCs w:val="18"/>
                  <w:u w:color="FF0000"/>
                  <w:lang w:eastAsia="zh-TW"/>
                </w:rPr>
                <m:t xml:space="preserve">, </m:t>
              </m:r>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σ</m:t>
                  </m:r>
                </m:e>
                <m:sub>
                  <m:r>
                    <m:rPr>
                      <m:sty m:val="bi"/>
                    </m:rPr>
                    <w:rPr>
                      <w:rFonts w:ascii="Cambria Math" w:eastAsia="新細明體" w:hAnsi="Cambria Math" w:cs="Times New Roman"/>
                      <w:color w:val="000000" w:themeColor="text1"/>
                      <w:sz w:val="18"/>
                      <w:szCs w:val="18"/>
                      <w:u w:color="FF0000"/>
                      <w:lang w:eastAsia="zh-TW"/>
                    </w:rPr>
                    <m:t>t</m:t>
                  </m:r>
                </m:sub>
              </m:sSub>
              <m:r>
                <m:rPr>
                  <m:sty m:val="bi"/>
                </m:rPr>
                <w:rPr>
                  <w:rFonts w:ascii="Cambria Math" w:eastAsia="新細明體" w:hAnsi="Cambria Math" w:cs="Times New Roman"/>
                  <w:color w:val="000000" w:themeColor="text1"/>
                  <w:sz w:val="18"/>
                  <w:szCs w:val="18"/>
                  <w:u w:color="FF0000"/>
                  <w:lang w:eastAsia="zh-TW"/>
                </w:rPr>
                <m:t xml:space="preserve">, </m:t>
              </m:r>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β</m:t>
                  </m:r>
                </m:e>
                <m:sub>
                  <m:r>
                    <m:rPr>
                      <m:sty m:val="bi"/>
                    </m:rPr>
                    <w:rPr>
                      <w:rFonts w:ascii="Cambria Math" w:eastAsia="新細明體" w:hAnsi="Cambria Math" w:cs="Times New Roman"/>
                      <w:color w:val="000000" w:themeColor="text1"/>
                      <w:sz w:val="18"/>
                      <w:szCs w:val="18"/>
                      <w:u w:color="FF0000"/>
                      <w:lang w:eastAsia="zh-TW"/>
                    </w:rPr>
                    <m:t>t</m:t>
                  </m:r>
                </m:sub>
              </m:sSub>
              <m:r>
                <m:rPr>
                  <m:sty m:val="bi"/>
                </m:rPr>
                <w:rPr>
                  <w:rFonts w:ascii="Cambria Math" w:eastAsia="新細明體" w:hAnsi="Cambria Math" w:cs="Times New Roman"/>
                  <w:color w:val="000000" w:themeColor="text1"/>
                  <w:sz w:val="18"/>
                  <w:szCs w:val="18"/>
                  <w:u w:color="FF0000"/>
                  <w:lang w:eastAsia="zh-TW"/>
                </w:rPr>
                <m:t xml:space="preserve">, </m:t>
              </m:r>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P</m:t>
                  </m:r>
                </m:e>
                <m:sub>
                  <m:r>
                    <m:rPr>
                      <m:sty m:val="bi"/>
                    </m:rPr>
                    <w:rPr>
                      <w:rFonts w:ascii="Cambria Math" w:eastAsia="新細明體" w:hAnsi="Cambria Math" w:cs="Times New Roman"/>
                      <w:color w:val="000000" w:themeColor="text1"/>
                      <w:sz w:val="18"/>
                      <w:szCs w:val="18"/>
                      <w:u w:color="FF0000"/>
                      <w:lang w:eastAsia="zh-TW"/>
                    </w:rPr>
                    <m:t>t</m:t>
                  </m:r>
                </m:sub>
              </m:sSub>
              <m:r>
                <m:rPr>
                  <m:sty m:val="bi"/>
                </m:rPr>
                <w:rPr>
                  <w:rFonts w:ascii="Cambria Math" w:eastAsia="新細明體" w:hAnsi="Cambria Math" w:cs="Times New Roman"/>
                  <w:color w:val="000000" w:themeColor="text1"/>
                  <w:sz w:val="18"/>
                  <w:szCs w:val="18"/>
                  <w:u w:color="FF0000"/>
                  <w:lang w:eastAsia="zh-TW"/>
                </w:rPr>
                <m:t>]</m:t>
              </m:r>
            </m:oMath>
            <w:r w:rsidRPr="001313D5">
              <w:rPr>
                <w:rFonts w:ascii="Times New Roman" w:eastAsia="新細明體" w:hAnsi="Times New Roman" w:cs="Times New Roman"/>
                <w:color w:val="000000" w:themeColor="text1"/>
                <w:sz w:val="18"/>
                <w:szCs w:val="18"/>
                <w:u w:color="FF0000"/>
                <w:lang w:eastAsia="zh-TW"/>
              </w:rPr>
              <w:t>:</w:t>
            </w:r>
          </w:p>
          <w:p w14:paraId="39EB02CE" w14:textId="08FE32E6" w:rsidR="001313D5" w:rsidRPr="001313D5" w:rsidRDefault="00F17B89" w:rsidP="001313D5">
            <w:pPr>
              <w:pStyle w:val="Body"/>
              <w:numPr>
                <w:ilvl w:val="0"/>
                <w:numId w:val="14"/>
              </w:numPr>
              <w:jc w:val="both"/>
              <w:rPr>
                <w:rFonts w:ascii="Times New Roman" w:eastAsia="新細明體" w:hAnsi="Times New Roman" w:cs="Times New Roman"/>
                <w:color w:val="000000" w:themeColor="text1"/>
                <w:sz w:val="18"/>
                <w:szCs w:val="18"/>
                <w:u w:color="FF0000"/>
                <w:lang w:eastAsia="zh-TW"/>
              </w:rPr>
            </w:pP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z</m:t>
                  </m:r>
                </m:e>
                <m:sub>
                  <m:r>
                    <m:rPr>
                      <m:sty m:val="bi"/>
                    </m:rPr>
                    <w:rPr>
                      <w:rFonts w:ascii="Cambria Math" w:eastAsia="新細明體" w:hAnsi="Cambria Math" w:cs="Times New Roman"/>
                      <w:color w:val="000000" w:themeColor="text1"/>
                      <w:sz w:val="18"/>
                      <w:szCs w:val="18"/>
                      <w:u w:color="FF0000"/>
                      <w:lang w:eastAsia="zh-TW"/>
                    </w:rPr>
                    <m:t>t</m:t>
                  </m:r>
                </m:sub>
              </m:sSub>
            </m:oMath>
            <w:r w:rsidR="001313D5" w:rsidRPr="001313D5">
              <w:rPr>
                <w:rFonts w:ascii="Times New Roman" w:eastAsia="新細明體" w:hAnsi="Times New Roman" w:cs="Times New Roman"/>
                <w:color w:val="000000" w:themeColor="text1"/>
                <w:sz w:val="18"/>
                <w:szCs w:val="18"/>
                <w:u w:color="FF0000"/>
                <w:lang w:eastAsia="zh-TW"/>
              </w:rPr>
              <w:t>: The contemporaneous Z-score of the residual spread.</w:t>
            </w:r>
          </w:p>
          <w:p w14:paraId="07D75A1A" w14:textId="50B9B50A" w:rsidR="001313D5" w:rsidRPr="001313D5" w:rsidRDefault="00F17B89" w:rsidP="001313D5">
            <w:pPr>
              <w:pStyle w:val="Body"/>
              <w:numPr>
                <w:ilvl w:val="0"/>
                <w:numId w:val="14"/>
              </w:numPr>
              <w:jc w:val="both"/>
              <w:rPr>
                <w:rFonts w:ascii="Times New Roman" w:eastAsia="新細明體" w:hAnsi="Times New Roman" w:cs="Times New Roman"/>
                <w:color w:val="000000" w:themeColor="text1"/>
                <w:sz w:val="18"/>
                <w:szCs w:val="18"/>
                <w:u w:color="FF0000"/>
                <w:lang w:eastAsia="zh-TW"/>
              </w:rPr>
            </w:pPr>
            <m:oMath>
              <m:r>
                <m:rPr>
                  <m:sty m:val="b"/>
                </m:rPr>
                <w:rPr>
                  <w:rFonts w:ascii="Cambria Math" w:eastAsia="新細明體" w:hAnsi="Cambria Math" w:cs="Times New Roman"/>
                  <w:color w:val="000000" w:themeColor="text1"/>
                  <w:sz w:val="18"/>
                  <w:szCs w:val="18"/>
                  <w:u w:color="FF0000"/>
                  <w:lang w:eastAsia="zh-TW"/>
                </w:rPr>
                <m:t>Δ</m:t>
              </m:r>
              <m:r>
                <m:rPr>
                  <m:sty m:val="bi"/>
                </m:rPr>
                <w:rPr>
                  <w:rFonts w:ascii="Cambria Math" w:eastAsia="新細明體" w:hAnsi="Cambria Math" w:cs="Times New Roman"/>
                  <w:color w:val="000000" w:themeColor="text1"/>
                  <w:sz w:val="18"/>
                  <w:szCs w:val="18"/>
                  <w:u w:color="FF0000"/>
                  <w:lang w:eastAsia="zh-TW"/>
                </w:rPr>
                <m:t xml:space="preserve"> </m:t>
              </m:r>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z</m:t>
                  </m:r>
                </m:e>
                <m:sub>
                  <m:r>
                    <m:rPr>
                      <m:sty m:val="bi"/>
                    </m:rPr>
                    <w:rPr>
                      <w:rFonts w:ascii="Cambria Math" w:eastAsia="新細明體" w:hAnsi="Cambria Math" w:cs="Times New Roman"/>
                      <w:color w:val="000000" w:themeColor="text1"/>
                      <w:sz w:val="18"/>
                      <w:szCs w:val="18"/>
                      <w:u w:color="FF0000"/>
                      <w:lang w:eastAsia="zh-TW"/>
                    </w:rPr>
                    <m:t>t</m:t>
                  </m:r>
                </m:sub>
              </m:sSub>
            </m:oMath>
            <w:r w:rsidR="001313D5" w:rsidRPr="001313D5">
              <w:rPr>
                <w:rFonts w:ascii="Times New Roman" w:eastAsia="新細明體" w:hAnsi="Times New Roman" w:cs="Times New Roman"/>
                <w:color w:val="000000" w:themeColor="text1"/>
                <w:sz w:val="18"/>
                <w:szCs w:val="18"/>
                <w:u w:color="FF0000"/>
                <w:lang w:eastAsia="zh-TW"/>
              </w:rPr>
              <w:t>: The divergence between the current Z-score and its moving average (Spread Momentum), capturing the dynamic trend of the tracking spread.</w:t>
            </w:r>
          </w:p>
          <w:p w14:paraId="6BA852F0" w14:textId="3FF08357" w:rsidR="001313D5" w:rsidRPr="001313D5" w:rsidRDefault="00F17B89" w:rsidP="001313D5">
            <w:pPr>
              <w:pStyle w:val="Body"/>
              <w:numPr>
                <w:ilvl w:val="0"/>
                <w:numId w:val="14"/>
              </w:numPr>
              <w:jc w:val="both"/>
              <w:rPr>
                <w:rFonts w:ascii="Times New Roman" w:eastAsia="新細明體" w:hAnsi="Times New Roman" w:cs="Times New Roman"/>
                <w:color w:val="000000" w:themeColor="text1"/>
                <w:sz w:val="18"/>
                <w:szCs w:val="18"/>
                <w:u w:color="FF0000"/>
                <w:lang w:eastAsia="zh-TW"/>
              </w:rPr>
            </w:pP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σ</m:t>
                  </m:r>
                </m:e>
                <m:sub>
                  <m:r>
                    <m:rPr>
                      <m:sty m:val="bi"/>
                    </m:rPr>
                    <w:rPr>
                      <w:rFonts w:ascii="Cambria Math" w:eastAsia="新細明體" w:hAnsi="Cambria Math" w:cs="Times New Roman"/>
                      <w:color w:val="000000" w:themeColor="text1"/>
                      <w:sz w:val="18"/>
                      <w:szCs w:val="18"/>
                      <w:u w:color="FF0000"/>
                      <w:lang w:eastAsia="zh-TW"/>
                    </w:rPr>
                    <m:t>t</m:t>
                  </m:r>
                </m:sub>
              </m:sSub>
            </m:oMath>
            <w:r w:rsidR="001313D5" w:rsidRPr="001313D5">
              <w:rPr>
                <w:rFonts w:ascii="Times New Roman" w:eastAsia="新細明體" w:hAnsi="Times New Roman" w:cs="Times New Roman"/>
                <w:color w:val="000000" w:themeColor="text1"/>
                <w:sz w:val="18"/>
                <w:szCs w:val="18"/>
                <w:u w:color="FF0000"/>
                <w:lang w:eastAsia="zh-TW"/>
              </w:rPr>
              <w:t>: The rolling residual volatility computed within a predefined historical window.</w:t>
            </w:r>
          </w:p>
          <w:p w14:paraId="3382A392" w14:textId="3FC04CE5" w:rsidR="001313D5" w:rsidRPr="001313D5" w:rsidRDefault="00F17B89" w:rsidP="001313D5">
            <w:pPr>
              <w:pStyle w:val="Body"/>
              <w:numPr>
                <w:ilvl w:val="0"/>
                <w:numId w:val="14"/>
              </w:numPr>
              <w:jc w:val="both"/>
              <w:rPr>
                <w:rFonts w:ascii="Times New Roman" w:eastAsia="新細明體" w:hAnsi="Times New Roman" w:cs="Times New Roman"/>
                <w:color w:val="000000" w:themeColor="text1"/>
                <w:sz w:val="18"/>
                <w:szCs w:val="18"/>
                <w:u w:color="FF0000"/>
                <w:lang w:eastAsia="zh-TW"/>
              </w:rPr>
            </w:pP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β</m:t>
                  </m:r>
                </m:e>
                <m:sub>
                  <m:r>
                    <m:rPr>
                      <m:sty m:val="bi"/>
                    </m:rPr>
                    <w:rPr>
                      <w:rFonts w:ascii="Cambria Math" w:eastAsia="新細明體" w:hAnsi="Cambria Math" w:cs="Times New Roman"/>
                      <w:color w:val="000000" w:themeColor="text1"/>
                      <w:sz w:val="18"/>
                      <w:szCs w:val="18"/>
                      <w:u w:color="FF0000"/>
                      <w:lang w:eastAsia="zh-TW"/>
                    </w:rPr>
                    <m:t>t</m:t>
                  </m:r>
                </m:sub>
              </m:sSub>
            </m:oMath>
            <w:r w:rsidR="001313D5" w:rsidRPr="001313D5">
              <w:rPr>
                <w:rFonts w:ascii="Times New Roman" w:eastAsia="新細明體" w:hAnsi="Times New Roman" w:cs="Times New Roman"/>
                <w:color w:val="000000" w:themeColor="text1"/>
                <w:sz w:val="18"/>
                <w:szCs w:val="18"/>
                <w:u w:color="FF0000"/>
                <w:lang w:eastAsia="zh-TW"/>
              </w:rPr>
              <w:t xml:space="preserve">: The </w:t>
            </w:r>
            <w:r w:rsidR="001313D5" w:rsidRPr="001313D5">
              <w:rPr>
                <w:rFonts w:ascii="Times New Roman" w:eastAsia="新細明體" w:hAnsi="Times New Roman" w:cs="Times New Roman"/>
                <w:b/>
                <w:bCs/>
                <w:color w:val="000000" w:themeColor="text1"/>
                <w:sz w:val="18"/>
                <w:szCs w:val="18"/>
                <w:u w:color="FF0000"/>
                <w:lang w:eastAsia="zh-TW"/>
              </w:rPr>
              <w:t>Dynamic Hedge Ratio (Beta)</w:t>
            </w:r>
            <w:r w:rsidR="001313D5" w:rsidRPr="001313D5">
              <w:rPr>
                <w:rFonts w:ascii="Times New Roman" w:eastAsia="新細明體" w:hAnsi="Times New Roman" w:cs="Times New Roman"/>
                <w:color w:val="000000" w:themeColor="text1"/>
                <w:sz w:val="18"/>
                <w:szCs w:val="18"/>
                <w:u w:color="FF0000"/>
                <w:lang w:eastAsia="zh-TW"/>
              </w:rPr>
              <w:t>, explicitly incorporating the time-varying drift of the cointegration relationship between the paired assets.</w:t>
            </w:r>
          </w:p>
          <w:p w14:paraId="35C9DE8C" w14:textId="12DB8B3D" w:rsidR="001313D5" w:rsidRPr="001313D5" w:rsidRDefault="00F17B89" w:rsidP="001313D5">
            <w:pPr>
              <w:pStyle w:val="Body"/>
              <w:numPr>
                <w:ilvl w:val="0"/>
                <w:numId w:val="14"/>
              </w:numPr>
              <w:jc w:val="both"/>
              <w:rPr>
                <w:rFonts w:ascii="Times New Roman" w:eastAsia="新細明體" w:hAnsi="Times New Roman" w:cs="Times New Roman"/>
                <w:color w:val="000000" w:themeColor="text1"/>
                <w:sz w:val="18"/>
                <w:szCs w:val="18"/>
                <w:u w:color="FF0000"/>
                <w:lang w:eastAsia="zh-TW"/>
              </w:rPr>
            </w:pP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P</m:t>
                  </m:r>
                </m:e>
                <m:sub>
                  <m:r>
                    <m:rPr>
                      <m:sty m:val="bi"/>
                    </m:rPr>
                    <w:rPr>
                      <w:rFonts w:ascii="Cambria Math" w:eastAsia="新細明體" w:hAnsi="Cambria Math" w:cs="Times New Roman"/>
                      <w:color w:val="000000" w:themeColor="text1"/>
                      <w:sz w:val="18"/>
                      <w:szCs w:val="18"/>
                      <w:u w:color="FF0000"/>
                      <w:lang w:eastAsia="zh-TW"/>
                    </w:rPr>
                    <m:t>t</m:t>
                  </m:r>
                </m:sub>
              </m:sSub>
            </m:oMath>
            <w:r w:rsidR="001313D5" w:rsidRPr="001313D5">
              <w:rPr>
                <w:rFonts w:ascii="Times New Roman" w:eastAsia="新細明體" w:hAnsi="Times New Roman" w:cs="Times New Roman"/>
                <w:color w:val="000000" w:themeColor="text1"/>
                <w:sz w:val="18"/>
                <w:szCs w:val="18"/>
                <w:u w:color="FF0000"/>
                <w:lang w:eastAsia="zh-TW"/>
              </w:rPr>
              <w:t xml:space="preserve"> Bird's eye indicator of the agent's current position status, where </w:t>
            </w: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P</m:t>
                  </m:r>
                </m:e>
                <m:sub>
                  <m:r>
                    <m:rPr>
                      <m:sty m:val="bi"/>
                    </m:rPr>
                    <w:rPr>
                      <w:rFonts w:ascii="Cambria Math" w:eastAsia="新細明體" w:hAnsi="Cambria Math" w:cs="Times New Roman"/>
                      <w:color w:val="000000" w:themeColor="text1"/>
                      <w:sz w:val="18"/>
                      <w:szCs w:val="18"/>
                      <w:u w:color="FF0000"/>
                      <w:lang w:eastAsia="zh-TW"/>
                    </w:rPr>
                    <m:t>t</m:t>
                  </m:r>
                </m:sub>
              </m:sSub>
              <m:r>
                <m:rPr>
                  <m:sty m:val="bi"/>
                </m:rPr>
                <w:rPr>
                  <w:rFonts w:ascii="Cambria Math" w:eastAsia="新細明體" w:hAnsi="Cambria Math" w:cs="Times New Roman"/>
                  <w:color w:val="000000" w:themeColor="text1"/>
                  <w:sz w:val="18"/>
                  <w:szCs w:val="18"/>
                  <w:u w:color="FF0000"/>
                  <w:lang w:eastAsia="zh-TW"/>
                </w:rPr>
                <m:t>∈</m:t>
              </m:r>
              <m:r>
                <m:rPr>
                  <m:sty m:val="bi"/>
                </m:rPr>
                <w:rPr>
                  <w:rFonts w:ascii="Cambria Math" w:eastAsia="新細明體" w:hAnsi="Cambria Math" w:cs="Times New Roman"/>
                  <w:color w:val="000000" w:themeColor="text1"/>
                  <w:sz w:val="18"/>
                  <w:szCs w:val="18"/>
                  <w:u w:color="FF0000"/>
                  <w:lang w:eastAsia="zh-TW"/>
                </w:rPr>
                <m:t xml:space="preserve"> </m:t>
              </m:r>
              <m:d>
                <m:dPr>
                  <m:begChr m:val="{"/>
                  <m:endChr m:val="}"/>
                  <m:ctrlPr>
                    <w:rPr>
                      <w:rFonts w:ascii="Cambria Math" w:eastAsia="新細明體" w:hAnsi="Cambria Math" w:cs="Times New Roman"/>
                      <w:b/>
                      <w:bCs/>
                      <w:i/>
                      <w:color w:val="000000" w:themeColor="text1"/>
                      <w:sz w:val="18"/>
                      <w:szCs w:val="18"/>
                      <w:u w:color="FF0000"/>
                      <w:lang w:eastAsia="zh-TW"/>
                    </w:rPr>
                  </m:ctrlPr>
                </m:dPr>
                <m:e>
                  <m:r>
                    <m:rPr>
                      <m:sty m:val="bi"/>
                    </m:rPr>
                    <w:rPr>
                      <w:rFonts w:ascii="Cambria Math" w:eastAsia="新細明體" w:hAnsi="Cambria Math" w:cs="Times New Roman"/>
                      <w:color w:val="000000" w:themeColor="text1"/>
                      <w:sz w:val="18"/>
                      <w:szCs w:val="18"/>
                      <w:u w:color="FF0000"/>
                      <w:lang w:eastAsia="zh-TW"/>
                    </w:rPr>
                    <m:t>-1, 0, 1</m:t>
                  </m:r>
                </m:e>
              </m:d>
            </m:oMath>
            <w:r w:rsidR="001313D5" w:rsidRPr="001313D5">
              <w:rPr>
                <w:rFonts w:ascii="Times New Roman" w:eastAsia="新細明體" w:hAnsi="Times New Roman" w:cs="Times New Roman"/>
                <w:color w:val="000000" w:themeColor="text1"/>
                <w:sz w:val="18"/>
                <w:szCs w:val="18"/>
                <w:u w:color="FF0000"/>
                <w:lang w:eastAsia="zh-TW"/>
              </w:rPr>
              <w:t>denotes short, flat, and long positions, respe</w:t>
            </w:r>
            <w:proofErr w:type="spellStart"/>
            <w:r w:rsidR="001313D5" w:rsidRPr="001313D5">
              <w:rPr>
                <w:rFonts w:ascii="Times New Roman" w:eastAsia="新細明體" w:hAnsi="Times New Roman" w:cs="Times New Roman"/>
                <w:i/>
                <w:iCs/>
                <w:color w:val="000000" w:themeColor="text1"/>
                <w:sz w:val="18"/>
                <w:szCs w:val="18"/>
                <w:u w:color="FF0000"/>
                <w:lang w:eastAsia="zh-TW"/>
              </w:rPr>
              <w:t>ctively</w:t>
            </w:r>
            <w:proofErr w:type="spellEnd"/>
            <w:r w:rsidR="001313D5" w:rsidRPr="001313D5">
              <w:rPr>
                <w:rFonts w:ascii="Times New Roman" w:eastAsia="新細明體" w:hAnsi="Times New Roman" w:cs="Times New Roman"/>
                <w:i/>
                <w:iCs/>
                <w:color w:val="000000" w:themeColor="text1"/>
                <w:sz w:val="18"/>
                <w:szCs w:val="18"/>
                <w:u w:color="FF0000"/>
                <w:lang w:eastAsia="zh-TW"/>
              </w:rPr>
              <w:t>.</w:t>
            </w:r>
          </w:p>
          <w:p w14:paraId="1C6B77C7"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IV. Identification Strategy and Robustness Controls</w:t>
            </w:r>
          </w:p>
          <w:p w14:paraId="61DEDBBE" w14:textId="77777777" w:rsidR="001313D5" w:rsidRPr="001313D5" w:rsidRDefault="001313D5" w:rsidP="000F6BC4">
            <w:pPr>
              <w:pStyle w:val="Body"/>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color w:val="000000" w:themeColor="text1"/>
                <w:sz w:val="18"/>
                <w:szCs w:val="18"/>
                <w:u w:color="FF0000"/>
                <w:lang w:eastAsia="zh-TW"/>
              </w:rPr>
              <w:t>As an empirical asset pricing and quantitative trading model based on market-wide historical data, this study does not invoke traditional corporate finance endogeneity concerns (e.g., reverse causality or omitted firm variables). To ensure identification validity and prevent the overestimation of arbitrage profitability, the following empirical insulation strategies are rigorously enforced:</w:t>
            </w:r>
          </w:p>
          <w:p w14:paraId="3DA0E8AE" w14:textId="77777777" w:rsidR="001313D5" w:rsidRPr="001313D5" w:rsidRDefault="001313D5" w:rsidP="00A7308B">
            <w:pPr>
              <w:pStyle w:val="Body"/>
              <w:numPr>
                <w:ilvl w:val="0"/>
                <w:numId w:val="15"/>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Survivorship Bias Control</w:t>
            </w:r>
            <w:r w:rsidRPr="001313D5">
              <w:rPr>
                <w:rFonts w:ascii="Times New Roman" w:eastAsia="新細明體" w:hAnsi="Times New Roman" w:cs="Times New Roman"/>
                <w:color w:val="000000" w:themeColor="text1"/>
                <w:sz w:val="18"/>
                <w:szCs w:val="18"/>
                <w:u w:color="FF0000"/>
                <w:lang w:eastAsia="zh-TW"/>
              </w:rPr>
              <w:t xml:space="preserve">: To eliminate the bias of selecting only currently surviving firms, this study constructs a </w:t>
            </w:r>
            <w:r w:rsidRPr="001313D5">
              <w:rPr>
                <w:rFonts w:ascii="Times New Roman" w:eastAsia="新細明體" w:hAnsi="Times New Roman" w:cs="Times New Roman"/>
                <w:b/>
                <w:bCs/>
                <w:color w:val="000000" w:themeColor="text1"/>
                <w:sz w:val="18"/>
                <w:szCs w:val="18"/>
                <w:u w:color="FF0000"/>
                <w:lang w:eastAsia="zh-TW"/>
              </w:rPr>
              <w:t>dynamic constituent matrix</w:t>
            </w:r>
            <w:r w:rsidRPr="001313D5">
              <w:rPr>
                <w:rFonts w:ascii="Times New Roman" w:eastAsia="新細明體" w:hAnsi="Times New Roman" w:cs="Times New Roman"/>
                <w:color w:val="000000" w:themeColor="text1"/>
                <w:sz w:val="18"/>
                <w:szCs w:val="18"/>
                <w:u w:color="FF0000"/>
                <w:lang w:eastAsia="zh-TW"/>
              </w:rPr>
              <w:t>. Based on historical S&amp;P 500 revision logs (extracted via Wikipedia revision histories or the CRSP database), firms that were subsequently delisted, acquired, or excluded (e.g., Yahoo, Lehman Brothers) are fully preserved within the historical asset eligibility pool during their respective active periods.</w:t>
            </w:r>
          </w:p>
          <w:p w14:paraId="610B4130" w14:textId="77777777" w:rsidR="001313D5" w:rsidRPr="001313D5" w:rsidRDefault="001313D5" w:rsidP="00A7308B">
            <w:pPr>
              <w:pStyle w:val="Body"/>
              <w:numPr>
                <w:ilvl w:val="0"/>
                <w:numId w:val="15"/>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Look-Ahead and Overfitting Bias Control</w:t>
            </w:r>
            <w:r w:rsidRPr="001313D5">
              <w:rPr>
                <w:rFonts w:ascii="Times New Roman" w:eastAsia="新細明體" w:hAnsi="Times New Roman" w:cs="Times New Roman"/>
                <w:color w:val="000000" w:themeColor="text1"/>
                <w:sz w:val="18"/>
                <w:szCs w:val="18"/>
                <w:u w:color="FF0000"/>
                <w:lang w:eastAsia="zh-TW"/>
              </w:rPr>
              <w:t xml:space="preserve">: This study strictly implements a </w:t>
            </w:r>
            <w:r w:rsidRPr="001313D5">
              <w:rPr>
                <w:rFonts w:ascii="Times New Roman" w:eastAsia="新細明體" w:hAnsi="Times New Roman" w:cs="Times New Roman"/>
                <w:b/>
                <w:bCs/>
                <w:color w:val="000000" w:themeColor="text1"/>
                <w:sz w:val="18"/>
                <w:szCs w:val="18"/>
                <w:u w:color="FF0000"/>
                <w:lang w:eastAsia="zh-TW"/>
              </w:rPr>
              <w:t>rolling-window (walk-forward validation) architecture</w:t>
            </w:r>
            <w:r w:rsidRPr="001313D5">
              <w:rPr>
                <w:rFonts w:ascii="Times New Roman" w:eastAsia="新細明體" w:hAnsi="Times New Roman" w:cs="Times New Roman"/>
                <w:color w:val="000000" w:themeColor="text1"/>
                <w:sz w:val="18"/>
                <w:szCs w:val="18"/>
                <w:u w:color="FF0000"/>
                <w:lang w:eastAsia="zh-TW"/>
              </w:rPr>
              <w:t>. The data timeline is insulated into independent formation (training) and trading (testing) periods. The clustering and DRL model optimization at time $t$ rely exclusively on information available prior to period $t$, preventing any future-information leakage. DRL hyperparameter tuning is conducted solely on an isolated validation set, ensuring the absolute purity of the out-of-sample testing set.</w:t>
            </w:r>
          </w:p>
          <w:p w14:paraId="07D0B073" w14:textId="77777777" w:rsidR="001313D5" w:rsidRPr="001313D5" w:rsidRDefault="001313D5" w:rsidP="00A7308B">
            <w:pPr>
              <w:pStyle w:val="Body"/>
              <w:numPr>
                <w:ilvl w:val="0"/>
                <w:numId w:val="15"/>
              </w:numPr>
              <w:jc w:val="both"/>
              <w:rPr>
                <w:rFonts w:ascii="Times New Roman" w:eastAsia="新細明體" w:hAnsi="Times New Roman" w:cs="Times New Roman"/>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 xml:space="preserve">Market Microstructure and Friction </w:t>
            </w:r>
            <w:proofErr w:type="spellStart"/>
            <w:r w:rsidRPr="001313D5">
              <w:rPr>
                <w:rFonts w:ascii="Times New Roman" w:eastAsia="新細明體" w:hAnsi="Times New Roman" w:cs="Times New Roman"/>
                <w:b/>
                <w:bCs/>
                <w:color w:val="000000" w:themeColor="text1"/>
                <w:sz w:val="18"/>
                <w:szCs w:val="18"/>
                <w:u w:color="FF0000"/>
                <w:lang w:eastAsia="zh-TW"/>
              </w:rPr>
              <w:t>Friction</w:t>
            </w:r>
            <w:proofErr w:type="spellEnd"/>
            <w:r w:rsidRPr="001313D5">
              <w:rPr>
                <w:rFonts w:ascii="Times New Roman" w:eastAsia="新細明體" w:hAnsi="Times New Roman" w:cs="Times New Roman"/>
                <w:b/>
                <w:bCs/>
                <w:color w:val="000000" w:themeColor="text1"/>
                <w:sz w:val="18"/>
                <w:szCs w:val="18"/>
                <w:u w:color="FF0000"/>
                <w:lang w:eastAsia="zh-TW"/>
              </w:rPr>
              <w:t xml:space="preserve"> Control</w:t>
            </w:r>
            <w:r w:rsidRPr="001313D5">
              <w:rPr>
                <w:rFonts w:ascii="Times New Roman" w:eastAsia="新細明體" w:hAnsi="Times New Roman" w:cs="Times New Roman"/>
                <w:color w:val="000000" w:themeColor="text1"/>
                <w:sz w:val="18"/>
                <w:szCs w:val="18"/>
                <w:u w:color="FF0000"/>
                <w:lang w:eastAsia="zh-TW"/>
              </w:rPr>
              <w:t>: To prevent the DRL agent from exploiting unrealistic high-frequency trading loops in a frictionless simulation, bilateral transaction costs (incorporating institutional commissions and execution slippage) are explicitly integrated as an immediate deduction term within the DRL reward function.</w:t>
            </w:r>
          </w:p>
          <w:p w14:paraId="1F1A266F" w14:textId="04DB2D23" w:rsidR="00C21E52" w:rsidRPr="00992512" w:rsidRDefault="001313D5" w:rsidP="001313D5">
            <w:pPr>
              <w:pStyle w:val="Body"/>
              <w:numPr>
                <w:ilvl w:val="0"/>
                <w:numId w:val="15"/>
              </w:numPr>
              <w:jc w:val="both"/>
              <w:rPr>
                <w:rFonts w:ascii="Times New Roman" w:eastAsia="新細明體" w:hAnsi="Times New Roman" w:cs="Times New Roman" w:hint="eastAsia"/>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lastRenderedPageBreak/>
              <w:t>Time-Varying Endogeneity and Market Impact Control</w:t>
            </w:r>
            <w:r w:rsidRPr="001313D5">
              <w:rPr>
                <w:rFonts w:ascii="Times New Roman" w:eastAsia="新細明體" w:hAnsi="Times New Roman" w:cs="Times New Roman"/>
                <w:color w:val="000000" w:themeColor="text1"/>
                <w:sz w:val="18"/>
                <w:szCs w:val="18"/>
                <w:u w:color="FF0000"/>
                <w:lang w:eastAsia="zh-TW"/>
              </w:rPr>
              <w:t xml:space="preserve">: To insulate the </w:t>
            </w:r>
            <w:proofErr w:type="spellStart"/>
            <w:r w:rsidRPr="001313D5">
              <w:rPr>
                <w:rFonts w:ascii="Times New Roman" w:eastAsia="新細明體" w:hAnsi="Times New Roman" w:cs="Times New Roman"/>
                <w:color w:val="000000" w:themeColor="text1"/>
                <w:sz w:val="18"/>
                <w:szCs w:val="18"/>
                <w:u w:color="FF0000"/>
                <w:lang w:eastAsia="zh-TW"/>
              </w:rPr>
              <w:t>backtest</w:t>
            </w:r>
            <w:proofErr w:type="spellEnd"/>
            <w:r w:rsidRPr="001313D5">
              <w:rPr>
                <w:rFonts w:ascii="Times New Roman" w:eastAsia="新細明體" w:hAnsi="Times New Roman" w:cs="Times New Roman"/>
                <w:color w:val="000000" w:themeColor="text1"/>
                <w:sz w:val="18"/>
                <w:szCs w:val="18"/>
                <w:u w:color="FF0000"/>
                <w:lang w:eastAsia="zh-TW"/>
              </w:rPr>
              <w:t xml:space="preserve"> from endogenous price pressures generated by the system's own liquidity demands, single-day transaction volumes are strictly capped at $1\%$ of the asset's </w:t>
            </w:r>
            <w:r w:rsidRPr="001313D5">
              <w:rPr>
                <w:rFonts w:ascii="Times New Roman" w:eastAsia="新細明體" w:hAnsi="Times New Roman" w:cs="Times New Roman"/>
                <w:b/>
                <w:bCs/>
                <w:color w:val="000000" w:themeColor="text1"/>
                <w:sz w:val="18"/>
                <w:szCs w:val="18"/>
                <w:u w:color="FF0000"/>
                <w:lang w:eastAsia="zh-TW"/>
              </w:rPr>
              <w:t>Average Daily Volume (ADV)</w:t>
            </w:r>
            <w:r w:rsidRPr="001313D5">
              <w:rPr>
                <w:rFonts w:ascii="Times New Roman" w:eastAsia="新細明體" w:hAnsi="Times New Roman" w:cs="Times New Roman"/>
                <w:color w:val="000000" w:themeColor="text1"/>
                <w:sz w:val="18"/>
                <w:szCs w:val="18"/>
                <w:u w:color="FF0000"/>
                <w:lang w:eastAsia="zh-TW"/>
              </w:rPr>
              <w:t xml:space="preserve">. This parameter enforces the realistic assumption that the algorithmic system operates strictly as a </w:t>
            </w:r>
            <w:r w:rsidRPr="001313D5">
              <w:rPr>
                <w:rFonts w:ascii="Times New Roman" w:eastAsia="新細明體" w:hAnsi="Times New Roman" w:cs="Times New Roman"/>
                <w:b/>
                <w:bCs/>
                <w:color w:val="000000" w:themeColor="text1"/>
                <w:sz w:val="18"/>
                <w:szCs w:val="18"/>
                <w:u w:color="FF0000"/>
                <w:lang w:eastAsia="zh-TW"/>
              </w:rPr>
              <w:t>price taker</w:t>
            </w:r>
            <w:r w:rsidRPr="001313D5">
              <w:rPr>
                <w:rFonts w:ascii="Times New Roman" w:eastAsia="新細明體" w:hAnsi="Times New Roman" w:cs="Times New Roman"/>
                <w:color w:val="000000" w:themeColor="text1"/>
                <w:sz w:val="18"/>
                <w:szCs w:val="18"/>
                <w:u w:color="FF0000"/>
                <w:lang w:eastAsia="zh-TW"/>
              </w:rPr>
              <w:t>.</w:t>
            </w:r>
          </w:p>
        </w:tc>
      </w:tr>
      <w:tr w:rsidR="004B232D" w14:paraId="400BA705" w14:textId="77777777" w:rsidTr="008D1B53">
        <w:trPr>
          <w:trHeight w:val="3482"/>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C73F4"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lastRenderedPageBreak/>
              <w:t>(F) Data?</w:t>
            </w:r>
          </w:p>
          <w:p w14:paraId="186932AE"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數據？</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488C69" w14:textId="7DA11CB4"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Data Sources &amp; Acquisition Protocol</w:t>
            </w:r>
            <w:r w:rsidRPr="00992512">
              <w:rPr>
                <w:rFonts w:ascii="Times New Roman" w:eastAsia="新細明體" w:hAnsi="Times New Roman" w:cs="Times New Roman"/>
                <w:color w:val="000000" w:themeColor="text1"/>
                <w:sz w:val="18"/>
                <w:szCs w:val="18"/>
                <w:u w:color="FF0000"/>
                <w:lang w:eastAsia="zh-TW"/>
              </w:rPr>
              <w:t>:</w:t>
            </w:r>
          </w:p>
          <w:p w14:paraId="643F8EE7" w14:textId="77777777"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color w:val="000000" w:themeColor="text1"/>
                <w:sz w:val="18"/>
                <w:szCs w:val="18"/>
                <w:u w:color="FF0000"/>
                <w:lang w:eastAsia="zh-TW"/>
              </w:rPr>
              <w:t>This study constructs a rigorous, survivorship-bias-free dynamic repository by programmatically integrating multi-source cloud-based financial data endpoints:</w:t>
            </w:r>
          </w:p>
          <w:p w14:paraId="755A305F" w14:textId="77777777" w:rsidR="00992512" w:rsidRPr="00992512" w:rsidRDefault="00992512" w:rsidP="00992512">
            <w:pPr>
              <w:pStyle w:val="Body"/>
              <w:numPr>
                <w:ilvl w:val="0"/>
                <w:numId w:val="17"/>
              </w:numPr>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Index Constituency Dynamics</w:t>
            </w:r>
            <w:r w:rsidRPr="00992512">
              <w:rPr>
                <w:rFonts w:ascii="Times New Roman" w:eastAsia="新細明體" w:hAnsi="Times New Roman" w:cs="Times New Roman"/>
                <w:color w:val="000000" w:themeColor="text1"/>
                <w:sz w:val="18"/>
                <w:szCs w:val="18"/>
                <w:u w:color="FF0000"/>
                <w:lang w:eastAsia="zh-TW"/>
              </w:rPr>
              <w:t xml:space="preserve">: The time-varying dynamic inclusion and exclusion logs of the S&amp;P 500 index are tracking-harvested and cross-calibrated via </w:t>
            </w:r>
            <w:r w:rsidRPr="00992512">
              <w:rPr>
                <w:rFonts w:ascii="Times New Roman" w:eastAsia="新細明體" w:hAnsi="Times New Roman" w:cs="Times New Roman"/>
                <w:b/>
                <w:bCs/>
                <w:color w:val="000000" w:themeColor="text1"/>
                <w:sz w:val="18"/>
                <w:szCs w:val="18"/>
                <w:u w:color="FF0000"/>
                <w:lang w:eastAsia="zh-TW"/>
              </w:rPr>
              <w:t>Wikipedia's historical revision archives</w:t>
            </w:r>
            <w:r w:rsidRPr="00992512">
              <w:rPr>
                <w:rFonts w:ascii="Times New Roman" w:eastAsia="新細明體" w:hAnsi="Times New Roman" w:cs="Times New Roman"/>
                <w:color w:val="000000" w:themeColor="text1"/>
                <w:sz w:val="18"/>
                <w:szCs w:val="18"/>
                <w:u w:color="FF0000"/>
                <w:lang w:eastAsia="zh-TW"/>
              </w:rPr>
              <w:t xml:space="preserve"> to meticulously reconstruct the target investment universe at any historical node.</w:t>
            </w:r>
          </w:p>
          <w:p w14:paraId="1FFEA167" w14:textId="77777777" w:rsidR="00992512" w:rsidRPr="00992512" w:rsidRDefault="00992512" w:rsidP="00992512">
            <w:pPr>
              <w:pStyle w:val="Body"/>
              <w:numPr>
                <w:ilvl w:val="0"/>
                <w:numId w:val="17"/>
              </w:numPr>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Time-Series Price-Volume Data</w:t>
            </w:r>
            <w:r w:rsidRPr="00992512">
              <w:rPr>
                <w:rFonts w:ascii="Times New Roman" w:eastAsia="新細明體" w:hAnsi="Times New Roman" w:cs="Times New Roman"/>
                <w:color w:val="000000" w:themeColor="text1"/>
                <w:sz w:val="18"/>
                <w:szCs w:val="18"/>
                <w:u w:color="FF0000"/>
                <w:lang w:eastAsia="zh-TW"/>
              </w:rPr>
              <w:t xml:space="preserve">: Daily-frequency price-volume matrices (incorporating historical open, high, low, close prices, and trading volumes) are continuously fetched and dual-verified via the </w:t>
            </w:r>
            <w:proofErr w:type="spellStart"/>
            <w:r w:rsidRPr="00992512">
              <w:rPr>
                <w:rFonts w:ascii="Times New Roman" w:eastAsia="新細明體" w:hAnsi="Times New Roman" w:cs="Times New Roman"/>
                <w:b/>
                <w:bCs/>
                <w:color w:val="000000" w:themeColor="text1"/>
                <w:sz w:val="18"/>
                <w:szCs w:val="18"/>
                <w:u w:color="FF0000"/>
                <w:lang w:eastAsia="zh-TW"/>
              </w:rPr>
              <w:t>yFinance</w:t>
            </w:r>
            <w:proofErr w:type="spellEnd"/>
            <w:r w:rsidRPr="00992512">
              <w:rPr>
                <w:rFonts w:ascii="Times New Roman" w:eastAsia="新細明體" w:hAnsi="Times New Roman" w:cs="Times New Roman"/>
                <w:color w:val="000000" w:themeColor="text1"/>
                <w:sz w:val="18"/>
                <w:szCs w:val="18"/>
                <w:u w:color="FF0000"/>
                <w:lang w:eastAsia="zh-TW"/>
              </w:rPr>
              <w:t xml:space="preserve"> and </w:t>
            </w:r>
            <w:proofErr w:type="spellStart"/>
            <w:r w:rsidRPr="00992512">
              <w:rPr>
                <w:rFonts w:ascii="Times New Roman" w:eastAsia="新細明體" w:hAnsi="Times New Roman" w:cs="Times New Roman"/>
                <w:b/>
                <w:bCs/>
                <w:color w:val="000000" w:themeColor="text1"/>
                <w:sz w:val="18"/>
                <w:szCs w:val="18"/>
                <w:u w:color="FF0000"/>
                <w:lang w:eastAsia="zh-TW"/>
              </w:rPr>
              <w:t>Tiingo</w:t>
            </w:r>
            <w:proofErr w:type="spellEnd"/>
            <w:r w:rsidRPr="00992512">
              <w:rPr>
                <w:rFonts w:ascii="Times New Roman" w:eastAsia="新細明體" w:hAnsi="Times New Roman" w:cs="Times New Roman"/>
                <w:color w:val="000000" w:themeColor="text1"/>
                <w:sz w:val="18"/>
                <w:szCs w:val="18"/>
                <w:u w:color="FF0000"/>
                <w:lang w:eastAsia="zh-TW"/>
              </w:rPr>
              <w:t xml:space="preserve"> financial cloud platforms, ensuring mathematical precision and strict consistency across corporate split and dividend adjustments.</w:t>
            </w:r>
          </w:p>
          <w:p w14:paraId="0682ADAF" w14:textId="77777777" w:rsidR="00992512" w:rsidRPr="00992512" w:rsidRDefault="00992512" w:rsidP="00992512">
            <w:pPr>
              <w:pStyle w:val="Body"/>
              <w:numPr>
                <w:ilvl w:val="0"/>
                <w:numId w:val="17"/>
              </w:numPr>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Corporate Fundamental Multi-factors</w:t>
            </w:r>
            <w:r w:rsidRPr="00992512">
              <w:rPr>
                <w:rFonts w:ascii="Times New Roman" w:eastAsia="新細明體" w:hAnsi="Times New Roman" w:cs="Times New Roman"/>
                <w:color w:val="000000" w:themeColor="text1"/>
                <w:sz w:val="18"/>
                <w:szCs w:val="18"/>
                <w:u w:color="FF0000"/>
                <w:lang w:eastAsia="zh-TW"/>
              </w:rPr>
              <w:t xml:space="preserve">: Comprehensive corporate accounting characteristics and multi-dimensional firm fundamentals (e.g., quarterly and annualized balance sheets, income statements, and cash flow metrics) are algorithmically harvested through the </w:t>
            </w:r>
            <w:r w:rsidRPr="00992512">
              <w:rPr>
                <w:rFonts w:ascii="Times New Roman" w:eastAsia="新細明體" w:hAnsi="Times New Roman" w:cs="Times New Roman"/>
                <w:b/>
                <w:bCs/>
                <w:color w:val="000000" w:themeColor="text1"/>
                <w:sz w:val="18"/>
                <w:szCs w:val="18"/>
                <w:u w:color="FF0000"/>
                <w:lang w:eastAsia="zh-TW"/>
              </w:rPr>
              <w:t>Financial Modeling Prep (FMP)</w:t>
            </w:r>
            <w:r w:rsidRPr="00992512">
              <w:rPr>
                <w:rFonts w:ascii="Times New Roman" w:eastAsia="新細明體" w:hAnsi="Times New Roman" w:cs="Times New Roman"/>
                <w:color w:val="000000" w:themeColor="text1"/>
                <w:sz w:val="18"/>
                <w:szCs w:val="18"/>
                <w:u w:color="FF0000"/>
                <w:lang w:eastAsia="zh-TW"/>
              </w:rPr>
              <w:t xml:space="preserve"> enterprise API to parameterize the Phase-1 unsupervised machine learning feature space.</w:t>
            </w:r>
          </w:p>
          <w:p w14:paraId="5E4DCE11" w14:textId="2944FD2B"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Sample Universe &amp; Horizon</w:t>
            </w:r>
            <w:r w:rsidRPr="00992512">
              <w:rPr>
                <w:rFonts w:ascii="Times New Roman" w:eastAsia="新細明體" w:hAnsi="Times New Roman" w:cs="Times New Roman"/>
                <w:color w:val="000000" w:themeColor="text1"/>
                <w:sz w:val="18"/>
                <w:szCs w:val="18"/>
                <w:u w:color="FF0000"/>
                <w:lang w:eastAsia="zh-TW"/>
              </w:rPr>
              <w:t>:</w:t>
            </w:r>
          </w:p>
          <w:p w14:paraId="69E7448E" w14:textId="77777777"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color w:val="000000" w:themeColor="text1"/>
                <w:sz w:val="18"/>
                <w:szCs w:val="18"/>
                <w:u w:color="FF0000"/>
                <w:lang w:eastAsia="zh-TW"/>
              </w:rPr>
              <w:t xml:space="preserve">The empirical universe consists of the </w:t>
            </w:r>
            <w:r w:rsidRPr="00992512">
              <w:rPr>
                <w:rFonts w:ascii="Times New Roman" w:eastAsia="新細明體" w:hAnsi="Times New Roman" w:cs="Times New Roman"/>
                <w:b/>
                <w:bCs/>
                <w:color w:val="000000" w:themeColor="text1"/>
                <w:sz w:val="18"/>
                <w:szCs w:val="18"/>
                <w:u w:color="FF0000"/>
                <w:lang w:eastAsia="zh-TW"/>
              </w:rPr>
              <w:t>dynamic constituents of the S&amp;P 500 Index</w:t>
            </w:r>
            <w:r w:rsidRPr="00992512">
              <w:rPr>
                <w:rFonts w:ascii="Times New Roman" w:eastAsia="新細明體" w:hAnsi="Times New Roman" w:cs="Times New Roman"/>
                <w:color w:val="000000" w:themeColor="text1"/>
                <w:sz w:val="18"/>
                <w:szCs w:val="18"/>
                <w:u w:color="FF0000"/>
                <w:lang w:eastAsia="zh-TW"/>
              </w:rPr>
              <w:t xml:space="preserve">. The historical sample spans a 26-year macro horizon from </w:t>
            </w:r>
            <w:r w:rsidRPr="00992512">
              <w:rPr>
                <w:rFonts w:ascii="Times New Roman" w:eastAsia="新細明體" w:hAnsi="Times New Roman" w:cs="Times New Roman"/>
                <w:b/>
                <w:bCs/>
                <w:color w:val="000000" w:themeColor="text1"/>
                <w:sz w:val="18"/>
                <w:szCs w:val="18"/>
                <w:u w:color="FF0000"/>
                <w:lang w:eastAsia="zh-TW"/>
              </w:rPr>
              <w:t>January 1, 2000, to December 31, 2025</w:t>
            </w:r>
            <w:r w:rsidRPr="00992512">
              <w:rPr>
                <w:rFonts w:ascii="Times New Roman" w:eastAsia="新細明體" w:hAnsi="Times New Roman" w:cs="Times New Roman"/>
                <w:color w:val="000000" w:themeColor="text1"/>
                <w:sz w:val="18"/>
                <w:szCs w:val="18"/>
                <w:u w:color="FF0000"/>
                <w:lang w:eastAsia="zh-TW"/>
              </w:rPr>
              <w:t xml:space="preserve">. This extensive multi-decade timeline is intentionally selected to stress-test the trading system's resilience across highly diverse economic cycles and profound </w:t>
            </w:r>
            <w:r w:rsidRPr="00992512">
              <w:rPr>
                <w:rFonts w:ascii="Times New Roman" w:eastAsia="新細明體" w:hAnsi="Times New Roman" w:cs="Times New Roman"/>
                <w:b/>
                <w:bCs/>
                <w:color w:val="000000" w:themeColor="text1"/>
                <w:sz w:val="18"/>
                <w:szCs w:val="18"/>
                <w:u w:color="FF0000"/>
                <w:lang w:eastAsia="zh-TW"/>
              </w:rPr>
              <w:t>market regime shifts</w:t>
            </w:r>
            <w:r w:rsidRPr="00992512">
              <w:rPr>
                <w:rFonts w:ascii="Times New Roman" w:eastAsia="新細明體" w:hAnsi="Times New Roman" w:cs="Times New Roman"/>
                <w:color w:val="000000" w:themeColor="text1"/>
                <w:sz w:val="18"/>
                <w:szCs w:val="18"/>
                <w:u w:color="FF0000"/>
                <w:lang w:eastAsia="zh-TW"/>
              </w:rPr>
              <w:t>, including the 2000 Dot-com crash, the 2008 Global Financial Crisis, the 2011 Eurozone debt crisis, the 2020 COVID-19 liquidity shock, and the 2022–2023 aggressive Federal Reserve monetary tightening cycle.</w:t>
            </w:r>
          </w:p>
          <w:p w14:paraId="683DE861" w14:textId="24C76117"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Data Filtering &amp; Preprocessing Protocols</w:t>
            </w:r>
            <w:r w:rsidRPr="00992512">
              <w:rPr>
                <w:rFonts w:ascii="Times New Roman" w:eastAsia="新細明體" w:hAnsi="Times New Roman" w:cs="Times New Roman"/>
                <w:color w:val="000000" w:themeColor="text1"/>
                <w:sz w:val="18"/>
                <w:szCs w:val="18"/>
                <w:u w:color="FF0000"/>
                <w:lang w:eastAsia="zh-TW"/>
              </w:rPr>
              <w:t>:</w:t>
            </w:r>
          </w:p>
          <w:p w14:paraId="2A08C78D" w14:textId="77777777"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color w:val="000000" w:themeColor="text1"/>
                <w:sz w:val="18"/>
                <w:szCs w:val="18"/>
                <w:u w:color="FF0000"/>
                <w:lang w:eastAsia="zh-TW"/>
              </w:rPr>
              <w:t xml:space="preserve">To guarantee the statistical replicability of </w:t>
            </w:r>
            <w:proofErr w:type="spellStart"/>
            <w:r w:rsidRPr="00992512">
              <w:rPr>
                <w:rFonts w:ascii="Times New Roman" w:eastAsia="新細明體" w:hAnsi="Times New Roman" w:cs="Times New Roman"/>
                <w:color w:val="000000" w:themeColor="text1"/>
                <w:sz w:val="18"/>
                <w:szCs w:val="18"/>
                <w:u w:color="FF0000"/>
                <w:lang w:eastAsia="zh-TW"/>
              </w:rPr>
              <w:t>backtesting</w:t>
            </w:r>
            <w:proofErr w:type="spellEnd"/>
            <w:r w:rsidRPr="00992512">
              <w:rPr>
                <w:rFonts w:ascii="Times New Roman" w:eastAsia="新細明體" w:hAnsi="Times New Roman" w:cs="Times New Roman"/>
                <w:color w:val="000000" w:themeColor="text1"/>
                <w:sz w:val="18"/>
                <w:szCs w:val="18"/>
                <w:u w:color="FF0000"/>
                <w:lang w:eastAsia="zh-TW"/>
              </w:rPr>
              <w:t xml:space="preserve"> returns and filter out market microstructure noise, the raw dataset is subjected to the following standardized filters:</w:t>
            </w:r>
          </w:p>
          <w:p w14:paraId="2DDC3ECC" w14:textId="77777777" w:rsidR="00992512" w:rsidRPr="00992512" w:rsidRDefault="00992512" w:rsidP="00992512">
            <w:pPr>
              <w:pStyle w:val="Body"/>
              <w:numPr>
                <w:ilvl w:val="0"/>
                <w:numId w:val="18"/>
              </w:numPr>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Insulation against Survivorship Bias</w:t>
            </w:r>
            <w:r w:rsidRPr="00992512">
              <w:rPr>
                <w:rFonts w:ascii="Times New Roman" w:eastAsia="新細明體" w:hAnsi="Times New Roman" w:cs="Times New Roman"/>
                <w:color w:val="000000" w:themeColor="text1"/>
                <w:sz w:val="18"/>
                <w:szCs w:val="18"/>
                <w:u w:color="FF0000"/>
                <w:lang w:eastAsia="zh-TW"/>
              </w:rPr>
              <w:t>: To systematically eradicate survivorship artifacts, equities that were delisted, bankrupted, or excluded from the index over the sample timeline (e.g., Lehman Brothers, Yahoo) are meticulously preserved within the active asset eligibility pool during their respective historical lifespans.</w:t>
            </w:r>
          </w:p>
          <w:p w14:paraId="7561D207" w14:textId="77777777" w:rsidR="00992512" w:rsidRPr="00992512" w:rsidRDefault="00992512" w:rsidP="00992512">
            <w:pPr>
              <w:pStyle w:val="Body"/>
              <w:numPr>
                <w:ilvl w:val="0"/>
                <w:numId w:val="18"/>
              </w:numPr>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Penny Stock Exclusion</w:t>
            </w:r>
            <w:r w:rsidRPr="00992512">
              <w:rPr>
                <w:rFonts w:ascii="Times New Roman" w:eastAsia="新細明體" w:hAnsi="Times New Roman" w:cs="Times New Roman"/>
                <w:color w:val="000000" w:themeColor="text1"/>
                <w:sz w:val="18"/>
                <w:szCs w:val="18"/>
                <w:u w:color="FF0000"/>
                <w:lang w:eastAsia="zh-TW"/>
              </w:rPr>
              <w:t>: Stocks with a historical price below $\$5$ are strictly excluded from the pool to eliminate the illusion of abnormal returns caused by severe illiquidity and excessive bid-ask spreads.</w:t>
            </w:r>
          </w:p>
          <w:p w14:paraId="44C3400B" w14:textId="77777777" w:rsidR="00992512" w:rsidRPr="00992512" w:rsidRDefault="00992512" w:rsidP="00992512">
            <w:pPr>
              <w:pStyle w:val="Body"/>
              <w:numPr>
                <w:ilvl w:val="0"/>
                <w:numId w:val="18"/>
              </w:numPr>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Price-Volume Consistency Filter</w:t>
            </w:r>
            <w:r w:rsidRPr="00992512">
              <w:rPr>
                <w:rFonts w:ascii="Times New Roman" w:eastAsia="新細明體" w:hAnsi="Times New Roman" w:cs="Times New Roman"/>
                <w:color w:val="000000" w:themeColor="text1"/>
                <w:sz w:val="18"/>
                <w:szCs w:val="18"/>
                <w:u w:color="FF0000"/>
                <w:lang w:eastAsia="zh-TW"/>
              </w:rPr>
              <w:t xml:space="preserve">: Adhering to the classical framework of </w:t>
            </w:r>
            <w:proofErr w:type="spellStart"/>
            <w:r w:rsidRPr="00992512">
              <w:rPr>
                <w:rFonts w:ascii="Times New Roman" w:eastAsia="新細明體" w:hAnsi="Times New Roman" w:cs="Times New Roman"/>
                <w:color w:val="000000" w:themeColor="text1"/>
                <w:sz w:val="18"/>
                <w:szCs w:val="18"/>
                <w:u w:color="FF0000"/>
                <w:lang w:eastAsia="zh-TW"/>
              </w:rPr>
              <w:t>Gatev</w:t>
            </w:r>
            <w:proofErr w:type="spellEnd"/>
            <w:r w:rsidRPr="00992512">
              <w:rPr>
                <w:rFonts w:ascii="Times New Roman" w:eastAsia="新細明體" w:hAnsi="Times New Roman" w:cs="Times New Roman"/>
                <w:color w:val="000000" w:themeColor="text1"/>
                <w:sz w:val="18"/>
                <w:szCs w:val="18"/>
                <w:u w:color="FF0000"/>
                <w:lang w:eastAsia="zh-TW"/>
              </w:rPr>
              <w:t xml:space="preserve"> et al. (2006), equities with missing observations or non-trading intervals exceeding 5 days within any single formation period are purged to ensure time-series continuity for unsupervised feature extraction.</w:t>
            </w:r>
          </w:p>
          <w:p w14:paraId="117CB63F" w14:textId="77777777" w:rsidR="00992512" w:rsidRPr="00992512" w:rsidRDefault="00992512" w:rsidP="00992512">
            <w:pPr>
              <w:pStyle w:val="Body"/>
              <w:numPr>
                <w:ilvl w:val="0"/>
                <w:numId w:val="18"/>
              </w:numPr>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Asset Return Specification</w:t>
            </w:r>
            <w:r w:rsidRPr="00992512">
              <w:rPr>
                <w:rFonts w:ascii="Times New Roman" w:eastAsia="新細明體" w:hAnsi="Times New Roman" w:cs="Times New Roman"/>
                <w:color w:val="000000" w:themeColor="text1"/>
                <w:sz w:val="18"/>
                <w:szCs w:val="18"/>
                <w:u w:color="FF0000"/>
                <w:lang w:eastAsia="zh-TW"/>
              </w:rPr>
              <w:t xml:space="preserve">: Raw equity prices are formalized into </w:t>
            </w:r>
            <w:r w:rsidRPr="00992512">
              <w:rPr>
                <w:rFonts w:ascii="Times New Roman" w:eastAsia="新細明體" w:hAnsi="Times New Roman" w:cs="Times New Roman"/>
                <w:b/>
                <w:bCs/>
                <w:color w:val="000000" w:themeColor="text1"/>
                <w:sz w:val="18"/>
                <w:szCs w:val="18"/>
                <w:u w:color="FF0000"/>
                <w:lang w:eastAsia="zh-TW"/>
              </w:rPr>
              <w:t>dividend-reinvested and split-adjusted Total Return Indices</w:t>
            </w:r>
            <w:r w:rsidRPr="00992512">
              <w:rPr>
                <w:rFonts w:ascii="Times New Roman" w:eastAsia="新細明體" w:hAnsi="Times New Roman" w:cs="Times New Roman"/>
                <w:color w:val="000000" w:themeColor="text1"/>
                <w:sz w:val="18"/>
                <w:szCs w:val="18"/>
                <w:u w:color="FF0000"/>
                <w:lang w:eastAsia="zh-TW"/>
              </w:rPr>
              <w:t>, thereby internalizing the cumulative impact of cash distributions, stock splits, and other corporate actions.</w:t>
            </w:r>
          </w:p>
          <w:p w14:paraId="786856F7" w14:textId="40353C3D"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Walk-Forward Rolling Window Framework</w:t>
            </w:r>
            <w:r w:rsidRPr="00992512">
              <w:rPr>
                <w:rFonts w:ascii="Times New Roman" w:eastAsia="新細明體" w:hAnsi="Times New Roman" w:cs="Times New Roman"/>
                <w:color w:val="000000" w:themeColor="text1"/>
                <w:sz w:val="18"/>
                <w:szCs w:val="18"/>
                <w:u w:color="FF0000"/>
                <w:lang w:eastAsia="zh-TW"/>
              </w:rPr>
              <w:t>:</w:t>
            </w:r>
          </w:p>
          <w:p w14:paraId="55DD37E4" w14:textId="77777777"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color w:val="000000" w:themeColor="text1"/>
                <w:sz w:val="18"/>
                <w:szCs w:val="18"/>
                <w:u w:color="FF0000"/>
                <w:lang w:eastAsia="zh-TW"/>
              </w:rPr>
              <w:t xml:space="preserve">The information stream strictly enforces a continuous </w:t>
            </w:r>
            <w:r w:rsidRPr="00992512">
              <w:rPr>
                <w:rFonts w:ascii="Times New Roman" w:eastAsia="新細明體" w:hAnsi="Times New Roman" w:cs="Times New Roman"/>
                <w:b/>
                <w:bCs/>
                <w:color w:val="000000" w:themeColor="text1"/>
                <w:sz w:val="18"/>
                <w:szCs w:val="18"/>
                <w:u w:color="FF0000"/>
                <w:lang w:eastAsia="zh-TW"/>
              </w:rPr>
              <w:t>walk-forward out-of-sample validation</w:t>
            </w:r>
            <w:r w:rsidRPr="00992512">
              <w:rPr>
                <w:rFonts w:ascii="Times New Roman" w:eastAsia="新細明體" w:hAnsi="Times New Roman" w:cs="Times New Roman"/>
                <w:color w:val="000000" w:themeColor="text1"/>
                <w:sz w:val="18"/>
                <w:szCs w:val="18"/>
                <w:u w:color="FF0000"/>
                <w:lang w:eastAsia="zh-TW"/>
              </w:rPr>
              <w:t xml:space="preserve"> protocol:</w:t>
            </w:r>
          </w:p>
          <w:p w14:paraId="22B610E7" w14:textId="77777777" w:rsidR="00992512" w:rsidRPr="00992512" w:rsidRDefault="00992512" w:rsidP="00992512">
            <w:pPr>
              <w:pStyle w:val="Body"/>
              <w:numPr>
                <w:ilvl w:val="0"/>
                <w:numId w:val="19"/>
              </w:numPr>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Formation Period (Training Set)</w:t>
            </w:r>
            <w:r w:rsidRPr="00992512">
              <w:rPr>
                <w:rFonts w:ascii="Times New Roman" w:eastAsia="新細明體" w:hAnsi="Times New Roman" w:cs="Times New Roman"/>
                <w:color w:val="000000" w:themeColor="text1"/>
                <w:sz w:val="18"/>
                <w:szCs w:val="18"/>
                <w:u w:color="FF0000"/>
                <w:lang w:eastAsia="zh-TW"/>
              </w:rPr>
              <w:t>: Configured as a rolling window of 12 (or 24) months, dedicated to executing the Phase-1 unsupervised feature clustering and training/evolving the Phase-2 deep reinforcement learning (DRL) trading agent.</w:t>
            </w:r>
          </w:p>
          <w:p w14:paraId="3DB3370C" w14:textId="77777777" w:rsidR="00992512" w:rsidRPr="00992512" w:rsidRDefault="00992512" w:rsidP="00992512">
            <w:pPr>
              <w:pStyle w:val="Body"/>
              <w:numPr>
                <w:ilvl w:val="0"/>
                <w:numId w:val="19"/>
              </w:numPr>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Trading Period (Out-of-Sample Testing Set)</w:t>
            </w:r>
            <w:r w:rsidRPr="00992512">
              <w:rPr>
                <w:rFonts w:ascii="Times New Roman" w:eastAsia="新細明體" w:hAnsi="Times New Roman" w:cs="Times New Roman"/>
                <w:color w:val="000000" w:themeColor="text1"/>
                <w:sz w:val="18"/>
                <w:szCs w:val="18"/>
                <w:u w:color="FF0000"/>
                <w:lang w:eastAsia="zh-TW"/>
              </w:rPr>
              <w:t>: Configured as the consecutive 6 (or 12) months, where the trained DRL agent generates execution signals and executes arbitrage trades blindly. Any forward-looking information leakage or data-snooping across windows is structurally prohibited.</w:t>
            </w:r>
          </w:p>
          <w:p w14:paraId="40094E3F" w14:textId="4BB4CDD0" w:rsidR="004B232D" w:rsidRPr="007D1E07" w:rsidRDefault="004B232D" w:rsidP="008D1B53">
            <w:pPr>
              <w:pStyle w:val="Body"/>
              <w:jc w:val="both"/>
              <w:rPr>
                <w:rFonts w:ascii="Times New Roman" w:eastAsia="SimSun" w:hAnsi="Times New Roman" w:cs="Times New Roman"/>
                <w:color w:val="000000" w:themeColor="text1"/>
                <w:sz w:val="18"/>
                <w:szCs w:val="18"/>
                <w:u w:color="FF0000"/>
                <w:lang w:eastAsia="zh-TW"/>
              </w:rPr>
            </w:pPr>
          </w:p>
        </w:tc>
      </w:tr>
      <w:tr w:rsidR="004B232D" w14:paraId="6C224D6A" w14:textId="77777777" w:rsidTr="008D1B53">
        <w:trPr>
          <w:trHeight w:val="1110"/>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134662"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(G) Tools?</w:t>
            </w:r>
          </w:p>
          <w:p w14:paraId="707FCFBA"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研究方法</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687B2E" w14:textId="78FD4FA7"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Programmatic Data Pipeline</w:t>
            </w:r>
            <w:r w:rsidRPr="00313E10">
              <w:rPr>
                <w:rFonts w:ascii="Times New Roman" w:eastAsia="新細明體" w:hAnsi="Times New Roman" w:cs="Times New Roman"/>
                <w:color w:val="000000" w:themeColor="text1"/>
                <w:sz w:val="18"/>
                <w:szCs w:val="18"/>
                <w:u w:color="FF0000"/>
                <w:lang w:eastAsia="zh-TW"/>
              </w:rPr>
              <w:t>:</w:t>
            </w:r>
          </w:p>
          <w:p w14:paraId="1A4A7592" w14:textId="77777777"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color w:val="000000" w:themeColor="text1"/>
                <w:sz w:val="18"/>
                <w:szCs w:val="18"/>
                <w:u w:color="FF0000"/>
                <w:lang w:eastAsia="zh-TW"/>
              </w:rPr>
              <w:t xml:space="preserve">The system's data layer programmatically ingests multi-dimensional corporate fundamentals via the </w:t>
            </w:r>
            <w:r w:rsidRPr="00313E10">
              <w:rPr>
                <w:rFonts w:ascii="Times New Roman" w:eastAsia="新細明體" w:hAnsi="Times New Roman" w:cs="Times New Roman"/>
                <w:b/>
                <w:bCs/>
                <w:color w:val="000000" w:themeColor="text1"/>
                <w:sz w:val="18"/>
                <w:szCs w:val="18"/>
                <w:u w:color="FF0000"/>
                <w:lang w:eastAsia="zh-TW"/>
              </w:rPr>
              <w:t>Financial Modeling Prep (FMP)</w:t>
            </w:r>
            <w:r w:rsidRPr="00313E10">
              <w:rPr>
                <w:rFonts w:ascii="Times New Roman" w:eastAsia="新細明體" w:hAnsi="Times New Roman" w:cs="Times New Roman"/>
                <w:color w:val="000000" w:themeColor="text1"/>
                <w:sz w:val="18"/>
                <w:szCs w:val="18"/>
                <w:u w:color="FF0000"/>
                <w:lang w:eastAsia="zh-TW"/>
              </w:rPr>
              <w:t xml:space="preserve"> enterprise API. Contemporaneous split- and dividend-adjusted Total Return Indices are streamed and dual-verified via the </w:t>
            </w:r>
            <w:proofErr w:type="spellStart"/>
            <w:r w:rsidRPr="00313E10">
              <w:rPr>
                <w:rFonts w:ascii="Times New Roman" w:eastAsia="新細明體" w:hAnsi="Times New Roman" w:cs="Times New Roman"/>
                <w:b/>
                <w:bCs/>
                <w:color w:val="000000" w:themeColor="text1"/>
                <w:sz w:val="18"/>
                <w:szCs w:val="18"/>
                <w:u w:color="FF0000"/>
                <w:lang w:eastAsia="zh-TW"/>
              </w:rPr>
              <w:t>yFinance</w:t>
            </w:r>
            <w:proofErr w:type="spellEnd"/>
            <w:r w:rsidRPr="00313E10">
              <w:rPr>
                <w:rFonts w:ascii="Times New Roman" w:eastAsia="新細明體" w:hAnsi="Times New Roman" w:cs="Times New Roman"/>
                <w:color w:val="000000" w:themeColor="text1"/>
                <w:sz w:val="18"/>
                <w:szCs w:val="18"/>
                <w:u w:color="FF0000"/>
                <w:lang w:eastAsia="zh-TW"/>
              </w:rPr>
              <w:t xml:space="preserve"> and </w:t>
            </w:r>
            <w:proofErr w:type="spellStart"/>
            <w:r w:rsidRPr="00313E10">
              <w:rPr>
                <w:rFonts w:ascii="Times New Roman" w:eastAsia="新細明體" w:hAnsi="Times New Roman" w:cs="Times New Roman"/>
                <w:b/>
                <w:bCs/>
                <w:color w:val="000000" w:themeColor="text1"/>
                <w:sz w:val="18"/>
                <w:szCs w:val="18"/>
                <w:u w:color="FF0000"/>
                <w:lang w:eastAsia="zh-TW"/>
              </w:rPr>
              <w:t>Tiingo</w:t>
            </w:r>
            <w:proofErr w:type="spellEnd"/>
            <w:r w:rsidRPr="00313E10">
              <w:rPr>
                <w:rFonts w:ascii="Times New Roman" w:eastAsia="新細明體" w:hAnsi="Times New Roman" w:cs="Times New Roman"/>
                <w:color w:val="000000" w:themeColor="text1"/>
                <w:sz w:val="18"/>
                <w:szCs w:val="18"/>
                <w:u w:color="FF0000"/>
                <w:lang w:eastAsia="zh-TW"/>
              </w:rPr>
              <w:t xml:space="preserve"> financial cloud endpoints to guarantee strict cross-source alignment.</w:t>
            </w:r>
          </w:p>
          <w:p w14:paraId="358D1E0F" w14:textId="5B9FF8BC"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Phase-1: Unsupervised Clustering &amp; Pair Selection Engine</w:t>
            </w:r>
            <w:r w:rsidRPr="00313E10">
              <w:rPr>
                <w:rFonts w:ascii="Times New Roman" w:eastAsia="新細明體" w:hAnsi="Times New Roman" w:cs="Times New Roman"/>
                <w:color w:val="000000" w:themeColor="text1"/>
                <w:sz w:val="18"/>
                <w:szCs w:val="18"/>
                <w:u w:color="FF0000"/>
                <w:lang w:eastAsia="zh-TW"/>
              </w:rPr>
              <w:t>:</w:t>
            </w:r>
          </w:p>
          <w:p w14:paraId="01C6EBE3" w14:textId="77777777"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color w:val="000000" w:themeColor="text1"/>
                <w:sz w:val="18"/>
                <w:szCs w:val="18"/>
                <w:u w:color="FF0000"/>
                <w:lang w:eastAsia="zh-TW"/>
              </w:rPr>
              <w:t xml:space="preserve">Implemented within the </w:t>
            </w:r>
            <w:r w:rsidRPr="00313E10">
              <w:rPr>
                <w:rFonts w:ascii="Times New Roman" w:eastAsia="新細明體" w:hAnsi="Times New Roman" w:cs="Times New Roman"/>
                <w:b/>
                <w:bCs/>
                <w:color w:val="000000" w:themeColor="text1"/>
                <w:sz w:val="18"/>
                <w:szCs w:val="18"/>
                <w:u w:color="FF0000"/>
                <w:lang w:eastAsia="zh-TW"/>
              </w:rPr>
              <w:t>Python financial data science ecosystem</w:t>
            </w:r>
            <w:r w:rsidRPr="00313E10">
              <w:rPr>
                <w:rFonts w:ascii="Times New Roman" w:eastAsia="新細明體" w:hAnsi="Times New Roman" w:cs="Times New Roman"/>
                <w:color w:val="000000" w:themeColor="text1"/>
                <w:sz w:val="18"/>
                <w:szCs w:val="18"/>
                <w:u w:color="FF0000"/>
                <w:lang w:eastAsia="zh-TW"/>
              </w:rPr>
              <w:t xml:space="preserve"> (leveraging Scikit-learn, NumPy, and Pandas). Overturning traditional static industry sorting, this study deploys the </w:t>
            </w:r>
            <w:r w:rsidRPr="00313E10">
              <w:rPr>
                <w:rFonts w:ascii="Times New Roman" w:eastAsia="新細明體" w:hAnsi="Times New Roman" w:cs="Times New Roman"/>
                <w:b/>
                <w:bCs/>
                <w:color w:val="000000" w:themeColor="text1"/>
                <w:sz w:val="18"/>
                <w:szCs w:val="18"/>
                <w:u w:color="FF0000"/>
                <w:lang w:eastAsia="zh-TW"/>
              </w:rPr>
              <w:t>Agglomerative Hierarchical Clustering</w:t>
            </w:r>
            <w:r w:rsidRPr="00313E10">
              <w:rPr>
                <w:rFonts w:ascii="Times New Roman" w:eastAsia="新細明體" w:hAnsi="Times New Roman" w:cs="Times New Roman"/>
                <w:color w:val="000000" w:themeColor="text1"/>
                <w:sz w:val="18"/>
                <w:szCs w:val="18"/>
                <w:u w:color="FF0000"/>
                <w:lang w:eastAsia="zh-TW"/>
              </w:rPr>
              <w:t xml:space="preserve"> algorithm to project corporate fundamental metrics and historical volatility patterns </w:t>
            </w:r>
            <w:r w:rsidRPr="00313E10">
              <w:rPr>
                <w:rFonts w:ascii="Times New Roman" w:eastAsia="新細明體" w:hAnsi="Times New Roman" w:cs="Times New Roman"/>
                <w:color w:val="000000" w:themeColor="text1"/>
                <w:sz w:val="18"/>
                <w:szCs w:val="18"/>
                <w:u w:color="FF0000"/>
                <w:lang w:eastAsia="zh-TW"/>
              </w:rPr>
              <w:lastRenderedPageBreak/>
              <w:t xml:space="preserve">into a high-dimensional feature space for rolling-window partition. Equitable pairs inside each dynamic cluster are screened using the </w:t>
            </w:r>
            <w:proofErr w:type="spellStart"/>
            <w:r w:rsidRPr="00313E10">
              <w:rPr>
                <w:rFonts w:ascii="Times New Roman" w:eastAsia="新細明體" w:hAnsi="Times New Roman" w:cs="Times New Roman"/>
                <w:color w:val="000000" w:themeColor="text1"/>
                <w:sz w:val="18"/>
                <w:szCs w:val="18"/>
                <w:u w:color="FF0000"/>
                <w:lang w:eastAsia="zh-TW"/>
              </w:rPr>
              <w:t>Statsmodels</w:t>
            </w:r>
            <w:proofErr w:type="spellEnd"/>
            <w:r w:rsidRPr="00313E10">
              <w:rPr>
                <w:rFonts w:ascii="Times New Roman" w:eastAsia="新細明體" w:hAnsi="Times New Roman" w:cs="Times New Roman"/>
                <w:color w:val="000000" w:themeColor="text1"/>
                <w:sz w:val="18"/>
                <w:szCs w:val="18"/>
                <w:u w:color="FF0000"/>
                <w:lang w:eastAsia="zh-TW"/>
              </w:rPr>
              <w:t xml:space="preserve"> econometric suite via </w:t>
            </w:r>
            <w:r w:rsidRPr="00313E10">
              <w:rPr>
                <w:rFonts w:ascii="Times New Roman" w:eastAsia="新細明體" w:hAnsi="Times New Roman" w:cs="Times New Roman"/>
                <w:b/>
                <w:bCs/>
                <w:color w:val="000000" w:themeColor="text1"/>
                <w:sz w:val="18"/>
                <w:szCs w:val="18"/>
                <w:u w:color="FF0000"/>
                <w:lang w:eastAsia="zh-TW"/>
              </w:rPr>
              <w:t>Engle-Granger cointegration diagnostics</w:t>
            </w:r>
            <w:r w:rsidRPr="00313E10">
              <w:rPr>
                <w:rFonts w:ascii="Times New Roman" w:eastAsia="新細明體" w:hAnsi="Times New Roman" w:cs="Times New Roman"/>
                <w:color w:val="000000" w:themeColor="text1"/>
                <w:sz w:val="18"/>
                <w:szCs w:val="18"/>
                <w:u w:color="FF0000"/>
                <w:lang w:eastAsia="zh-TW"/>
              </w:rPr>
              <w:t>, harvesting eligible pairs characterized by highly stationary, mean-reverting residual spreads.</w:t>
            </w:r>
          </w:p>
          <w:p w14:paraId="47540D0D" w14:textId="5FF24631"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Phase-2: Deep Reinforcement Learning Execution Framework</w:t>
            </w:r>
            <w:r w:rsidRPr="00313E10">
              <w:rPr>
                <w:rFonts w:ascii="Times New Roman" w:eastAsia="新細明體" w:hAnsi="Times New Roman" w:cs="Times New Roman"/>
                <w:color w:val="000000" w:themeColor="text1"/>
                <w:sz w:val="18"/>
                <w:szCs w:val="18"/>
                <w:u w:color="FF0000"/>
                <w:lang w:eastAsia="zh-TW"/>
              </w:rPr>
              <w:t>:</w:t>
            </w:r>
          </w:p>
          <w:p w14:paraId="7E857E4B" w14:textId="77777777"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color w:val="000000" w:themeColor="text1"/>
                <w:sz w:val="18"/>
                <w:szCs w:val="18"/>
                <w:u w:color="FF0000"/>
                <w:lang w:eastAsia="zh-TW"/>
              </w:rPr>
              <w:t xml:space="preserve">The core quantitative trading optimization architecture is programmatically constructed using the </w:t>
            </w:r>
            <w:proofErr w:type="spellStart"/>
            <w:r w:rsidRPr="00313E10">
              <w:rPr>
                <w:rFonts w:ascii="Times New Roman" w:eastAsia="新細明體" w:hAnsi="Times New Roman" w:cs="Times New Roman"/>
                <w:b/>
                <w:bCs/>
                <w:color w:val="000000" w:themeColor="text1"/>
                <w:sz w:val="18"/>
                <w:szCs w:val="18"/>
                <w:u w:color="FF0000"/>
                <w:lang w:eastAsia="zh-TW"/>
              </w:rPr>
              <w:t>PyTorch</w:t>
            </w:r>
            <w:proofErr w:type="spellEnd"/>
            <w:r w:rsidRPr="00313E10">
              <w:rPr>
                <w:rFonts w:ascii="Times New Roman" w:eastAsia="新細明體" w:hAnsi="Times New Roman" w:cs="Times New Roman"/>
                <w:b/>
                <w:bCs/>
                <w:color w:val="000000" w:themeColor="text1"/>
                <w:sz w:val="18"/>
                <w:szCs w:val="18"/>
                <w:u w:color="FF0000"/>
                <w:lang w:eastAsia="zh-TW"/>
              </w:rPr>
              <w:t xml:space="preserve"> deep learning framework</w:t>
            </w:r>
            <w:r w:rsidRPr="00313E10">
              <w:rPr>
                <w:rFonts w:ascii="Times New Roman" w:eastAsia="新細明體" w:hAnsi="Times New Roman" w:cs="Times New Roman"/>
                <w:color w:val="000000" w:themeColor="text1"/>
                <w:sz w:val="18"/>
                <w:szCs w:val="18"/>
                <w:u w:color="FF0000"/>
                <w:lang w:eastAsia="zh-TW"/>
              </w:rPr>
              <w:t>.</w:t>
            </w:r>
          </w:p>
          <w:p w14:paraId="624AFA88" w14:textId="77777777" w:rsidR="00313E10" w:rsidRPr="00313E10" w:rsidRDefault="00313E10" w:rsidP="00313E10">
            <w:pPr>
              <w:pStyle w:val="Body"/>
              <w:numPr>
                <w:ilvl w:val="0"/>
                <w:numId w:val="20"/>
              </w:numPr>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Environment Encapsulation</w:t>
            </w:r>
            <w:r w:rsidRPr="00313E10">
              <w:rPr>
                <w:rFonts w:ascii="Times New Roman" w:eastAsia="新細明體" w:hAnsi="Times New Roman" w:cs="Times New Roman"/>
                <w:color w:val="000000" w:themeColor="text1"/>
                <w:sz w:val="18"/>
                <w:szCs w:val="18"/>
                <w:u w:color="FF0000"/>
                <w:lang w:eastAsia="zh-TW"/>
              </w:rPr>
              <w:t xml:space="preserve">: The reinforcement learning simulator is formalized into a high-fidelity, custom portfolio class named </w:t>
            </w:r>
            <w:proofErr w:type="spellStart"/>
            <w:r w:rsidRPr="00313E10">
              <w:rPr>
                <w:rFonts w:ascii="Times New Roman" w:eastAsia="新細明體" w:hAnsi="Times New Roman" w:cs="Times New Roman"/>
                <w:color w:val="000000" w:themeColor="text1"/>
                <w:sz w:val="18"/>
                <w:szCs w:val="18"/>
                <w:u w:color="FF0000"/>
                <w:lang w:eastAsia="zh-TW"/>
              </w:rPr>
              <w:t>PairsTradingEnv</w:t>
            </w:r>
            <w:proofErr w:type="spellEnd"/>
            <w:r w:rsidRPr="00313E10">
              <w:rPr>
                <w:rFonts w:ascii="Times New Roman" w:eastAsia="新細明體" w:hAnsi="Times New Roman" w:cs="Times New Roman"/>
                <w:color w:val="000000" w:themeColor="text1"/>
                <w:sz w:val="18"/>
                <w:szCs w:val="18"/>
                <w:u w:color="FF0000"/>
                <w:lang w:eastAsia="zh-TW"/>
              </w:rPr>
              <w:t xml:space="preserve">, strictly compliant with the standardized </w:t>
            </w:r>
            <w:r w:rsidRPr="00313E10">
              <w:rPr>
                <w:rFonts w:ascii="Times New Roman" w:eastAsia="新細明體" w:hAnsi="Times New Roman" w:cs="Times New Roman"/>
                <w:b/>
                <w:bCs/>
                <w:color w:val="000000" w:themeColor="text1"/>
                <w:sz w:val="18"/>
                <w:szCs w:val="18"/>
                <w:u w:color="FF0000"/>
                <w:lang w:eastAsia="zh-TW"/>
              </w:rPr>
              <w:t>OpenAI Gym / Gymnasium protocols</w:t>
            </w:r>
            <w:r w:rsidRPr="00313E10">
              <w:rPr>
                <w:rFonts w:ascii="Times New Roman" w:eastAsia="新細明體" w:hAnsi="Times New Roman" w:cs="Times New Roman"/>
                <w:color w:val="000000" w:themeColor="text1"/>
                <w:sz w:val="18"/>
                <w:szCs w:val="18"/>
                <w:u w:color="FF0000"/>
                <w:lang w:eastAsia="zh-TW"/>
              </w:rPr>
              <w:t>.</w:t>
            </w:r>
          </w:p>
          <w:p w14:paraId="717A13D6" w14:textId="77777777" w:rsidR="00313E10" w:rsidRPr="00313E10" w:rsidRDefault="00313E10" w:rsidP="00313E10">
            <w:pPr>
              <w:pStyle w:val="Body"/>
              <w:numPr>
                <w:ilvl w:val="0"/>
                <w:numId w:val="20"/>
              </w:numPr>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Policy Optimization Algorithms</w:t>
            </w:r>
            <w:r w:rsidRPr="00313E10">
              <w:rPr>
                <w:rFonts w:ascii="Times New Roman" w:eastAsia="新細明體" w:hAnsi="Times New Roman" w:cs="Times New Roman"/>
                <w:color w:val="000000" w:themeColor="text1"/>
                <w:sz w:val="18"/>
                <w:szCs w:val="18"/>
                <w:u w:color="FF0000"/>
                <w:lang w:eastAsia="zh-TW"/>
              </w:rPr>
              <w:t xml:space="preserve">: Modern model-free policy gradient and value-based architectures—specifically </w:t>
            </w:r>
            <w:r w:rsidRPr="00313E10">
              <w:rPr>
                <w:rFonts w:ascii="Times New Roman" w:eastAsia="新細明體" w:hAnsi="Times New Roman" w:cs="Times New Roman"/>
                <w:b/>
                <w:bCs/>
                <w:color w:val="000000" w:themeColor="text1"/>
                <w:sz w:val="18"/>
                <w:szCs w:val="18"/>
                <w:u w:color="FF0000"/>
                <w:lang w:eastAsia="zh-TW"/>
              </w:rPr>
              <w:t>Proximal Policy Optimization (PPO)</w:t>
            </w:r>
            <w:r w:rsidRPr="00313E10">
              <w:rPr>
                <w:rFonts w:ascii="Times New Roman" w:eastAsia="新細明體" w:hAnsi="Times New Roman" w:cs="Times New Roman"/>
                <w:color w:val="000000" w:themeColor="text1"/>
                <w:sz w:val="18"/>
                <w:szCs w:val="18"/>
                <w:u w:color="FF0000"/>
                <w:lang w:eastAsia="zh-TW"/>
              </w:rPr>
              <w:t xml:space="preserve"> and </w:t>
            </w:r>
            <w:r w:rsidRPr="00313E10">
              <w:rPr>
                <w:rFonts w:ascii="Times New Roman" w:eastAsia="新細明體" w:hAnsi="Times New Roman" w:cs="Times New Roman"/>
                <w:b/>
                <w:bCs/>
                <w:color w:val="000000" w:themeColor="text1"/>
                <w:sz w:val="18"/>
                <w:szCs w:val="18"/>
                <w:u w:color="FF0000"/>
                <w:lang w:eastAsia="zh-TW"/>
              </w:rPr>
              <w:t>Deep Q-Networks (DQN)</w:t>
            </w:r>
            <w:r w:rsidRPr="00313E10">
              <w:rPr>
                <w:rFonts w:ascii="Times New Roman" w:eastAsia="新細明體" w:hAnsi="Times New Roman" w:cs="Times New Roman"/>
                <w:color w:val="000000" w:themeColor="text1"/>
                <w:sz w:val="18"/>
                <w:szCs w:val="18"/>
                <w:u w:color="FF0000"/>
                <w:lang w:eastAsia="zh-TW"/>
              </w:rPr>
              <w:t>—are integrated to interpret the high-dimensional financial state space.</w:t>
            </w:r>
          </w:p>
          <w:p w14:paraId="7357F02D" w14:textId="1C540391" w:rsidR="00313E10" w:rsidRPr="00313E10" w:rsidRDefault="00313E10" w:rsidP="00313E10">
            <w:pPr>
              <w:pStyle w:val="Body"/>
              <w:numPr>
                <w:ilvl w:val="0"/>
                <w:numId w:val="20"/>
              </w:numPr>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Dynamic Decision Mechanics</w:t>
            </w:r>
            <w:r w:rsidRPr="00313E10">
              <w:rPr>
                <w:rFonts w:ascii="Times New Roman" w:eastAsia="新細明體" w:hAnsi="Times New Roman" w:cs="Times New Roman"/>
                <w:color w:val="000000" w:themeColor="text1"/>
                <w:sz w:val="18"/>
                <w:szCs w:val="18"/>
                <w:u w:color="FF0000"/>
                <w:lang w:eastAsia="zh-TW"/>
              </w:rPr>
              <w:t xml:space="preserve">: Driven by real-time environment feedbacks, the DRL agent adaptively updates the non-linear execution boundaries (Z-score entry/exit thresholds and stop-loss triggers) and algorithmically fine-tunes the </w:t>
            </w:r>
            <w:r w:rsidRPr="00313E10">
              <w:rPr>
                <w:rFonts w:ascii="Times New Roman" w:eastAsia="新細明體" w:hAnsi="Times New Roman" w:cs="Times New Roman"/>
                <w:b/>
                <w:bCs/>
                <w:color w:val="000000" w:themeColor="text1"/>
                <w:sz w:val="18"/>
                <w:szCs w:val="18"/>
                <w:u w:color="FF0000"/>
                <w:lang w:eastAsia="zh-TW"/>
              </w:rPr>
              <w:t>Dynamic Cointegration Hedge Ratio (</w:t>
            </w: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β</m:t>
                  </m:r>
                </m:e>
                <m:sub>
                  <m:r>
                    <m:rPr>
                      <m:sty m:val="bi"/>
                    </m:rPr>
                    <w:rPr>
                      <w:rFonts w:ascii="Cambria Math" w:eastAsia="新細明體" w:hAnsi="Cambria Math" w:cs="Times New Roman"/>
                      <w:color w:val="000000" w:themeColor="text1"/>
                      <w:sz w:val="18"/>
                      <w:szCs w:val="18"/>
                      <w:u w:color="FF0000"/>
                      <w:lang w:eastAsia="zh-TW"/>
                    </w:rPr>
                    <m:t>t</m:t>
                  </m:r>
                </m:sub>
              </m:sSub>
            </m:oMath>
            <w:r w:rsidRPr="00313E10">
              <w:rPr>
                <w:rFonts w:ascii="Times New Roman" w:eastAsia="新細明體" w:hAnsi="Times New Roman" w:cs="Times New Roman"/>
                <w:b/>
                <w:bCs/>
                <w:color w:val="000000" w:themeColor="text1"/>
                <w:sz w:val="18"/>
                <w:szCs w:val="18"/>
                <w:u w:color="FF0000"/>
                <w:lang w:eastAsia="zh-TW"/>
              </w:rPr>
              <w:t>)</w:t>
            </w:r>
            <w:r w:rsidRPr="00313E10">
              <w:rPr>
                <w:rFonts w:ascii="Times New Roman" w:eastAsia="新細明體" w:hAnsi="Times New Roman" w:cs="Times New Roman"/>
                <w:color w:val="000000" w:themeColor="text1"/>
                <w:sz w:val="18"/>
                <w:szCs w:val="18"/>
                <w:u w:color="FF0000"/>
                <w:lang w:eastAsia="zh-TW"/>
              </w:rPr>
              <w:t xml:space="preserve"> for risk-managed asset allocation, neutralizing tail-risk exposure caused by permanent structural pair breaks.</w:t>
            </w:r>
          </w:p>
          <w:p w14:paraId="0FA5DCDF" w14:textId="56C07FBE"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Computational Infrastructure</w:t>
            </w:r>
            <w:r w:rsidRPr="00313E10">
              <w:rPr>
                <w:rFonts w:ascii="Times New Roman" w:eastAsia="新細明體" w:hAnsi="Times New Roman" w:cs="Times New Roman"/>
                <w:color w:val="000000" w:themeColor="text1"/>
                <w:sz w:val="18"/>
                <w:szCs w:val="18"/>
                <w:u w:color="FF0000"/>
                <w:lang w:eastAsia="zh-TW"/>
              </w:rPr>
              <w:t>:</w:t>
            </w:r>
          </w:p>
          <w:p w14:paraId="6917077D" w14:textId="77777777"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color w:val="000000" w:themeColor="text1"/>
                <w:sz w:val="18"/>
                <w:szCs w:val="18"/>
                <w:u w:color="FF0000"/>
                <w:lang w:eastAsia="zh-TW"/>
              </w:rPr>
              <w:t xml:space="preserve">The holistic system is operationalized under a high-performance </w:t>
            </w:r>
            <w:r w:rsidRPr="00313E10">
              <w:rPr>
                <w:rFonts w:ascii="Times New Roman" w:eastAsia="新細明體" w:hAnsi="Times New Roman" w:cs="Times New Roman"/>
                <w:b/>
                <w:bCs/>
                <w:color w:val="000000" w:themeColor="text1"/>
                <w:sz w:val="18"/>
                <w:szCs w:val="18"/>
                <w:u w:color="FF0000"/>
                <w:lang w:eastAsia="zh-TW"/>
              </w:rPr>
              <w:t>Python 3.10+ development environment</w:t>
            </w:r>
            <w:r w:rsidRPr="00313E10">
              <w:rPr>
                <w:rFonts w:ascii="Times New Roman" w:eastAsia="新細明體" w:hAnsi="Times New Roman" w:cs="Times New Roman"/>
                <w:color w:val="000000" w:themeColor="text1"/>
                <w:sz w:val="18"/>
                <w:szCs w:val="18"/>
                <w:u w:color="FF0000"/>
                <w:lang w:eastAsia="zh-TW"/>
              </w:rPr>
              <w:t xml:space="preserve">. Continuous time-series econometric estimations are computed using </w:t>
            </w:r>
            <w:proofErr w:type="spellStart"/>
            <w:r w:rsidRPr="00313E10">
              <w:rPr>
                <w:rFonts w:ascii="Times New Roman" w:eastAsia="新細明體" w:hAnsi="Times New Roman" w:cs="Times New Roman"/>
                <w:color w:val="000000" w:themeColor="text1"/>
                <w:sz w:val="18"/>
                <w:szCs w:val="18"/>
                <w:u w:color="FF0000"/>
                <w:lang w:eastAsia="zh-TW"/>
              </w:rPr>
              <w:t>Statsmodels</w:t>
            </w:r>
            <w:proofErr w:type="spellEnd"/>
            <w:r w:rsidRPr="00313E10">
              <w:rPr>
                <w:rFonts w:ascii="Times New Roman" w:eastAsia="新細明體" w:hAnsi="Times New Roman" w:cs="Times New Roman"/>
                <w:color w:val="000000" w:themeColor="text1"/>
                <w:sz w:val="18"/>
                <w:szCs w:val="18"/>
                <w:u w:color="FF0000"/>
                <w:lang w:eastAsia="zh-TW"/>
              </w:rPr>
              <w:t xml:space="preserve">, whereas neural network configurations, loss-function backpropagation, and policy gradient matrix updates are processed utilizing the </w:t>
            </w:r>
            <w:proofErr w:type="spellStart"/>
            <w:r w:rsidRPr="00313E10">
              <w:rPr>
                <w:rFonts w:ascii="Times New Roman" w:eastAsia="新細明體" w:hAnsi="Times New Roman" w:cs="Times New Roman"/>
                <w:color w:val="000000" w:themeColor="text1"/>
                <w:sz w:val="18"/>
                <w:szCs w:val="18"/>
                <w:u w:color="FF0000"/>
                <w:lang w:eastAsia="zh-TW"/>
              </w:rPr>
              <w:t>PyTorch</w:t>
            </w:r>
            <w:proofErr w:type="spellEnd"/>
            <w:r w:rsidRPr="00313E10">
              <w:rPr>
                <w:rFonts w:ascii="Times New Roman" w:eastAsia="新細明體" w:hAnsi="Times New Roman" w:cs="Times New Roman"/>
                <w:color w:val="000000" w:themeColor="text1"/>
                <w:sz w:val="18"/>
                <w:szCs w:val="18"/>
                <w:u w:color="FF0000"/>
                <w:lang w:eastAsia="zh-TW"/>
              </w:rPr>
              <w:t xml:space="preserve"> engine with native CUDA hardware acceleration to maximize parallel processing throughput across rolling windows.</w:t>
            </w:r>
          </w:p>
          <w:p w14:paraId="2884078C" w14:textId="67D3CCE6" w:rsidR="008C3F34" w:rsidRPr="00313E10" w:rsidRDefault="008C3F34" w:rsidP="008C3F34">
            <w:pPr>
              <w:pStyle w:val="Body"/>
              <w:jc w:val="both"/>
              <w:rPr>
                <w:rFonts w:ascii="Times New Roman" w:eastAsia="新細明體" w:hAnsi="Times New Roman" w:cs="Times New Roman"/>
                <w:color w:val="000000" w:themeColor="text1"/>
                <w:sz w:val="18"/>
                <w:szCs w:val="18"/>
                <w:u w:color="FF0000"/>
                <w:lang w:eastAsia="zh-TW"/>
              </w:rPr>
            </w:pPr>
          </w:p>
        </w:tc>
      </w:tr>
      <w:tr w:rsidR="004B232D" w14:paraId="6D6F406F" w14:textId="77777777" w:rsidTr="008D1B53">
        <w:trPr>
          <w:trHeight w:val="251"/>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7B00C740"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TWO</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7E8EA3E"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Two</w:t>
            </w:r>
            <w:r w:rsidRPr="00E93CA1">
              <w:rPr>
                <w:rFonts w:ascii="Times New Roman" w:eastAsia="新細明體" w:hAnsi="Times New Roman" w:cs="Times New Roman"/>
                <w:sz w:val="18"/>
                <w:szCs w:val="18"/>
                <w:u w:color="000000"/>
                <w:lang w:eastAsia="zh-TW"/>
              </w:rPr>
              <w:t xml:space="preserve"> key questions </w:t>
            </w:r>
            <w:r w:rsidRPr="00E93CA1">
              <w:rPr>
                <w:rFonts w:ascii="SimSun" w:eastAsia="新細明體" w:hAnsi="SimSun" w:cs="SimSun" w:hint="eastAsia"/>
                <w:sz w:val="18"/>
                <w:szCs w:val="18"/>
                <w:u w:color="000000"/>
                <w:lang w:eastAsia="zh-TW"/>
              </w:rPr>
              <w:t>兩個重要的問題</w:t>
            </w:r>
          </w:p>
        </w:tc>
      </w:tr>
      <w:tr w:rsidR="004B232D" w14:paraId="371A1EBD" w14:textId="77777777" w:rsidTr="008D1B53">
        <w:trPr>
          <w:trHeight w:val="939"/>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07E273"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(H) What’s New?</w:t>
            </w:r>
          </w:p>
          <w:p w14:paraId="298746FF"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創新點</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053EB1" w14:textId="77777777" w:rsidR="00BF6B1A" w:rsidRPr="00BF6B1A" w:rsidRDefault="00BF6B1A" w:rsidP="00BF6B1A">
            <w:pPr>
              <w:pStyle w:val="Body"/>
              <w:jc w:val="both"/>
              <w:rPr>
                <w:rFonts w:ascii="Times New Roman" w:eastAsia="新細明體" w:hAnsi="Times New Roman" w:cs="Times New Roman"/>
                <w:b/>
                <w:bCs/>
                <w:color w:val="000000" w:themeColor="text1"/>
                <w:sz w:val="18"/>
                <w:szCs w:val="18"/>
                <w:u w:color="FF0000"/>
                <w:lang w:eastAsia="zh-TW"/>
              </w:rPr>
            </w:pPr>
            <w:r w:rsidRPr="00BF6B1A">
              <w:rPr>
                <w:rFonts w:ascii="Times New Roman" w:eastAsia="新細明體" w:hAnsi="Times New Roman" w:cs="Times New Roman"/>
                <w:b/>
                <w:bCs/>
                <w:color w:val="000000" w:themeColor="text1"/>
                <w:sz w:val="18"/>
                <w:szCs w:val="18"/>
                <w:u w:color="FF0000"/>
                <w:lang w:eastAsia="zh-TW"/>
              </w:rPr>
              <w:t>1. Limitations of Existing Literature (The Methodological Decoupling Bottleneck)</w:t>
            </w:r>
          </w:p>
          <w:p w14:paraId="4842D548" w14:textId="77777777" w:rsidR="00BF6B1A" w:rsidRPr="00BF6B1A" w:rsidRDefault="00BF6B1A" w:rsidP="00BF6B1A">
            <w:pPr>
              <w:pStyle w:val="Body"/>
              <w:numPr>
                <w:ilvl w:val="0"/>
                <w:numId w:val="21"/>
              </w:numPr>
              <w:jc w:val="both"/>
              <w:rPr>
                <w:rFonts w:ascii="Times New Roman" w:eastAsia="新細明體" w:hAnsi="Times New Roman" w:cs="Times New Roman"/>
                <w:color w:val="000000" w:themeColor="text1"/>
                <w:sz w:val="18"/>
                <w:szCs w:val="18"/>
                <w:u w:color="FF0000"/>
                <w:lang w:eastAsia="zh-TW"/>
              </w:rPr>
            </w:pPr>
            <w:r w:rsidRPr="00BF6B1A">
              <w:rPr>
                <w:rFonts w:ascii="Times New Roman" w:eastAsia="新細明體" w:hAnsi="Times New Roman" w:cs="Times New Roman"/>
                <w:b/>
                <w:bCs/>
                <w:color w:val="000000" w:themeColor="text1"/>
                <w:sz w:val="18"/>
                <w:szCs w:val="18"/>
                <w:u w:color="FF0000"/>
                <w:lang w:eastAsia="zh-TW"/>
              </w:rPr>
              <w:t>Static Execution Frictions in Isolated Unsupervised Clustering</w:t>
            </w:r>
            <w:r w:rsidRPr="00BF6B1A">
              <w:rPr>
                <w:rFonts w:ascii="Times New Roman" w:eastAsia="新細明體" w:hAnsi="Times New Roman" w:cs="Times New Roman"/>
                <w:color w:val="000000" w:themeColor="text1"/>
                <w:sz w:val="18"/>
                <w:szCs w:val="18"/>
                <w:u w:color="FF0000"/>
                <w:lang w:eastAsia="zh-TW"/>
              </w:rPr>
              <w:t xml:space="preserve">: </w:t>
            </w:r>
            <w:r w:rsidRPr="00BF6B1A">
              <w:rPr>
                <w:rFonts w:ascii="Times New Roman" w:eastAsia="新細明體" w:hAnsi="Times New Roman" w:cs="Times New Roman"/>
                <w:i/>
                <w:iCs/>
                <w:color w:val="000000" w:themeColor="text1"/>
                <w:sz w:val="18"/>
                <w:szCs w:val="18"/>
                <w:u w:color="FF0000"/>
                <w:lang w:eastAsia="zh-TW"/>
              </w:rPr>
              <w:t>Although recent pioneering studies (e.g., Han et al., 2023) have demonstrated that unsupervised machine learning—such as Agglomerative Hierarchical Clustering—can successfully transcend rigid GICS industry boundaries to discover cross-industry asset pairs with latent economic co-movements, their execution frameworks remain path-dependent. These frameworks typically fall back on conventional, linear "fixed $Z\text{-score}$ thresholds" during the trading phase, failing to adapt to the non-stationarity of tracking spreads and exposing the system to catastrophic drawdowns during structural breaks.</w:t>
            </w:r>
          </w:p>
          <w:p w14:paraId="46FD01D9" w14:textId="77777777" w:rsidR="00BF6B1A" w:rsidRPr="00BF6B1A" w:rsidRDefault="00BF6B1A" w:rsidP="00BF6B1A">
            <w:pPr>
              <w:pStyle w:val="Body"/>
              <w:numPr>
                <w:ilvl w:val="0"/>
                <w:numId w:val="21"/>
              </w:numPr>
              <w:jc w:val="both"/>
              <w:rPr>
                <w:rFonts w:ascii="Times New Roman" w:eastAsia="新細明體" w:hAnsi="Times New Roman" w:cs="Times New Roman"/>
                <w:color w:val="000000" w:themeColor="text1"/>
                <w:sz w:val="18"/>
                <w:szCs w:val="18"/>
                <w:u w:color="FF0000"/>
                <w:lang w:eastAsia="zh-TW"/>
              </w:rPr>
            </w:pPr>
            <w:r w:rsidRPr="00BF6B1A">
              <w:rPr>
                <w:rFonts w:ascii="Times New Roman" w:eastAsia="新細明體" w:hAnsi="Times New Roman" w:cs="Times New Roman"/>
                <w:b/>
                <w:bCs/>
                <w:color w:val="000000" w:themeColor="text1"/>
                <w:sz w:val="18"/>
                <w:szCs w:val="18"/>
                <w:u w:color="FF0000"/>
                <w:lang w:eastAsia="zh-TW"/>
              </w:rPr>
              <w:t>Asset Pool Constraints in Isolated Deep Reinforcement Learning</w:t>
            </w:r>
            <w:r w:rsidRPr="00BF6B1A">
              <w:rPr>
                <w:rFonts w:ascii="Times New Roman" w:eastAsia="新細明體" w:hAnsi="Times New Roman" w:cs="Times New Roman"/>
                <w:color w:val="000000" w:themeColor="text1"/>
                <w:sz w:val="18"/>
                <w:szCs w:val="18"/>
                <w:u w:color="FF0000"/>
                <w:lang w:eastAsia="zh-TW"/>
              </w:rPr>
              <w:t xml:space="preserve">: </w:t>
            </w:r>
            <w:r w:rsidRPr="00BF6B1A">
              <w:rPr>
                <w:rFonts w:ascii="Times New Roman" w:eastAsia="新細明體" w:hAnsi="Times New Roman" w:cs="Times New Roman"/>
                <w:i/>
                <w:iCs/>
                <w:color w:val="000000" w:themeColor="text1"/>
                <w:sz w:val="18"/>
                <w:szCs w:val="18"/>
                <w:u w:color="FF0000"/>
                <w:lang w:eastAsia="zh-TW"/>
              </w:rPr>
              <w:t>Conversely, literature focused on intelligent trade execution (e.g., Kim &amp; Kim, 2019) successfully deploys Deep Reinforcement Learning (DRL) to dynamically optimize entry, exit, and stop-loss boundaries under volatile market conditions. However, the environmental state space of these DRL agents is universally constrained by pre-selected, static asset pools or rigid intra-industry pairs, completely lacking a market-wide, data-driven mechanism for cross-industry asset discovery and rolling replenishment.</w:t>
            </w:r>
          </w:p>
          <w:p w14:paraId="733CC1BD" w14:textId="77777777" w:rsidR="00BF6B1A" w:rsidRPr="00BF6B1A" w:rsidRDefault="00BF6B1A" w:rsidP="00BF6B1A">
            <w:pPr>
              <w:pStyle w:val="Body"/>
              <w:jc w:val="both"/>
              <w:rPr>
                <w:rFonts w:ascii="Times New Roman" w:eastAsia="新細明體" w:hAnsi="Times New Roman" w:cs="Times New Roman"/>
                <w:b/>
                <w:bCs/>
                <w:color w:val="000000" w:themeColor="text1"/>
                <w:sz w:val="18"/>
                <w:szCs w:val="18"/>
                <w:u w:color="FF0000"/>
                <w:lang w:eastAsia="zh-TW"/>
              </w:rPr>
            </w:pPr>
            <w:r w:rsidRPr="00BF6B1A">
              <w:rPr>
                <w:rFonts w:ascii="Times New Roman" w:eastAsia="新細明體" w:hAnsi="Times New Roman" w:cs="Times New Roman"/>
                <w:b/>
                <w:bCs/>
                <w:color w:val="000000" w:themeColor="text1"/>
                <w:sz w:val="18"/>
                <w:szCs w:val="18"/>
                <w:u w:color="FF0000"/>
                <w:lang w:eastAsia="zh-TW"/>
              </w:rPr>
              <w:t>2. Core Hybrid Innovation of This Study (Unified Two-Stage End-to-End Adaptive Pipeline)</w:t>
            </w:r>
          </w:p>
          <w:p w14:paraId="7CE15CAD" w14:textId="77777777" w:rsidR="00BF6B1A" w:rsidRPr="00BF6B1A" w:rsidRDefault="00BF6B1A" w:rsidP="00BF6B1A">
            <w:pPr>
              <w:pStyle w:val="Body"/>
              <w:jc w:val="both"/>
              <w:rPr>
                <w:rFonts w:ascii="Times New Roman" w:eastAsia="新細明體" w:hAnsi="Times New Roman" w:cs="Times New Roman"/>
                <w:color w:val="000000" w:themeColor="text1"/>
                <w:sz w:val="18"/>
                <w:szCs w:val="18"/>
                <w:u w:color="FF0000"/>
                <w:lang w:eastAsia="zh-TW"/>
              </w:rPr>
            </w:pPr>
            <w:r w:rsidRPr="00BF6B1A">
              <w:rPr>
                <w:rFonts w:ascii="Times New Roman" w:eastAsia="新細明體" w:hAnsi="Times New Roman" w:cs="Times New Roman"/>
                <w:i/>
                <w:iCs/>
                <w:color w:val="000000" w:themeColor="text1"/>
                <w:sz w:val="18"/>
                <w:szCs w:val="18"/>
                <w:u w:color="FF0000"/>
                <w:lang w:eastAsia="zh-TW"/>
              </w:rPr>
              <w:t xml:space="preserve">Bridging the academic and practical gap of systemic decoupling between pair selection and tactical execution, this study proposes a novel </w:t>
            </w:r>
            <w:r w:rsidRPr="00BF6B1A">
              <w:rPr>
                <w:rFonts w:ascii="Times New Roman" w:eastAsia="新細明體" w:hAnsi="Times New Roman" w:cs="Times New Roman"/>
                <w:b/>
                <w:bCs/>
                <w:i/>
                <w:iCs/>
                <w:color w:val="000000" w:themeColor="text1"/>
                <w:sz w:val="18"/>
                <w:szCs w:val="18"/>
                <w:u w:color="FF0000"/>
                <w:lang w:eastAsia="zh-TW"/>
              </w:rPr>
              <w:t>"Unified Two-Stage End-to-End Adaptive Pipeline"</w:t>
            </w:r>
            <w:r w:rsidRPr="00BF6B1A">
              <w:rPr>
                <w:rFonts w:ascii="Times New Roman" w:eastAsia="新細明體" w:hAnsi="Times New Roman" w:cs="Times New Roman"/>
                <w:i/>
                <w:iCs/>
                <w:color w:val="000000" w:themeColor="text1"/>
                <w:sz w:val="18"/>
                <w:szCs w:val="18"/>
                <w:u w:color="FF0000"/>
                <w:lang w:eastAsia="zh-TW"/>
              </w:rPr>
              <w:t xml:space="preserve"> that fully couples dual artificial intelligence paradigms:</w:t>
            </w:r>
          </w:p>
          <w:p w14:paraId="6CAD6423" w14:textId="77777777" w:rsidR="00BF6B1A" w:rsidRPr="00BF6B1A" w:rsidRDefault="00BF6B1A" w:rsidP="00BF6B1A">
            <w:pPr>
              <w:pStyle w:val="Body"/>
              <w:numPr>
                <w:ilvl w:val="0"/>
                <w:numId w:val="22"/>
              </w:numPr>
              <w:jc w:val="both"/>
              <w:rPr>
                <w:rFonts w:ascii="Times New Roman" w:eastAsia="新細明體" w:hAnsi="Times New Roman" w:cs="Times New Roman"/>
                <w:color w:val="000000" w:themeColor="text1"/>
                <w:sz w:val="18"/>
                <w:szCs w:val="18"/>
                <w:u w:color="FF0000"/>
                <w:lang w:eastAsia="zh-TW"/>
              </w:rPr>
            </w:pPr>
            <w:r w:rsidRPr="00BF6B1A">
              <w:rPr>
                <w:rFonts w:ascii="Times New Roman" w:eastAsia="新細明體" w:hAnsi="Times New Roman" w:cs="Times New Roman"/>
                <w:b/>
                <w:bCs/>
                <w:color w:val="000000" w:themeColor="text1"/>
                <w:sz w:val="18"/>
                <w:szCs w:val="18"/>
                <w:u w:color="FF0000"/>
                <w:lang w:eastAsia="zh-TW"/>
              </w:rPr>
              <w:t>Phase-1: Data-Driven Non-linear Asset Discovery</w:t>
            </w:r>
            <w:r w:rsidRPr="00BF6B1A">
              <w:rPr>
                <w:rFonts w:ascii="Times New Roman" w:eastAsia="新細明體" w:hAnsi="Times New Roman" w:cs="Times New Roman"/>
                <w:color w:val="000000" w:themeColor="text1"/>
                <w:sz w:val="18"/>
                <w:szCs w:val="18"/>
                <w:u w:color="FF0000"/>
                <w:lang w:eastAsia="zh-TW"/>
              </w:rPr>
              <w:t xml:space="preserve">: </w:t>
            </w:r>
            <w:r w:rsidRPr="00BF6B1A">
              <w:rPr>
                <w:rFonts w:ascii="Times New Roman" w:eastAsia="新細明體" w:hAnsi="Times New Roman" w:cs="Times New Roman"/>
                <w:i/>
                <w:iCs/>
                <w:color w:val="000000" w:themeColor="text1"/>
                <w:sz w:val="18"/>
                <w:szCs w:val="18"/>
                <w:u w:color="FF0000"/>
                <w:lang w:eastAsia="zh-TW"/>
              </w:rPr>
              <w:t>Deploys unsupervised feature clustering to programmatically unearth cross-industry statistical cointegration pairs characterized by latent macroeconomic links, thereby immunizing the underlying portfolio against idiosyncratic sector shocks (black swan events).</w:t>
            </w:r>
          </w:p>
          <w:p w14:paraId="52E78654" w14:textId="77777777" w:rsidR="00BF6B1A" w:rsidRPr="00BF6B1A" w:rsidRDefault="00BF6B1A" w:rsidP="00BF6B1A">
            <w:pPr>
              <w:pStyle w:val="Body"/>
              <w:numPr>
                <w:ilvl w:val="0"/>
                <w:numId w:val="22"/>
              </w:numPr>
              <w:jc w:val="both"/>
              <w:rPr>
                <w:rFonts w:ascii="Times New Roman" w:eastAsia="新細明體" w:hAnsi="Times New Roman" w:cs="Times New Roman"/>
                <w:color w:val="000000" w:themeColor="text1"/>
                <w:sz w:val="18"/>
                <w:szCs w:val="18"/>
                <w:u w:color="FF0000"/>
                <w:lang w:eastAsia="zh-TW"/>
              </w:rPr>
            </w:pPr>
            <w:r w:rsidRPr="00BF6B1A">
              <w:rPr>
                <w:rFonts w:ascii="Times New Roman" w:eastAsia="新細明體" w:hAnsi="Times New Roman" w:cs="Times New Roman"/>
                <w:b/>
                <w:bCs/>
                <w:color w:val="000000" w:themeColor="text1"/>
                <w:sz w:val="18"/>
                <w:szCs w:val="18"/>
                <w:u w:color="FF0000"/>
                <w:lang w:eastAsia="zh-TW"/>
              </w:rPr>
              <w:t>Phase-2: High-Dimensional State-Space Synthesis</w:t>
            </w:r>
            <w:r w:rsidRPr="00BF6B1A">
              <w:rPr>
                <w:rFonts w:ascii="Times New Roman" w:eastAsia="新細明體" w:hAnsi="Times New Roman" w:cs="Times New Roman"/>
                <w:color w:val="000000" w:themeColor="text1"/>
                <w:sz w:val="18"/>
                <w:szCs w:val="18"/>
                <w:u w:color="FF0000"/>
                <w:lang w:eastAsia="zh-TW"/>
              </w:rPr>
              <w:t xml:space="preserve">: </w:t>
            </w:r>
            <w:r w:rsidRPr="00BF6B1A">
              <w:rPr>
                <w:rFonts w:ascii="Times New Roman" w:eastAsia="新細明體" w:hAnsi="Times New Roman" w:cs="Times New Roman"/>
                <w:i/>
                <w:iCs/>
                <w:color w:val="000000" w:themeColor="text1"/>
                <w:sz w:val="18"/>
                <w:szCs w:val="18"/>
                <w:u w:color="FF0000"/>
                <w:lang w:eastAsia="zh-TW"/>
              </w:rPr>
              <w:t xml:space="preserve">Overturning the conventional disconnected sequential design, this system algorithmically maps the </w:t>
            </w:r>
            <w:r w:rsidRPr="00BF6B1A">
              <w:rPr>
                <w:rFonts w:ascii="Times New Roman" w:eastAsia="新細明體" w:hAnsi="Times New Roman" w:cs="Times New Roman"/>
                <w:b/>
                <w:bCs/>
                <w:i/>
                <w:iCs/>
                <w:color w:val="000000" w:themeColor="text1"/>
                <w:sz w:val="18"/>
                <w:szCs w:val="18"/>
                <w:u w:color="FF0000"/>
                <w:lang w:eastAsia="zh-TW"/>
              </w:rPr>
              <w:t>time-varying Beta-hedged residual spreads</w:t>
            </w:r>
            <w:r w:rsidRPr="00BF6B1A">
              <w:rPr>
                <w:rFonts w:ascii="Times New Roman" w:eastAsia="新細明體" w:hAnsi="Times New Roman" w:cs="Times New Roman"/>
                <w:i/>
                <w:iCs/>
                <w:color w:val="000000" w:themeColor="text1"/>
                <w:sz w:val="18"/>
                <w:szCs w:val="18"/>
                <w:u w:color="FF0000"/>
                <w:lang w:eastAsia="zh-TW"/>
              </w:rPr>
              <w:t xml:space="preserve"> generated in Phase-1 directly into the continuous environmental state space of a DRL agent (such as PPO or DQN).</w:t>
            </w:r>
          </w:p>
          <w:p w14:paraId="4E809D29" w14:textId="10E70F64" w:rsidR="008C3F34" w:rsidRPr="00BF6B1A" w:rsidRDefault="00BF6B1A" w:rsidP="00B71C4F">
            <w:pPr>
              <w:pStyle w:val="Body"/>
              <w:jc w:val="both"/>
              <w:rPr>
                <w:rFonts w:ascii="Times New Roman" w:eastAsia="新細明體" w:hAnsi="Times New Roman" w:cs="Times New Roman" w:hint="eastAsia"/>
                <w:color w:val="000000" w:themeColor="text1"/>
                <w:sz w:val="18"/>
                <w:szCs w:val="18"/>
                <w:u w:color="FF0000"/>
                <w:lang w:eastAsia="zh-TW"/>
              </w:rPr>
            </w:pPr>
            <w:r w:rsidRPr="00BF6B1A">
              <w:rPr>
                <w:rFonts w:ascii="Times New Roman" w:eastAsia="新細明體" w:hAnsi="Times New Roman" w:cs="Times New Roman"/>
                <w:i/>
                <w:iCs/>
                <w:color w:val="000000" w:themeColor="text1"/>
                <w:sz w:val="18"/>
                <w:szCs w:val="18"/>
                <w:u w:color="FF0000"/>
                <w:lang w:eastAsia="zh-TW"/>
              </w:rPr>
              <w:t>By unifying "cross-industry statistical arbitrage synthesis" and "real-time algorithmic wind-control execution" into a programmatic closed loop, this framework fundamentally resolves the vulnerability of statistical arbitrage to regime shifts, contributing a robust, adaptive methodology to the quantitative finance literature.</w:t>
            </w:r>
          </w:p>
        </w:tc>
      </w:tr>
      <w:tr w:rsidR="004B232D" w14:paraId="50B4D305" w14:textId="77777777" w:rsidTr="008D1B53">
        <w:trPr>
          <w:trHeight w:val="428"/>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1A0145" w14:textId="77777777" w:rsidR="004B232D" w:rsidRPr="007730CA" w:rsidRDefault="00E93CA1" w:rsidP="004B232D">
            <w:pPr>
              <w:pStyle w:val="Body"/>
              <w:numPr>
                <w:ilvl w:val="0"/>
                <w:numId w:val="2"/>
              </w:numPr>
              <w:ind w:left="360" w:hanging="360"/>
              <w:jc w:val="both"/>
              <w:rPr>
                <w:rFonts w:ascii="Times New Roman" w:eastAsia="Calibri"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So What?</w:t>
            </w:r>
          </w:p>
          <w:p w14:paraId="00AF67EC"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為什麼？</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BF359E" w14:textId="00C264F8" w:rsidR="00550654" w:rsidRPr="00550654" w:rsidRDefault="00550654" w:rsidP="00550654">
            <w:pPr>
              <w:pStyle w:val="Body"/>
              <w:jc w:val="both"/>
              <w:rPr>
                <w:rFonts w:ascii="Times New Roman" w:eastAsia="新細明體" w:hAnsi="Times New Roman" w:cs="Times New Roman"/>
                <w:color w:val="000000" w:themeColor="text1"/>
                <w:sz w:val="18"/>
                <w:szCs w:val="18"/>
                <w:u w:color="FF0000"/>
                <w:lang w:eastAsia="zh-TW"/>
              </w:rPr>
            </w:pPr>
            <w:r w:rsidRPr="00550654">
              <w:rPr>
                <w:rFonts w:ascii="Times New Roman" w:eastAsia="新細明體" w:hAnsi="Times New Roman" w:cs="Times New Roman"/>
                <w:b/>
                <w:bCs/>
                <w:color w:val="000000" w:themeColor="text1"/>
                <w:sz w:val="18"/>
                <w:szCs w:val="18"/>
                <w:u w:color="FF0000"/>
                <w:lang w:eastAsia="zh-TW"/>
              </w:rPr>
              <w:t>Enhancing Strategy Adaptability and Survival in Non-Stationary Markets</w:t>
            </w:r>
            <w:r w:rsidRPr="00550654">
              <w:rPr>
                <w:rFonts w:ascii="Times New Roman" w:eastAsia="新細明體" w:hAnsi="Times New Roman" w:cs="Times New Roman"/>
                <w:color w:val="000000" w:themeColor="text1"/>
                <w:sz w:val="18"/>
                <w:szCs w:val="18"/>
                <w:u w:color="FF0000"/>
                <w:lang w:eastAsia="zh-TW"/>
              </w:rPr>
              <w:t>:</w:t>
            </w:r>
          </w:p>
          <w:p w14:paraId="57789F07" w14:textId="77777777" w:rsidR="00550654" w:rsidRPr="00550654" w:rsidRDefault="00550654" w:rsidP="00550654">
            <w:pPr>
              <w:pStyle w:val="Body"/>
              <w:jc w:val="both"/>
              <w:rPr>
                <w:rFonts w:ascii="Times New Roman" w:eastAsia="新細明體" w:hAnsi="Times New Roman" w:cs="Times New Roman"/>
                <w:color w:val="000000" w:themeColor="text1"/>
                <w:sz w:val="18"/>
                <w:szCs w:val="18"/>
                <w:u w:color="FF0000"/>
                <w:lang w:eastAsia="zh-TW"/>
              </w:rPr>
            </w:pPr>
            <w:r w:rsidRPr="00550654">
              <w:rPr>
                <w:rFonts w:ascii="Times New Roman" w:eastAsia="新細明體" w:hAnsi="Times New Roman" w:cs="Times New Roman"/>
                <w:i/>
                <w:iCs/>
                <w:color w:val="000000" w:themeColor="text1"/>
                <w:sz w:val="18"/>
                <w:szCs w:val="18"/>
                <w:u w:color="FF0000"/>
                <w:lang w:eastAsia="zh-TW"/>
              </w:rPr>
              <w:t xml:space="preserve">Modern financial markets are characterized by frequent structural breaks and high non-stationarity. Conventional parametric pairs trading frameworks (e.g., </w:t>
            </w:r>
            <w:proofErr w:type="spellStart"/>
            <w:r w:rsidRPr="00550654">
              <w:rPr>
                <w:rFonts w:ascii="Times New Roman" w:eastAsia="新細明體" w:hAnsi="Times New Roman" w:cs="Times New Roman"/>
                <w:i/>
                <w:iCs/>
                <w:color w:val="000000" w:themeColor="text1"/>
                <w:sz w:val="18"/>
                <w:szCs w:val="18"/>
                <w:u w:color="FF0000"/>
                <w:lang w:eastAsia="zh-TW"/>
              </w:rPr>
              <w:t>Gatev</w:t>
            </w:r>
            <w:proofErr w:type="spellEnd"/>
            <w:r w:rsidRPr="00550654">
              <w:rPr>
                <w:rFonts w:ascii="Times New Roman" w:eastAsia="新細明體" w:hAnsi="Times New Roman" w:cs="Times New Roman"/>
                <w:i/>
                <w:iCs/>
                <w:color w:val="000000" w:themeColor="text1"/>
                <w:sz w:val="18"/>
                <w:szCs w:val="18"/>
                <w:u w:color="FF0000"/>
                <w:lang w:eastAsia="zh-TW"/>
              </w:rPr>
              <w:t xml:space="preserve"> et al., 2006) universally suffer from data overfitting due to their reliance on static statistical thresholds calculated in historical windows. Consequently, during a sudden market regime shift, these static boundaries collapse under permanent spread divergence, triggering severe unhedged losses. The unified dynamic decision system proposed in this study empowers a deep reinforcement learning (DRL) agent to adaptively readjust entry, exit, and </w:t>
            </w:r>
            <w:r w:rsidRPr="00550654">
              <w:rPr>
                <w:rFonts w:ascii="Times New Roman" w:eastAsia="新細明體" w:hAnsi="Times New Roman" w:cs="Times New Roman"/>
                <w:i/>
                <w:iCs/>
                <w:color w:val="000000" w:themeColor="text1"/>
                <w:sz w:val="18"/>
                <w:szCs w:val="18"/>
                <w:u w:color="FF0000"/>
                <w:lang w:eastAsia="zh-TW"/>
              </w:rPr>
              <w:lastRenderedPageBreak/>
              <w:t>stop-loss triggers. By enabling proactive trade liquidations at the inception of structural breakdowns, this framework fundamentally mitigates tail-risk exposure, offering premium risk-management utility for modern quantitative fund management.</w:t>
            </w:r>
          </w:p>
          <w:p w14:paraId="4979A4F6" w14:textId="5E98B32D" w:rsidR="00550654" w:rsidRPr="00550654" w:rsidRDefault="00550654" w:rsidP="00550654">
            <w:pPr>
              <w:pStyle w:val="Body"/>
              <w:jc w:val="both"/>
              <w:rPr>
                <w:rFonts w:ascii="Times New Roman" w:eastAsia="新細明體" w:hAnsi="Times New Roman" w:cs="Times New Roman"/>
                <w:color w:val="000000" w:themeColor="text1"/>
                <w:sz w:val="18"/>
                <w:szCs w:val="18"/>
                <w:u w:color="FF0000"/>
                <w:lang w:eastAsia="zh-TW"/>
              </w:rPr>
            </w:pPr>
            <w:r w:rsidRPr="00550654">
              <w:rPr>
                <w:rFonts w:ascii="Times New Roman" w:eastAsia="新細明體" w:hAnsi="Times New Roman" w:cs="Times New Roman"/>
                <w:b/>
                <w:bCs/>
                <w:color w:val="000000" w:themeColor="text1"/>
                <w:sz w:val="18"/>
                <w:szCs w:val="18"/>
                <w:u w:color="FF0000"/>
                <w:lang w:eastAsia="zh-TW"/>
              </w:rPr>
              <w:t>Optimizing Allocation Flexibility and Securing Dynamic Market Neutrality</w:t>
            </w:r>
            <w:r w:rsidRPr="00550654">
              <w:rPr>
                <w:rFonts w:ascii="Times New Roman" w:eastAsia="新細明體" w:hAnsi="Times New Roman" w:cs="Times New Roman"/>
                <w:color w:val="000000" w:themeColor="text1"/>
                <w:sz w:val="18"/>
                <w:szCs w:val="18"/>
                <w:u w:color="FF0000"/>
                <w:lang w:eastAsia="zh-TW"/>
              </w:rPr>
              <w:t>:</w:t>
            </w:r>
          </w:p>
          <w:p w14:paraId="5ABA4DE7" w14:textId="79505111" w:rsidR="00550654" w:rsidRPr="00550654" w:rsidRDefault="00550654" w:rsidP="00550654">
            <w:pPr>
              <w:pStyle w:val="Body"/>
              <w:jc w:val="both"/>
              <w:rPr>
                <w:rFonts w:ascii="Times New Roman" w:eastAsia="新細明體" w:hAnsi="Times New Roman" w:cs="Times New Roman"/>
                <w:color w:val="000000" w:themeColor="text1"/>
                <w:sz w:val="18"/>
                <w:szCs w:val="18"/>
                <w:u w:color="FF0000"/>
                <w:lang w:eastAsia="zh-TW"/>
              </w:rPr>
            </w:pPr>
            <w:r w:rsidRPr="00550654">
              <w:rPr>
                <w:rFonts w:ascii="Times New Roman" w:eastAsia="新細明體" w:hAnsi="Times New Roman" w:cs="Times New Roman"/>
                <w:i/>
                <w:iCs/>
                <w:color w:val="000000" w:themeColor="text1"/>
                <w:sz w:val="18"/>
                <w:szCs w:val="18"/>
                <w:u w:color="FF0000"/>
                <w:lang w:eastAsia="zh-TW"/>
              </w:rPr>
              <w:t>Spanning an intensive 26-year empirical horizon (2000-2025), this research stress-tests the hybrid trading system across diverse macroeconomic crises. The results demonstrate that under extreme market turbulence (e.g., VIX spikes or systemic liquidity contractions), combining data-driven unsupervised cross-industry clustering with a time-varying Beta-hedging allocation protocol shields the portfolio from idiosyncratic sector shocks (black swan events). By introducing a robust statistical arbitrage pipeline that transcends rigid, conventional industry classifications, this study contributes a highly flexible investment framework that assists quantitative practitioners in securely maintaining dynamic market neutrality under volatile market conditions.</w:t>
            </w:r>
          </w:p>
          <w:p w14:paraId="7E1397D5" w14:textId="559394C5" w:rsidR="00806BA4" w:rsidRPr="007D1E07" w:rsidRDefault="00806BA4" w:rsidP="008D1B53">
            <w:pPr>
              <w:pStyle w:val="Body"/>
              <w:jc w:val="both"/>
              <w:rPr>
                <w:rFonts w:ascii="Times New Roman" w:eastAsia="新細明體" w:hAnsi="Times New Roman" w:cs="Times New Roman"/>
                <w:color w:val="000000" w:themeColor="text1"/>
                <w:sz w:val="18"/>
                <w:szCs w:val="18"/>
                <w:u w:color="FF0000"/>
                <w:lang w:eastAsia="zh-TW"/>
              </w:rPr>
            </w:pPr>
          </w:p>
        </w:tc>
      </w:tr>
      <w:tr w:rsidR="004B232D" w14:paraId="5F6AF00F" w14:textId="77777777" w:rsidTr="008D1B53">
        <w:trPr>
          <w:trHeight w:val="269"/>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4103E68"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ONE</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3E370295"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One</w:t>
            </w:r>
            <w:r w:rsidRPr="00E93CA1">
              <w:rPr>
                <w:rFonts w:ascii="Times New Roman" w:eastAsia="新細明體" w:hAnsi="Times New Roman" w:cs="Times New Roman"/>
                <w:sz w:val="18"/>
                <w:szCs w:val="18"/>
                <w:u w:color="000000"/>
                <w:lang w:eastAsia="zh-TW"/>
              </w:rPr>
              <w:t xml:space="preserve"> bottom line</w:t>
            </w:r>
            <w:r w:rsidRPr="00E93CA1">
              <w:rPr>
                <w:rFonts w:ascii="Times New Roman" w:eastAsia="新細明體" w:hAnsi="Times New Roman" w:cs="Times New Roman"/>
                <w:u w:color="000000"/>
                <w:lang w:eastAsia="zh-TW"/>
              </w:rPr>
              <w:t xml:space="preserve"> </w:t>
            </w:r>
            <w:r w:rsidRPr="00E93CA1">
              <w:rPr>
                <w:rFonts w:ascii="SimSun" w:eastAsia="新細明體" w:hAnsi="SimSun" w:cs="SimSun" w:hint="eastAsia"/>
                <w:sz w:val="18"/>
                <w:szCs w:val="18"/>
                <w:u w:color="000000"/>
                <w:lang w:eastAsia="zh-TW"/>
              </w:rPr>
              <w:t>一個概要</w:t>
            </w:r>
          </w:p>
        </w:tc>
      </w:tr>
      <w:tr w:rsidR="004B232D" w14:paraId="33B576A5" w14:textId="77777777" w:rsidTr="008D1B53">
        <w:trPr>
          <w:trHeight w:val="470"/>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8858CD"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(J) Contribution?</w:t>
            </w:r>
          </w:p>
          <w:p w14:paraId="1DC372C9"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貢獻</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7AA7AC" w14:textId="7FCFF93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Methodological Contribution: Addressing Sample Sparsity and Noise in High-Dimensional Feature Spaces</w:t>
            </w:r>
          </w:p>
          <w:p w14:paraId="177F463B" w14:textId="77777777" w:rsidR="008F52AE" w:rsidRPr="008F52AE" w:rsidRDefault="008F52AE" w:rsidP="008F52AE">
            <w:pPr>
              <w:pStyle w:val="Body"/>
              <w:numPr>
                <w:ilvl w:val="0"/>
                <w:numId w:val="23"/>
              </w:numPr>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i/>
                <w:iCs/>
                <w:color w:val="000000" w:themeColor="text1"/>
                <w:sz w:val="18"/>
                <w:szCs w:val="18"/>
                <w:u w:color="FF0000"/>
                <w:lang w:eastAsia="zh-TW"/>
              </w:rPr>
              <w:t>Academic Gap</w:t>
            </w:r>
            <w:r w:rsidRPr="008F52AE">
              <w:rPr>
                <w:rFonts w:ascii="Times New Roman" w:eastAsia="新細明體" w:hAnsi="Times New Roman" w:cs="Times New Roman"/>
                <w:color w:val="000000" w:themeColor="text1"/>
                <w:sz w:val="18"/>
                <w:szCs w:val="18"/>
                <w:u w:color="FF0000"/>
                <w:lang w:eastAsia="zh-TW"/>
              </w:rPr>
              <w:t>: Previous literature (e.g., Han et al., 2023) has attempted to employ density-based clustering (e.g., DBSCAN/HDBSCAN) for pair selection. However, within the highly collinear feature space of corporate fundamentals and statistical metrics, these methods often suffer from unbalanced clustering, forcing assets into singular giant clusters or identifying an excessive number of noise points—frequently leading to an arbitrary loss of over 30% of eligible assets.</w:t>
            </w:r>
          </w:p>
          <w:p w14:paraId="08B6099F" w14:textId="77777777" w:rsidR="008F52AE" w:rsidRPr="008F52AE" w:rsidRDefault="008F52AE" w:rsidP="008F52AE">
            <w:pPr>
              <w:pStyle w:val="Body"/>
              <w:numPr>
                <w:ilvl w:val="0"/>
                <w:numId w:val="23"/>
              </w:numPr>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i/>
                <w:iCs/>
                <w:color w:val="000000" w:themeColor="text1"/>
                <w:sz w:val="18"/>
                <w:szCs w:val="18"/>
                <w:u w:color="FF0000"/>
                <w:lang w:eastAsia="zh-TW"/>
              </w:rPr>
              <w:t>Our Contribution</w:t>
            </w:r>
            <w:r w:rsidRPr="008F52AE">
              <w:rPr>
                <w:rFonts w:ascii="Times New Roman" w:eastAsia="新細明體" w:hAnsi="Times New Roman" w:cs="Times New Roman"/>
                <w:color w:val="000000" w:themeColor="text1"/>
                <w:sz w:val="18"/>
                <w:szCs w:val="18"/>
                <w:u w:color="FF0000"/>
                <w:lang w:eastAsia="zh-TW"/>
              </w:rPr>
              <w:t xml:space="preserve">: We demonstrate that employing </w:t>
            </w:r>
            <w:r w:rsidRPr="008F52AE">
              <w:rPr>
                <w:rFonts w:ascii="Times New Roman" w:eastAsia="新細明體" w:hAnsi="Times New Roman" w:cs="Times New Roman"/>
                <w:b/>
                <w:bCs/>
                <w:color w:val="000000" w:themeColor="text1"/>
                <w:sz w:val="18"/>
                <w:szCs w:val="18"/>
                <w:u w:color="FF0000"/>
                <w:lang w:eastAsia="zh-TW"/>
              </w:rPr>
              <w:t>Agglomerative Hierarchical Clustering</w:t>
            </w:r>
            <w:r w:rsidRPr="008F52AE">
              <w:rPr>
                <w:rFonts w:ascii="Times New Roman" w:eastAsia="新細明體" w:hAnsi="Times New Roman" w:cs="Times New Roman"/>
                <w:color w:val="000000" w:themeColor="text1"/>
                <w:sz w:val="18"/>
                <w:szCs w:val="18"/>
                <w:u w:color="FF0000"/>
                <w:lang w:eastAsia="zh-TW"/>
              </w:rPr>
              <w:t xml:space="preserve"> integrated with an </w:t>
            </w:r>
            <w:r w:rsidRPr="008F52AE">
              <w:rPr>
                <w:rFonts w:ascii="Times New Roman" w:eastAsia="新細明體" w:hAnsi="Times New Roman" w:cs="Times New Roman"/>
                <w:b/>
                <w:bCs/>
                <w:color w:val="000000" w:themeColor="text1"/>
                <w:sz w:val="18"/>
                <w:szCs w:val="18"/>
                <w:u w:color="FF0000"/>
                <w:lang w:eastAsia="zh-TW"/>
              </w:rPr>
              <w:t>"Adaptive Distance Thresholding Mechanism"</w:t>
            </w:r>
            <w:r w:rsidRPr="008F52AE">
              <w:rPr>
                <w:rFonts w:ascii="Times New Roman" w:eastAsia="新細明體" w:hAnsi="Times New Roman" w:cs="Times New Roman"/>
                <w:color w:val="000000" w:themeColor="text1"/>
                <w:sz w:val="18"/>
                <w:szCs w:val="18"/>
                <w:u w:color="FF0000"/>
                <w:lang w:eastAsia="zh-TW"/>
              </w:rPr>
              <w:t xml:space="preserve"> (calibrated via per-period merge-distance quantiles) effectively preserves the asset universe. This provides a significantly more robust methodology for constructing diverse, cross-industry asset pools.</w:t>
            </w:r>
          </w:p>
          <w:p w14:paraId="4A9BD77A" w14:textId="48DE91FA"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Architectural Contribution: Falsifying "Free-Position DRL" and Establishing a "Threshold-Optimization" Action Space</w:t>
            </w:r>
          </w:p>
          <w:p w14:paraId="57A63E6F" w14:textId="77777777" w:rsidR="008F52AE" w:rsidRPr="008F52AE" w:rsidRDefault="008F52AE" w:rsidP="008F52AE">
            <w:pPr>
              <w:pStyle w:val="Body"/>
              <w:numPr>
                <w:ilvl w:val="0"/>
                <w:numId w:val="24"/>
              </w:numPr>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i/>
                <w:iCs/>
                <w:color w:val="000000" w:themeColor="text1"/>
                <w:sz w:val="18"/>
                <w:szCs w:val="18"/>
                <w:u w:color="FF0000"/>
                <w:lang w:eastAsia="zh-TW"/>
              </w:rPr>
              <w:t>Academic &amp; Practical Gap</w:t>
            </w:r>
            <w:r w:rsidRPr="008F52AE">
              <w:rPr>
                <w:rFonts w:ascii="Times New Roman" w:eastAsia="新細明體" w:hAnsi="Times New Roman" w:cs="Times New Roman"/>
                <w:color w:val="000000" w:themeColor="text1"/>
                <w:sz w:val="18"/>
                <w:szCs w:val="18"/>
                <w:u w:color="FF0000"/>
                <w:lang w:eastAsia="zh-TW"/>
              </w:rPr>
              <w:t>: Existing literature (e.g., Kim &amp; Kim, 2019) tends to empower DRL agents with the freedom to execute daily position adjustments (long/short/flat). Our empirical evidence falsifies this design, revealing that such unconstrained agents engage in excessive trading triggered by daily market noise, inflating transaction costs by six-fold compared to the baseline and severely impairing risk-adjusted performance (Sharpe Ratio degrading to -1.1 ~ -2.3).</w:t>
            </w:r>
          </w:p>
          <w:p w14:paraId="1FB5FD5F" w14:textId="77777777" w:rsidR="008F52AE" w:rsidRPr="008F52AE" w:rsidRDefault="008F52AE" w:rsidP="008F52AE">
            <w:pPr>
              <w:pStyle w:val="Body"/>
              <w:numPr>
                <w:ilvl w:val="0"/>
                <w:numId w:val="24"/>
              </w:numPr>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i/>
                <w:iCs/>
                <w:color w:val="000000" w:themeColor="text1"/>
                <w:sz w:val="18"/>
                <w:szCs w:val="18"/>
                <w:u w:color="FF0000"/>
                <w:lang w:eastAsia="zh-TW"/>
              </w:rPr>
              <w:t>Our Contribution</w:t>
            </w:r>
            <w:r w:rsidRPr="008F52AE">
              <w:rPr>
                <w:rFonts w:ascii="Times New Roman" w:eastAsia="新細明體" w:hAnsi="Times New Roman" w:cs="Times New Roman"/>
                <w:color w:val="000000" w:themeColor="text1"/>
                <w:sz w:val="18"/>
                <w:szCs w:val="18"/>
                <w:u w:color="FF0000"/>
                <w:lang w:eastAsia="zh-TW"/>
              </w:rPr>
              <w:t xml:space="preserve">: We innovate by introducing a </w:t>
            </w:r>
            <w:r w:rsidRPr="008F52AE">
              <w:rPr>
                <w:rFonts w:ascii="Times New Roman" w:eastAsia="新細明體" w:hAnsi="Times New Roman" w:cs="Times New Roman"/>
                <w:b/>
                <w:bCs/>
                <w:color w:val="000000" w:themeColor="text1"/>
                <w:sz w:val="18"/>
                <w:szCs w:val="18"/>
                <w:u w:color="FF0000"/>
                <w:lang w:eastAsia="zh-TW"/>
              </w:rPr>
              <w:t>"Discrete-Threshold Policy Synthesis"</w:t>
            </w:r>
            <w:r w:rsidRPr="008F52AE">
              <w:rPr>
                <w:rFonts w:ascii="Times New Roman" w:eastAsia="新細明體" w:hAnsi="Times New Roman" w:cs="Times New Roman"/>
                <w:color w:val="000000" w:themeColor="text1"/>
                <w:sz w:val="18"/>
                <w:szCs w:val="18"/>
                <w:u w:color="FF0000"/>
                <w:lang w:eastAsia="zh-TW"/>
              </w:rPr>
              <w:t xml:space="preserve"> coupled with a </w:t>
            </w:r>
            <w:r w:rsidRPr="008F52AE">
              <w:rPr>
                <w:rFonts w:ascii="Times New Roman" w:eastAsia="新細明體" w:hAnsi="Times New Roman" w:cs="Times New Roman"/>
                <w:b/>
                <w:bCs/>
                <w:color w:val="000000" w:themeColor="text1"/>
                <w:sz w:val="18"/>
                <w:szCs w:val="18"/>
                <w:u w:color="FF0000"/>
                <w:lang w:eastAsia="zh-TW"/>
              </w:rPr>
              <w:t>"Z-Score State-Machine Execution"</w:t>
            </w:r>
            <w:r w:rsidRPr="008F52AE">
              <w:rPr>
                <w:rFonts w:ascii="Times New Roman" w:eastAsia="新細明體" w:hAnsi="Times New Roman" w:cs="Times New Roman"/>
                <w:color w:val="000000" w:themeColor="text1"/>
                <w:sz w:val="18"/>
                <w:szCs w:val="18"/>
                <w:u w:color="FF0000"/>
                <w:lang w:eastAsia="zh-TW"/>
              </w:rPr>
              <w:t xml:space="preserve"> mechanism. Our action space encompasses an explicit "SKIP" decision alongside 8 discrete dynamic boundary configurations. This mathematical architecture ensures the strategy space strictly dominates traditional static benchmarks while granting the agent the intelligence to "refuse poor pairs," effectively resolving the structural bottlenecks of model non-convergence and overtrading in high-noise financial environments.</w:t>
            </w:r>
          </w:p>
          <w:p w14:paraId="23C5DF35" w14:textId="2BA965B7"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 xml:space="preserve">Empirical Rigor: A High-Fidelity </w:t>
            </w:r>
            <w:proofErr w:type="spellStart"/>
            <w:r w:rsidRPr="008F52AE">
              <w:rPr>
                <w:rFonts w:ascii="Times New Roman" w:eastAsia="新細明體" w:hAnsi="Times New Roman" w:cs="Times New Roman"/>
                <w:b/>
                <w:bCs/>
                <w:color w:val="000000" w:themeColor="text1"/>
                <w:sz w:val="18"/>
                <w:szCs w:val="18"/>
                <w:u w:color="FF0000"/>
                <w:lang w:eastAsia="zh-TW"/>
              </w:rPr>
              <w:t>Backtesting</w:t>
            </w:r>
            <w:proofErr w:type="spellEnd"/>
            <w:r w:rsidRPr="008F52AE">
              <w:rPr>
                <w:rFonts w:ascii="Times New Roman" w:eastAsia="新細明體" w:hAnsi="Times New Roman" w:cs="Times New Roman"/>
                <w:b/>
                <w:bCs/>
                <w:color w:val="000000" w:themeColor="text1"/>
                <w:sz w:val="18"/>
                <w:szCs w:val="18"/>
                <w:u w:color="FF0000"/>
                <w:lang w:eastAsia="zh-TW"/>
              </w:rPr>
              <w:t xml:space="preserve"> Framework Insulated from "Dual Biases"</w:t>
            </w:r>
          </w:p>
          <w:p w14:paraId="7910C8D8" w14:textId="77777777" w:rsidR="008F52AE" w:rsidRPr="008F52AE" w:rsidRDefault="008F52AE" w:rsidP="008F52AE">
            <w:pPr>
              <w:pStyle w:val="Body"/>
              <w:numPr>
                <w:ilvl w:val="0"/>
                <w:numId w:val="25"/>
              </w:numPr>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i/>
                <w:iCs/>
                <w:color w:val="000000" w:themeColor="text1"/>
                <w:sz w:val="18"/>
                <w:szCs w:val="18"/>
                <w:u w:color="FF0000"/>
                <w:lang w:eastAsia="zh-TW"/>
              </w:rPr>
              <w:t>Academic Gap</w:t>
            </w:r>
            <w:r w:rsidRPr="008F52AE">
              <w:rPr>
                <w:rFonts w:ascii="Times New Roman" w:eastAsia="新細明體" w:hAnsi="Times New Roman" w:cs="Times New Roman"/>
                <w:color w:val="000000" w:themeColor="text1"/>
                <w:sz w:val="18"/>
                <w:szCs w:val="18"/>
                <w:u w:color="FF0000"/>
                <w:lang w:eastAsia="zh-TW"/>
              </w:rPr>
              <w:t>: Many quantitative trading studies are compromised by survivorship and look-ahead biases, stemming from the use of static, survivor-only constituent lists.</w:t>
            </w:r>
          </w:p>
          <w:p w14:paraId="4DA4509D" w14:textId="36F085A9" w:rsidR="00806BA4" w:rsidRPr="008F52AE" w:rsidRDefault="008F52AE" w:rsidP="008F52AE">
            <w:pPr>
              <w:pStyle w:val="Body"/>
              <w:numPr>
                <w:ilvl w:val="0"/>
                <w:numId w:val="25"/>
              </w:numPr>
              <w:jc w:val="both"/>
              <w:rPr>
                <w:rFonts w:ascii="Times New Roman" w:eastAsia="新細明體" w:hAnsi="Times New Roman" w:cs="Times New Roman" w:hint="eastAsia"/>
                <w:color w:val="000000" w:themeColor="text1"/>
                <w:sz w:val="18"/>
                <w:szCs w:val="18"/>
                <w:u w:color="FF0000"/>
                <w:lang w:eastAsia="zh-TW"/>
              </w:rPr>
            </w:pPr>
            <w:r w:rsidRPr="008F52AE">
              <w:rPr>
                <w:rFonts w:ascii="Times New Roman" w:eastAsia="新細明體" w:hAnsi="Times New Roman" w:cs="Times New Roman"/>
                <w:i/>
                <w:iCs/>
                <w:color w:val="000000" w:themeColor="text1"/>
                <w:sz w:val="18"/>
                <w:szCs w:val="18"/>
                <w:u w:color="FF0000"/>
                <w:lang w:eastAsia="zh-TW"/>
              </w:rPr>
              <w:t>Our Contribution</w:t>
            </w:r>
            <w:r w:rsidRPr="008F52AE">
              <w:rPr>
                <w:rFonts w:ascii="Times New Roman" w:eastAsia="新細明體" w:hAnsi="Times New Roman" w:cs="Times New Roman"/>
                <w:color w:val="000000" w:themeColor="text1"/>
                <w:sz w:val="18"/>
                <w:szCs w:val="18"/>
                <w:u w:color="FF0000"/>
                <w:lang w:eastAsia="zh-TW"/>
              </w:rPr>
              <w:t xml:space="preserve">: This study constructs a </w:t>
            </w:r>
            <w:r w:rsidRPr="008F52AE">
              <w:rPr>
                <w:rFonts w:ascii="Times New Roman" w:eastAsia="新細明體" w:hAnsi="Times New Roman" w:cs="Times New Roman"/>
                <w:b/>
                <w:bCs/>
                <w:color w:val="000000" w:themeColor="text1"/>
                <w:sz w:val="18"/>
                <w:szCs w:val="18"/>
                <w:u w:color="FF0000"/>
                <w:lang w:eastAsia="zh-TW"/>
              </w:rPr>
              <w:t>"Dynamic Constituent Evolution Matrix"</w:t>
            </w:r>
            <w:r w:rsidRPr="008F52AE">
              <w:rPr>
                <w:rFonts w:ascii="Times New Roman" w:eastAsia="新細明體" w:hAnsi="Times New Roman" w:cs="Times New Roman"/>
                <w:color w:val="000000" w:themeColor="text1"/>
                <w:sz w:val="18"/>
                <w:szCs w:val="18"/>
                <w:u w:color="FF0000"/>
                <w:lang w:eastAsia="zh-TW"/>
              </w:rPr>
              <w:t xml:space="preserve"> spanning 2000–2025 by cross-referencing Wikipedia archival records and institutional databases (CRSP/FMP). By meticulously preserving delisted and acquired entities within the historical asset pool, this rigorous data governance infrastructure provides high </w:t>
            </w:r>
            <w:r w:rsidRPr="008F52AE">
              <w:rPr>
                <w:rFonts w:ascii="Times New Roman" w:eastAsia="新細明體" w:hAnsi="Times New Roman" w:cs="Times New Roman"/>
                <w:b/>
                <w:bCs/>
                <w:color w:val="000000" w:themeColor="text1"/>
                <w:sz w:val="18"/>
                <w:szCs w:val="18"/>
                <w:u w:color="FF0000"/>
                <w:lang w:eastAsia="zh-TW"/>
              </w:rPr>
              <w:t>external validity</w:t>
            </w:r>
            <w:r w:rsidRPr="008F52AE">
              <w:rPr>
                <w:rFonts w:ascii="Times New Roman" w:eastAsia="新細明體" w:hAnsi="Times New Roman" w:cs="Times New Roman"/>
                <w:color w:val="000000" w:themeColor="text1"/>
                <w:sz w:val="18"/>
                <w:szCs w:val="18"/>
                <w:u w:color="FF0000"/>
                <w:lang w:eastAsia="zh-TW"/>
              </w:rPr>
              <w:t xml:space="preserve"> for our hybrid AI model (Unsupervised + DRL), ensuring that empirical findings remain robust across multiple major macroeconomic cycles (e.g., the 2008 Financial Crisis, the 2020 Pandemic).</w:t>
            </w:r>
          </w:p>
        </w:tc>
      </w:tr>
      <w:tr w:rsidR="004B232D" w14:paraId="5A3C142D" w14:textId="77777777" w:rsidTr="008D1B53">
        <w:trPr>
          <w:trHeight w:val="2206"/>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3956916"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(K) Other Considerations</w:t>
            </w:r>
            <w:r w:rsidR="004B232D" w:rsidRPr="007730CA">
              <w:rPr>
                <w:rFonts w:ascii="Times New Roman" w:eastAsia="Calibri" w:hAnsi="Times New Roman" w:cs="Times New Roman"/>
                <w:b/>
                <w:bCs/>
                <w:sz w:val="18"/>
                <w:szCs w:val="18"/>
                <w:u w:color="000000"/>
              </w:rPr>
              <w:t xml:space="preserve"> </w:t>
            </w:r>
          </w:p>
          <w:p w14:paraId="25ED6655"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其他考慮因素</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4A3F61" w14:textId="1A3FD41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Robustness, Convergence, and Overfitting Mitigation</w:t>
            </w:r>
            <w:r w:rsidRPr="008F52AE">
              <w:rPr>
                <w:rFonts w:ascii="Times New Roman" w:eastAsia="新細明體" w:hAnsi="Times New Roman" w:cs="Times New Roman"/>
                <w:color w:val="000000" w:themeColor="text1"/>
                <w:sz w:val="18"/>
                <w:szCs w:val="18"/>
                <w:u w:color="FF0000"/>
                <w:lang w:eastAsia="zh-TW"/>
              </w:rPr>
              <w:t xml:space="preserve">: </w:t>
            </w:r>
            <w:r w:rsidRPr="008F52AE">
              <w:rPr>
                <w:rFonts w:ascii="Times New Roman" w:eastAsia="新細明體" w:hAnsi="Times New Roman" w:cs="Times New Roman"/>
                <w:i/>
                <w:iCs/>
                <w:color w:val="000000" w:themeColor="text1"/>
                <w:sz w:val="18"/>
                <w:szCs w:val="18"/>
                <w:u w:color="FF0000"/>
                <w:lang w:eastAsia="zh-TW"/>
              </w:rPr>
              <w:t xml:space="preserve">Inherent risks concerning the convergence stability and overtrading tendencies of DRL architectures (e.g., DQN/PPO) during historical extreme market episodes (e.g., 2008 GFC, 2020 COVID-19 crash) are proactively addressed. We integrate a comprehensive </w:t>
            </w:r>
            <w:r w:rsidRPr="008F52AE">
              <w:rPr>
                <w:rFonts w:ascii="Times New Roman" w:eastAsia="新細明體" w:hAnsi="Times New Roman" w:cs="Times New Roman"/>
                <w:b/>
                <w:bCs/>
                <w:i/>
                <w:iCs/>
                <w:color w:val="000000" w:themeColor="text1"/>
                <w:sz w:val="18"/>
                <w:szCs w:val="18"/>
                <w:u w:color="FF0000"/>
                <w:lang w:eastAsia="zh-TW"/>
              </w:rPr>
              <w:t>penalty mechanism</w:t>
            </w:r>
            <w:r w:rsidRPr="008F52AE">
              <w:rPr>
                <w:rFonts w:ascii="Times New Roman" w:eastAsia="新細明體" w:hAnsi="Times New Roman" w:cs="Times New Roman"/>
                <w:i/>
                <w:iCs/>
                <w:color w:val="000000" w:themeColor="text1"/>
                <w:sz w:val="18"/>
                <w:szCs w:val="18"/>
                <w:u w:color="FF0000"/>
                <w:lang w:eastAsia="zh-TW"/>
              </w:rPr>
              <w:t xml:space="preserve"> within the DRL agent’s reward function, which explicitly deducts for high turnover and intraday transaction costs. This structural governance forces the intelligent agent to optimize for risk-adjusted performance rather than raw signal frequency, effectively insulating the model from overfitting to short-term market noise.</w:t>
            </w:r>
          </w:p>
          <w:p w14:paraId="5D6E1526" w14:textId="69519B37"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Scope Feasibility and Liquidity Integrity</w:t>
            </w:r>
            <w:r w:rsidRPr="008F52AE">
              <w:rPr>
                <w:rFonts w:ascii="Times New Roman" w:eastAsia="新細明體" w:hAnsi="Times New Roman" w:cs="Times New Roman"/>
                <w:color w:val="000000" w:themeColor="text1"/>
                <w:sz w:val="18"/>
                <w:szCs w:val="18"/>
                <w:u w:color="FF0000"/>
                <w:lang w:eastAsia="zh-TW"/>
              </w:rPr>
              <w:t xml:space="preserve">: </w:t>
            </w:r>
            <w:r w:rsidRPr="008F52AE">
              <w:rPr>
                <w:rFonts w:ascii="Times New Roman" w:eastAsia="新細明體" w:hAnsi="Times New Roman" w:cs="Times New Roman"/>
                <w:i/>
                <w:iCs/>
                <w:color w:val="000000" w:themeColor="text1"/>
                <w:sz w:val="18"/>
                <w:szCs w:val="18"/>
                <w:u w:color="FF0000"/>
                <w:lang w:eastAsia="zh-TW"/>
              </w:rPr>
              <w:t xml:space="preserve">The empirical scope is intentionally restricted to the </w:t>
            </w:r>
            <w:r w:rsidRPr="008F52AE">
              <w:rPr>
                <w:rFonts w:ascii="Times New Roman" w:eastAsia="新細明體" w:hAnsi="Times New Roman" w:cs="Times New Roman"/>
                <w:b/>
                <w:bCs/>
                <w:i/>
                <w:iCs/>
                <w:color w:val="000000" w:themeColor="text1"/>
                <w:sz w:val="18"/>
                <w:szCs w:val="18"/>
                <w:u w:color="FF0000"/>
                <w:lang w:eastAsia="zh-TW"/>
              </w:rPr>
              <w:t>large-cap constituents of the S&amp;P 500</w:t>
            </w:r>
            <w:r w:rsidRPr="008F52AE">
              <w:rPr>
                <w:rFonts w:ascii="Times New Roman" w:eastAsia="新細明體" w:hAnsi="Times New Roman" w:cs="Times New Roman"/>
                <w:i/>
                <w:iCs/>
                <w:color w:val="000000" w:themeColor="text1"/>
                <w:sz w:val="18"/>
                <w:szCs w:val="18"/>
                <w:u w:color="FF0000"/>
                <w:lang w:eastAsia="zh-TW"/>
              </w:rPr>
              <w:t xml:space="preserve">. This limitation is a strategic decision to ensure the </w:t>
            </w:r>
            <w:r w:rsidRPr="008F52AE">
              <w:rPr>
                <w:rFonts w:ascii="Times New Roman" w:eastAsia="新細明體" w:hAnsi="Times New Roman" w:cs="Times New Roman"/>
                <w:b/>
                <w:bCs/>
                <w:i/>
                <w:iCs/>
                <w:color w:val="000000" w:themeColor="text1"/>
                <w:sz w:val="18"/>
                <w:szCs w:val="18"/>
                <w:u w:color="FF0000"/>
                <w:lang w:eastAsia="zh-TW"/>
              </w:rPr>
              <w:t>practical execution capacity</w:t>
            </w:r>
            <w:r w:rsidRPr="008F52AE">
              <w:rPr>
                <w:rFonts w:ascii="Times New Roman" w:eastAsia="新細明體" w:hAnsi="Times New Roman" w:cs="Times New Roman"/>
                <w:i/>
                <w:iCs/>
                <w:color w:val="000000" w:themeColor="text1"/>
                <w:sz w:val="18"/>
                <w:szCs w:val="18"/>
                <w:u w:color="FF0000"/>
                <w:lang w:eastAsia="zh-TW"/>
              </w:rPr>
              <w:t xml:space="preserve"> of the proposed strategy. By deliberately excluding micro-cap or illiquid assets, the model avoids the "simulated alpha trap"—where theoretical returns are inflated by unrealistic assumptions of infinite liquidity—thereby ensuring that our </w:t>
            </w:r>
            <w:proofErr w:type="spellStart"/>
            <w:r w:rsidRPr="008F52AE">
              <w:rPr>
                <w:rFonts w:ascii="Times New Roman" w:eastAsia="新細明體" w:hAnsi="Times New Roman" w:cs="Times New Roman"/>
                <w:i/>
                <w:iCs/>
                <w:color w:val="000000" w:themeColor="text1"/>
                <w:sz w:val="18"/>
                <w:szCs w:val="18"/>
                <w:u w:color="FF0000"/>
                <w:lang w:eastAsia="zh-TW"/>
              </w:rPr>
              <w:t>backtested</w:t>
            </w:r>
            <w:proofErr w:type="spellEnd"/>
            <w:r w:rsidRPr="008F52AE">
              <w:rPr>
                <w:rFonts w:ascii="Times New Roman" w:eastAsia="新細明體" w:hAnsi="Times New Roman" w:cs="Times New Roman"/>
                <w:i/>
                <w:iCs/>
                <w:color w:val="000000" w:themeColor="text1"/>
                <w:sz w:val="18"/>
                <w:szCs w:val="18"/>
                <w:u w:color="FF0000"/>
                <w:lang w:eastAsia="zh-TW"/>
              </w:rPr>
              <w:t xml:space="preserve"> results maintain strict alignment with the reality of institutional trade execution and market friction.</w:t>
            </w:r>
          </w:p>
          <w:p w14:paraId="62405CFC" w14:textId="3994533E" w:rsidR="00FD53CB" w:rsidRPr="007D1E07" w:rsidRDefault="00FD53CB" w:rsidP="008D1B53">
            <w:pPr>
              <w:pStyle w:val="Body"/>
              <w:jc w:val="both"/>
              <w:rPr>
                <w:rFonts w:ascii="Times New Roman" w:eastAsia="新細明體" w:hAnsi="Times New Roman" w:cs="Times New Roman"/>
                <w:color w:val="000000" w:themeColor="text1"/>
                <w:sz w:val="18"/>
                <w:szCs w:val="18"/>
                <w:u w:color="FF0000"/>
                <w:lang w:eastAsia="zh-TW"/>
              </w:rPr>
            </w:pPr>
          </w:p>
        </w:tc>
      </w:tr>
    </w:tbl>
    <w:p w14:paraId="4DDEDA03" w14:textId="43CE607C" w:rsidR="00394FBE" w:rsidRDefault="00394FBE">
      <w:pPr>
        <w:rPr>
          <w:lang w:eastAsia="zh-TW"/>
        </w:rPr>
      </w:pPr>
    </w:p>
    <w:p w14:paraId="7A73B407" w14:textId="3D8A32BA" w:rsidR="00BB01FB" w:rsidRPr="00394FBE" w:rsidRDefault="00BB01FB">
      <w:pPr>
        <w:rPr>
          <w:lang w:eastAsia="zh-TW"/>
        </w:rPr>
      </w:pPr>
    </w:p>
    <w:sectPr w:rsidR="00BB01FB" w:rsidRPr="00394FBE" w:rsidSect="004B232D">
      <w:pgSz w:w="16838" w:h="11906" w:orient="landscape"/>
      <w:pgMar w:top="851"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A8BBA" w14:textId="77777777" w:rsidR="00822ABB" w:rsidRDefault="00822ABB" w:rsidP="00E93CA1">
      <w:pPr>
        <w:spacing w:after="0" w:line="240" w:lineRule="auto"/>
      </w:pPr>
      <w:r>
        <w:separator/>
      </w:r>
    </w:p>
  </w:endnote>
  <w:endnote w:type="continuationSeparator" w:id="0">
    <w:p w14:paraId="2BEB2F93" w14:textId="77777777" w:rsidR="00822ABB" w:rsidRDefault="00822ABB" w:rsidP="00E93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850C8" w14:textId="77777777" w:rsidR="00822ABB" w:rsidRDefault="00822ABB" w:rsidP="00E93CA1">
      <w:pPr>
        <w:spacing w:after="0" w:line="240" w:lineRule="auto"/>
      </w:pPr>
      <w:r>
        <w:separator/>
      </w:r>
    </w:p>
  </w:footnote>
  <w:footnote w:type="continuationSeparator" w:id="0">
    <w:p w14:paraId="5425299B" w14:textId="77777777" w:rsidR="00822ABB" w:rsidRDefault="00822ABB" w:rsidP="00E93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0E02"/>
    <w:multiLevelType w:val="multilevel"/>
    <w:tmpl w:val="316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58D6"/>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F75E0"/>
    <w:multiLevelType w:val="multilevel"/>
    <w:tmpl w:val="B9F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03F41"/>
    <w:multiLevelType w:val="hybridMultilevel"/>
    <w:tmpl w:val="02282A4E"/>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F820F80"/>
    <w:multiLevelType w:val="hybridMultilevel"/>
    <w:tmpl w:val="079EB1CC"/>
    <w:lvl w:ilvl="0" w:tplc="23221B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600B17"/>
    <w:multiLevelType w:val="hybridMultilevel"/>
    <w:tmpl w:val="5AFE3D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3AC72ED"/>
    <w:multiLevelType w:val="multilevel"/>
    <w:tmpl w:val="7E3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F61B7"/>
    <w:multiLevelType w:val="hybridMultilevel"/>
    <w:tmpl w:val="07B60E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5C97304"/>
    <w:multiLevelType w:val="multilevel"/>
    <w:tmpl w:val="5E0C5DAC"/>
    <w:styleLink w:val="31"/>
    <w:lvl w:ilvl="0">
      <w:start w:val="1"/>
      <w:numFmt w:val="upperRoman"/>
      <w:lvlText w:val="(%1)"/>
      <w:lvlJc w:val="left"/>
      <w:pPr>
        <w:tabs>
          <w:tab w:val="num" w:pos="295"/>
        </w:tabs>
        <w:ind w:left="2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1">
      <w:start w:val="1"/>
      <w:numFmt w:val="upperRoman"/>
      <w:lvlText w:val="(%2)"/>
      <w:lvlJc w:val="left"/>
      <w:pPr>
        <w:tabs>
          <w:tab w:val="num" w:pos="655"/>
        </w:tabs>
        <w:ind w:left="6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2">
      <w:start w:val="1"/>
      <w:numFmt w:val="upperRoman"/>
      <w:lvlText w:val="(%3)"/>
      <w:lvlJc w:val="left"/>
      <w:pPr>
        <w:tabs>
          <w:tab w:val="num" w:pos="1015"/>
        </w:tabs>
        <w:ind w:left="10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3">
      <w:start w:val="1"/>
      <w:numFmt w:val="upperRoman"/>
      <w:lvlText w:val="(%4)"/>
      <w:lvlJc w:val="left"/>
      <w:pPr>
        <w:tabs>
          <w:tab w:val="num" w:pos="1375"/>
        </w:tabs>
        <w:ind w:left="13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4">
      <w:start w:val="1"/>
      <w:numFmt w:val="upperRoman"/>
      <w:lvlText w:val="(%5)"/>
      <w:lvlJc w:val="left"/>
      <w:pPr>
        <w:tabs>
          <w:tab w:val="num" w:pos="1735"/>
        </w:tabs>
        <w:ind w:left="173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5">
      <w:start w:val="1"/>
      <w:numFmt w:val="upperRoman"/>
      <w:lvlText w:val="(%6)"/>
      <w:lvlJc w:val="left"/>
      <w:pPr>
        <w:tabs>
          <w:tab w:val="num" w:pos="2095"/>
        </w:tabs>
        <w:ind w:left="20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6">
      <w:start w:val="1"/>
      <w:numFmt w:val="upperRoman"/>
      <w:lvlText w:val="(%7)"/>
      <w:lvlJc w:val="left"/>
      <w:pPr>
        <w:tabs>
          <w:tab w:val="num" w:pos="2455"/>
        </w:tabs>
        <w:ind w:left="24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7">
      <w:start w:val="1"/>
      <w:numFmt w:val="upperRoman"/>
      <w:lvlText w:val="(%8)"/>
      <w:lvlJc w:val="left"/>
      <w:pPr>
        <w:tabs>
          <w:tab w:val="num" w:pos="2815"/>
        </w:tabs>
        <w:ind w:left="28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8">
      <w:start w:val="1"/>
      <w:numFmt w:val="upperRoman"/>
      <w:lvlText w:val="(%9)"/>
      <w:lvlJc w:val="left"/>
      <w:pPr>
        <w:tabs>
          <w:tab w:val="num" w:pos="3175"/>
        </w:tabs>
        <w:ind w:left="31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abstractNum>
  <w:abstractNum w:abstractNumId="9" w15:restartNumberingAfterBreak="0">
    <w:nsid w:val="230077AF"/>
    <w:multiLevelType w:val="hybridMultilevel"/>
    <w:tmpl w:val="744A94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80F1432"/>
    <w:multiLevelType w:val="multilevel"/>
    <w:tmpl w:val="E70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C6F2D"/>
    <w:multiLevelType w:val="multilevel"/>
    <w:tmpl w:val="D534A634"/>
    <w:styleLink w:val="21"/>
    <w:lvl w:ilvl="0">
      <w:start w:val="1"/>
      <w:numFmt w:val="upperLetter"/>
      <w:lvlText w:val="(%1)"/>
      <w:lvlJc w:val="left"/>
      <w:pPr>
        <w:tabs>
          <w:tab w:val="num" w:pos="295"/>
        </w:tabs>
        <w:ind w:left="2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1">
      <w:start w:val="1"/>
      <w:numFmt w:val="upperLetter"/>
      <w:lvlText w:val="(%2)"/>
      <w:lvlJc w:val="left"/>
      <w:pPr>
        <w:tabs>
          <w:tab w:val="num" w:pos="655"/>
        </w:tabs>
        <w:ind w:left="6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2">
      <w:start w:val="1"/>
      <w:numFmt w:val="upperLetter"/>
      <w:lvlText w:val="(%3)"/>
      <w:lvlJc w:val="left"/>
      <w:pPr>
        <w:tabs>
          <w:tab w:val="num" w:pos="1015"/>
        </w:tabs>
        <w:ind w:left="10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3">
      <w:start w:val="1"/>
      <w:numFmt w:val="upperLetter"/>
      <w:lvlText w:val="(%4)"/>
      <w:lvlJc w:val="left"/>
      <w:pPr>
        <w:tabs>
          <w:tab w:val="num" w:pos="1375"/>
        </w:tabs>
        <w:ind w:left="13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4">
      <w:start w:val="1"/>
      <w:numFmt w:val="upperLetter"/>
      <w:lvlText w:val="(%5)"/>
      <w:lvlJc w:val="left"/>
      <w:pPr>
        <w:tabs>
          <w:tab w:val="num" w:pos="1735"/>
        </w:tabs>
        <w:ind w:left="173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5">
      <w:start w:val="1"/>
      <w:numFmt w:val="upperLetter"/>
      <w:lvlText w:val="(%6)"/>
      <w:lvlJc w:val="left"/>
      <w:pPr>
        <w:tabs>
          <w:tab w:val="num" w:pos="2095"/>
        </w:tabs>
        <w:ind w:left="20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6">
      <w:start w:val="1"/>
      <w:numFmt w:val="upperLetter"/>
      <w:lvlText w:val="(%7)"/>
      <w:lvlJc w:val="left"/>
      <w:pPr>
        <w:tabs>
          <w:tab w:val="num" w:pos="2455"/>
        </w:tabs>
        <w:ind w:left="24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7">
      <w:start w:val="1"/>
      <w:numFmt w:val="upperLetter"/>
      <w:lvlText w:val="(%8)"/>
      <w:lvlJc w:val="left"/>
      <w:pPr>
        <w:tabs>
          <w:tab w:val="num" w:pos="2815"/>
        </w:tabs>
        <w:ind w:left="28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8">
      <w:start w:val="1"/>
      <w:numFmt w:val="upperLetter"/>
      <w:lvlText w:val="(%9)"/>
      <w:lvlJc w:val="left"/>
      <w:pPr>
        <w:tabs>
          <w:tab w:val="num" w:pos="3175"/>
        </w:tabs>
        <w:ind w:left="31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abstractNum>
  <w:abstractNum w:abstractNumId="12" w15:restartNumberingAfterBreak="0">
    <w:nsid w:val="3BCD61F8"/>
    <w:multiLevelType w:val="multilevel"/>
    <w:tmpl w:val="5FE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3353D"/>
    <w:multiLevelType w:val="hybridMultilevel"/>
    <w:tmpl w:val="66484348"/>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D9354B1"/>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EC4F75"/>
    <w:multiLevelType w:val="multilevel"/>
    <w:tmpl w:val="F2CE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521EAF"/>
    <w:multiLevelType w:val="multilevel"/>
    <w:tmpl w:val="8E2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96027"/>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F46163"/>
    <w:multiLevelType w:val="hybridMultilevel"/>
    <w:tmpl w:val="AAE2507C"/>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99B661D"/>
    <w:multiLevelType w:val="multilevel"/>
    <w:tmpl w:val="F2CE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066BC6"/>
    <w:multiLevelType w:val="multilevel"/>
    <w:tmpl w:val="D676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4611D"/>
    <w:multiLevelType w:val="multilevel"/>
    <w:tmpl w:val="A17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8683E"/>
    <w:multiLevelType w:val="hybridMultilevel"/>
    <w:tmpl w:val="9FB45C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79230E4A"/>
    <w:multiLevelType w:val="multilevel"/>
    <w:tmpl w:val="CD46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241EB"/>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4043718">
    <w:abstractNumId w:val="11"/>
  </w:num>
  <w:num w:numId="2" w16cid:durableId="884872090">
    <w:abstractNumId w:val="8"/>
  </w:num>
  <w:num w:numId="3" w16cid:durableId="2061974170">
    <w:abstractNumId w:val="4"/>
  </w:num>
  <w:num w:numId="4" w16cid:durableId="1254321833">
    <w:abstractNumId w:val="5"/>
  </w:num>
  <w:num w:numId="5" w16cid:durableId="535508977">
    <w:abstractNumId w:val="7"/>
  </w:num>
  <w:num w:numId="6" w16cid:durableId="621032301">
    <w:abstractNumId w:val="9"/>
  </w:num>
  <w:num w:numId="7" w16cid:durableId="2043509330">
    <w:abstractNumId w:val="22"/>
  </w:num>
  <w:num w:numId="8" w16cid:durableId="313879354">
    <w:abstractNumId w:val="3"/>
  </w:num>
  <w:num w:numId="9" w16cid:durableId="1861505975">
    <w:abstractNumId w:val="18"/>
  </w:num>
  <w:num w:numId="10" w16cid:durableId="1828202025">
    <w:abstractNumId w:val="13"/>
  </w:num>
  <w:num w:numId="11" w16cid:durableId="1184393839">
    <w:abstractNumId w:val="20"/>
  </w:num>
  <w:num w:numId="12" w16cid:durableId="1491554215">
    <w:abstractNumId w:val="15"/>
  </w:num>
  <w:num w:numId="13" w16cid:durableId="1697930117">
    <w:abstractNumId w:val="23"/>
  </w:num>
  <w:num w:numId="14" w16cid:durableId="979267954">
    <w:abstractNumId w:val="12"/>
  </w:num>
  <w:num w:numId="15" w16cid:durableId="1806853383">
    <w:abstractNumId w:val="1"/>
  </w:num>
  <w:num w:numId="16" w16cid:durableId="649754930">
    <w:abstractNumId w:val="19"/>
  </w:num>
  <w:num w:numId="17" w16cid:durableId="233514658">
    <w:abstractNumId w:val="24"/>
  </w:num>
  <w:num w:numId="18" w16cid:durableId="126358659">
    <w:abstractNumId w:val="17"/>
  </w:num>
  <w:num w:numId="19" w16cid:durableId="1806042573">
    <w:abstractNumId w:val="6"/>
  </w:num>
  <w:num w:numId="20" w16cid:durableId="1454322824">
    <w:abstractNumId w:val="14"/>
  </w:num>
  <w:num w:numId="21" w16cid:durableId="137117984">
    <w:abstractNumId w:val="0"/>
  </w:num>
  <w:num w:numId="22" w16cid:durableId="1718889132">
    <w:abstractNumId w:val="10"/>
  </w:num>
  <w:num w:numId="23" w16cid:durableId="774907594">
    <w:abstractNumId w:val="21"/>
  </w:num>
  <w:num w:numId="24" w16cid:durableId="2062823990">
    <w:abstractNumId w:val="16"/>
  </w:num>
  <w:num w:numId="25" w16cid:durableId="921790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2D"/>
    <w:rsid w:val="000F6BC4"/>
    <w:rsid w:val="001313D5"/>
    <w:rsid w:val="001D51BE"/>
    <w:rsid w:val="00202454"/>
    <w:rsid w:val="002405E0"/>
    <w:rsid w:val="002A3607"/>
    <w:rsid w:val="002A4D8D"/>
    <w:rsid w:val="00313E10"/>
    <w:rsid w:val="00322066"/>
    <w:rsid w:val="003328FC"/>
    <w:rsid w:val="00347971"/>
    <w:rsid w:val="00394FBE"/>
    <w:rsid w:val="004B232D"/>
    <w:rsid w:val="00550654"/>
    <w:rsid w:val="00575555"/>
    <w:rsid w:val="0061334F"/>
    <w:rsid w:val="00673934"/>
    <w:rsid w:val="006F5C83"/>
    <w:rsid w:val="007D1E07"/>
    <w:rsid w:val="00806BA4"/>
    <w:rsid w:val="00822ABB"/>
    <w:rsid w:val="0083671D"/>
    <w:rsid w:val="008C3F34"/>
    <w:rsid w:val="008F52AE"/>
    <w:rsid w:val="00966A88"/>
    <w:rsid w:val="00980773"/>
    <w:rsid w:val="00992512"/>
    <w:rsid w:val="00A26ED6"/>
    <w:rsid w:val="00A7308B"/>
    <w:rsid w:val="00B71C4F"/>
    <w:rsid w:val="00BB01FB"/>
    <w:rsid w:val="00BF6B1A"/>
    <w:rsid w:val="00C16A1E"/>
    <w:rsid w:val="00C21E52"/>
    <w:rsid w:val="00E424F7"/>
    <w:rsid w:val="00E93CA1"/>
    <w:rsid w:val="00F0030C"/>
    <w:rsid w:val="00F17B89"/>
    <w:rsid w:val="00F41A6C"/>
    <w:rsid w:val="00F4271A"/>
    <w:rsid w:val="00F611DE"/>
    <w:rsid w:val="00F85EBC"/>
    <w:rsid w:val="00FD53C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F438"/>
  <w15:docId w15:val="{C6D622F4-0866-4A3D-9011-8F771026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32D"/>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rsid w:val="004B232D"/>
    <w:pPr>
      <w:pBdr>
        <w:top w:val="nil"/>
        <w:left w:val="nil"/>
        <w:bottom w:val="nil"/>
        <w:right w:val="nil"/>
        <w:between w:val="nil"/>
        <w:bar w:val="nil"/>
      </w:pBdr>
      <w:spacing w:after="0" w:line="240" w:lineRule="auto"/>
    </w:pPr>
    <w:rPr>
      <w:rFonts w:ascii="Times New Roman" w:hAnsi="Times New Roman" w:cs="Times New Roman"/>
      <w:sz w:val="20"/>
      <w:szCs w:val="20"/>
      <w:bdr w:val="nil"/>
      <w:lang w:val="en-US" w:eastAsia="zh-CN"/>
    </w:rPr>
    <w:tblPr>
      <w:tblInd w:w="0" w:type="dxa"/>
      <w:tblCellMar>
        <w:top w:w="0" w:type="dxa"/>
        <w:left w:w="0" w:type="dxa"/>
        <w:bottom w:w="0" w:type="dxa"/>
        <w:right w:w="0" w:type="dxa"/>
      </w:tblCellMar>
    </w:tblPr>
  </w:style>
  <w:style w:type="paragraph" w:customStyle="1" w:styleId="Body">
    <w:name w:val="Body"/>
    <w:rsid w:val="004B232D"/>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eastAsia="zh-CN"/>
    </w:rPr>
  </w:style>
  <w:style w:type="numbering" w:customStyle="1" w:styleId="21">
    <w:name w:val="列表 21"/>
    <w:basedOn w:val="a2"/>
    <w:rsid w:val="004B232D"/>
    <w:pPr>
      <w:numPr>
        <w:numId w:val="1"/>
      </w:numPr>
    </w:pPr>
  </w:style>
  <w:style w:type="numbering" w:customStyle="1" w:styleId="31">
    <w:name w:val="列表 31"/>
    <w:basedOn w:val="a2"/>
    <w:rsid w:val="004B232D"/>
    <w:pPr>
      <w:numPr>
        <w:numId w:val="2"/>
      </w:numPr>
    </w:pPr>
  </w:style>
  <w:style w:type="paragraph" w:styleId="a3">
    <w:name w:val="header"/>
    <w:basedOn w:val="a"/>
    <w:link w:val="a4"/>
    <w:uiPriority w:val="99"/>
    <w:unhideWhenUsed/>
    <w:rsid w:val="00E93CA1"/>
    <w:pPr>
      <w:tabs>
        <w:tab w:val="center" w:pos="4153"/>
        <w:tab w:val="right" w:pos="8306"/>
      </w:tabs>
      <w:snapToGrid w:val="0"/>
    </w:pPr>
    <w:rPr>
      <w:sz w:val="20"/>
      <w:szCs w:val="20"/>
    </w:rPr>
  </w:style>
  <w:style w:type="character" w:customStyle="1" w:styleId="a4">
    <w:name w:val="頁首 字元"/>
    <w:basedOn w:val="a0"/>
    <w:link w:val="a3"/>
    <w:uiPriority w:val="99"/>
    <w:rsid w:val="00E93CA1"/>
    <w:rPr>
      <w:sz w:val="20"/>
      <w:szCs w:val="20"/>
    </w:rPr>
  </w:style>
  <w:style w:type="paragraph" w:styleId="a5">
    <w:name w:val="footer"/>
    <w:basedOn w:val="a"/>
    <w:link w:val="a6"/>
    <w:uiPriority w:val="99"/>
    <w:unhideWhenUsed/>
    <w:rsid w:val="00E93CA1"/>
    <w:pPr>
      <w:tabs>
        <w:tab w:val="center" w:pos="4153"/>
        <w:tab w:val="right" w:pos="8306"/>
      </w:tabs>
      <w:snapToGrid w:val="0"/>
    </w:pPr>
    <w:rPr>
      <w:sz w:val="20"/>
      <w:szCs w:val="20"/>
    </w:rPr>
  </w:style>
  <w:style w:type="character" w:customStyle="1" w:styleId="a6">
    <w:name w:val="頁尾 字元"/>
    <w:basedOn w:val="a0"/>
    <w:link w:val="a5"/>
    <w:uiPriority w:val="99"/>
    <w:rsid w:val="00E93CA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5202">
      <w:bodyDiv w:val="1"/>
      <w:marLeft w:val="0"/>
      <w:marRight w:val="0"/>
      <w:marTop w:val="0"/>
      <w:marBottom w:val="0"/>
      <w:divBdr>
        <w:top w:val="none" w:sz="0" w:space="0" w:color="auto"/>
        <w:left w:val="none" w:sz="0" w:space="0" w:color="auto"/>
        <w:bottom w:val="none" w:sz="0" w:space="0" w:color="auto"/>
        <w:right w:val="none" w:sz="0" w:space="0" w:color="auto"/>
      </w:divBdr>
    </w:div>
    <w:div w:id="87117458">
      <w:bodyDiv w:val="1"/>
      <w:marLeft w:val="0"/>
      <w:marRight w:val="0"/>
      <w:marTop w:val="0"/>
      <w:marBottom w:val="0"/>
      <w:divBdr>
        <w:top w:val="none" w:sz="0" w:space="0" w:color="auto"/>
        <w:left w:val="none" w:sz="0" w:space="0" w:color="auto"/>
        <w:bottom w:val="none" w:sz="0" w:space="0" w:color="auto"/>
        <w:right w:val="none" w:sz="0" w:space="0" w:color="auto"/>
      </w:divBdr>
    </w:div>
    <w:div w:id="98306237">
      <w:bodyDiv w:val="1"/>
      <w:marLeft w:val="0"/>
      <w:marRight w:val="0"/>
      <w:marTop w:val="0"/>
      <w:marBottom w:val="0"/>
      <w:divBdr>
        <w:top w:val="none" w:sz="0" w:space="0" w:color="auto"/>
        <w:left w:val="none" w:sz="0" w:space="0" w:color="auto"/>
        <w:bottom w:val="none" w:sz="0" w:space="0" w:color="auto"/>
        <w:right w:val="none" w:sz="0" w:space="0" w:color="auto"/>
      </w:divBdr>
    </w:div>
    <w:div w:id="229729791">
      <w:bodyDiv w:val="1"/>
      <w:marLeft w:val="0"/>
      <w:marRight w:val="0"/>
      <w:marTop w:val="0"/>
      <w:marBottom w:val="0"/>
      <w:divBdr>
        <w:top w:val="none" w:sz="0" w:space="0" w:color="auto"/>
        <w:left w:val="none" w:sz="0" w:space="0" w:color="auto"/>
        <w:bottom w:val="none" w:sz="0" w:space="0" w:color="auto"/>
        <w:right w:val="none" w:sz="0" w:space="0" w:color="auto"/>
      </w:divBdr>
    </w:div>
    <w:div w:id="261768756">
      <w:bodyDiv w:val="1"/>
      <w:marLeft w:val="0"/>
      <w:marRight w:val="0"/>
      <w:marTop w:val="0"/>
      <w:marBottom w:val="0"/>
      <w:divBdr>
        <w:top w:val="none" w:sz="0" w:space="0" w:color="auto"/>
        <w:left w:val="none" w:sz="0" w:space="0" w:color="auto"/>
        <w:bottom w:val="none" w:sz="0" w:space="0" w:color="auto"/>
        <w:right w:val="none" w:sz="0" w:space="0" w:color="auto"/>
      </w:divBdr>
    </w:div>
    <w:div w:id="470708214">
      <w:bodyDiv w:val="1"/>
      <w:marLeft w:val="0"/>
      <w:marRight w:val="0"/>
      <w:marTop w:val="0"/>
      <w:marBottom w:val="0"/>
      <w:divBdr>
        <w:top w:val="none" w:sz="0" w:space="0" w:color="auto"/>
        <w:left w:val="none" w:sz="0" w:space="0" w:color="auto"/>
        <w:bottom w:val="none" w:sz="0" w:space="0" w:color="auto"/>
        <w:right w:val="none" w:sz="0" w:space="0" w:color="auto"/>
      </w:divBdr>
    </w:div>
    <w:div w:id="478421558">
      <w:bodyDiv w:val="1"/>
      <w:marLeft w:val="0"/>
      <w:marRight w:val="0"/>
      <w:marTop w:val="0"/>
      <w:marBottom w:val="0"/>
      <w:divBdr>
        <w:top w:val="none" w:sz="0" w:space="0" w:color="auto"/>
        <w:left w:val="none" w:sz="0" w:space="0" w:color="auto"/>
        <w:bottom w:val="none" w:sz="0" w:space="0" w:color="auto"/>
        <w:right w:val="none" w:sz="0" w:space="0" w:color="auto"/>
      </w:divBdr>
    </w:div>
    <w:div w:id="730227455">
      <w:bodyDiv w:val="1"/>
      <w:marLeft w:val="0"/>
      <w:marRight w:val="0"/>
      <w:marTop w:val="0"/>
      <w:marBottom w:val="0"/>
      <w:divBdr>
        <w:top w:val="none" w:sz="0" w:space="0" w:color="auto"/>
        <w:left w:val="none" w:sz="0" w:space="0" w:color="auto"/>
        <w:bottom w:val="none" w:sz="0" w:space="0" w:color="auto"/>
        <w:right w:val="none" w:sz="0" w:space="0" w:color="auto"/>
      </w:divBdr>
    </w:div>
    <w:div w:id="756514147">
      <w:bodyDiv w:val="1"/>
      <w:marLeft w:val="0"/>
      <w:marRight w:val="0"/>
      <w:marTop w:val="0"/>
      <w:marBottom w:val="0"/>
      <w:divBdr>
        <w:top w:val="none" w:sz="0" w:space="0" w:color="auto"/>
        <w:left w:val="none" w:sz="0" w:space="0" w:color="auto"/>
        <w:bottom w:val="none" w:sz="0" w:space="0" w:color="auto"/>
        <w:right w:val="none" w:sz="0" w:space="0" w:color="auto"/>
      </w:divBdr>
    </w:div>
    <w:div w:id="1131754573">
      <w:bodyDiv w:val="1"/>
      <w:marLeft w:val="0"/>
      <w:marRight w:val="0"/>
      <w:marTop w:val="0"/>
      <w:marBottom w:val="0"/>
      <w:divBdr>
        <w:top w:val="none" w:sz="0" w:space="0" w:color="auto"/>
        <w:left w:val="none" w:sz="0" w:space="0" w:color="auto"/>
        <w:bottom w:val="none" w:sz="0" w:space="0" w:color="auto"/>
        <w:right w:val="none" w:sz="0" w:space="0" w:color="auto"/>
      </w:divBdr>
    </w:div>
    <w:div w:id="1156453037">
      <w:bodyDiv w:val="1"/>
      <w:marLeft w:val="0"/>
      <w:marRight w:val="0"/>
      <w:marTop w:val="0"/>
      <w:marBottom w:val="0"/>
      <w:divBdr>
        <w:top w:val="none" w:sz="0" w:space="0" w:color="auto"/>
        <w:left w:val="none" w:sz="0" w:space="0" w:color="auto"/>
        <w:bottom w:val="none" w:sz="0" w:space="0" w:color="auto"/>
        <w:right w:val="none" w:sz="0" w:space="0" w:color="auto"/>
      </w:divBdr>
    </w:div>
    <w:div w:id="1205681751">
      <w:bodyDiv w:val="1"/>
      <w:marLeft w:val="0"/>
      <w:marRight w:val="0"/>
      <w:marTop w:val="0"/>
      <w:marBottom w:val="0"/>
      <w:divBdr>
        <w:top w:val="none" w:sz="0" w:space="0" w:color="auto"/>
        <w:left w:val="none" w:sz="0" w:space="0" w:color="auto"/>
        <w:bottom w:val="none" w:sz="0" w:space="0" w:color="auto"/>
        <w:right w:val="none" w:sz="0" w:space="0" w:color="auto"/>
      </w:divBdr>
    </w:div>
    <w:div w:id="1356611749">
      <w:bodyDiv w:val="1"/>
      <w:marLeft w:val="0"/>
      <w:marRight w:val="0"/>
      <w:marTop w:val="0"/>
      <w:marBottom w:val="0"/>
      <w:divBdr>
        <w:top w:val="none" w:sz="0" w:space="0" w:color="auto"/>
        <w:left w:val="none" w:sz="0" w:space="0" w:color="auto"/>
        <w:bottom w:val="none" w:sz="0" w:space="0" w:color="auto"/>
        <w:right w:val="none" w:sz="0" w:space="0" w:color="auto"/>
      </w:divBdr>
    </w:div>
    <w:div w:id="1466660386">
      <w:bodyDiv w:val="1"/>
      <w:marLeft w:val="0"/>
      <w:marRight w:val="0"/>
      <w:marTop w:val="0"/>
      <w:marBottom w:val="0"/>
      <w:divBdr>
        <w:top w:val="none" w:sz="0" w:space="0" w:color="auto"/>
        <w:left w:val="none" w:sz="0" w:space="0" w:color="auto"/>
        <w:bottom w:val="none" w:sz="0" w:space="0" w:color="auto"/>
        <w:right w:val="none" w:sz="0" w:space="0" w:color="auto"/>
      </w:divBdr>
    </w:div>
    <w:div w:id="1561405151">
      <w:bodyDiv w:val="1"/>
      <w:marLeft w:val="0"/>
      <w:marRight w:val="0"/>
      <w:marTop w:val="0"/>
      <w:marBottom w:val="0"/>
      <w:divBdr>
        <w:top w:val="none" w:sz="0" w:space="0" w:color="auto"/>
        <w:left w:val="none" w:sz="0" w:space="0" w:color="auto"/>
        <w:bottom w:val="none" w:sz="0" w:space="0" w:color="auto"/>
        <w:right w:val="none" w:sz="0" w:space="0" w:color="auto"/>
      </w:divBdr>
    </w:div>
    <w:div w:id="1777554751">
      <w:bodyDiv w:val="1"/>
      <w:marLeft w:val="0"/>
      <w:marRight w:val="0"/>
      <w:marTop w:val="0"/>
      <w:marBottom w:val="0"/>
      <w:divBdr>
        <w:top w:val="none" w:sz="0" w:space="0" w:color="auto"/>
        <w:left w:val="none" w:sz="0" w:space="0" w:color="auto"/>
        <w:bottom w:val="none" w:sz="0" w:space="0" w:color="auto"/>
        <w:right w:val="none" w:sz="0" w:space="0" w:color="auto"/>
      </w:divBdr>
    </w:div>
    <w:div w:id="1877546149">
      <w:bodyDiv w:val="1"/>
      <w:marLeft w:val="0"/>
      <w:marRight w:val="0"/>
      <w:marTop w:val="0"/>
      <w:marBottom w:val="0"/>
      <w:divBdr>
        <w:top w:val="none" w:sz="0" w:space="0" w:color="auto"/>
        <w:left w:val="none" w:sz="0" w:space="0" w:color="auto"/>
        <w:bottom w:val="none" w:sz="0" w:space="0" w:color="auto"/>
        <w:right w:val="none" w:sz="0" w:space="0" w:color="auto"/>
      </w:divBdr>
    </w:div>
    <w:div w:id="2015642764">
      <w:bodyDiv w:val="1"/>
      <w:marLeft w:val="0"/>
      <w:marRight w:val="0"/>
      <w:marTop w:val="0"/>
      <w:marBottom w:val="0"/>
      <w:divBdr>
        <w:top w:val="none" w:sz="0" w:space="0" w:color="auto"/>
        <w:left w:val="none" w:sz="0" w:space="0" w:color="auto"/>
        <w:bottom w:val="none" w:sz="0" w:space="0" w:color="auto"/>
        <w:right w:val="none" w:sz="0" w:space="0" w:color="auto"/>
      </w:divBdr>
    </w:div>
    <w:div w:id="211165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3617</Words>
  <Characters>20622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Faff</dc:creator>
  <cp:lastModifiedBy>李伯修</cp:lastModifiedBy>
  <cp:revision>28</cp:revision>
  <dcterms:created xsi:type="dcterms:W3CDTF">2026-07-06T07:19:00Z</dcterms:created>
  <dcterms:modified xsi:type="dcterms:W3CDTF">2026-07-07T07:48:00Z</dcterms:modified>
</cp:coreProperties>
</file>