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0FA6F" w14:textId="0CF9B37E" w:rsidR="001F31A0" w:rsidRDefault="001F31A0">
      <w:pPr>
        <w:spacing w:after="240" w:line="360" w:lineRule="auto"/>
        <w:rPr>
          <w:rFonts w:ascii="Times New Roman" w:hAnsi="Times New Roman"/>
        </w:rPr>
      </w:pPr>
      <w:r>
        <w:rPr>
          <w:rFonts w:ascii="Times New Roman" w:hAnsi="Times New Roman"/>
        </w:rPr>
        <w:t>Methods</w:t>
      </w:r>
    </w:p>
    <w:p w14:paraId="6E37FFB7" w14:textId="3203E04F" w:rsidR="00751D47" w:rsidRDefault="00000000">
      <w:pPr>
        <w:spacing w:after="240" w:line="360" w:lineRule="auto"/>
      </w:pPr>
      <w:r>
        <w:rPr>
          <w:rFonts w:ascii="Times New Roman" w:hAnsi="Times New Roman"/>
        </w:rPr>
        <w:t>Transposable element expression was quantified from single-cell RNA-seq data using TEtranscripts v2.2.3. Aligned BAM files from STAR were used as input along with the Gencode mouse gene annotation GTF (GRCm38) and RepeatMasker TE annotation GTF (GRCm38_GENCODE_rmsk_TE.gtf). TEtranscripts was run in multi-mapping mode (--mode multi) with reverse strand specificity (--stranded reverse) and a minimum read count threshold of 1 (--minread 1) to quantify both gene and TE expression simultaneously. The tool uses an expectation-maximization (EM) algorithm to probabilistically assign multi-mapping reads to TEs while accounting for ambiguous alignments.</w:t>
      </w:r>
    </w:p>
    <w:p w14:paraId="7559F7DA" w14:textId="77777777" w:rsidR="00751D47" w:rsidRDefault="00000000">
      <w:pPr>
        <w:spacing w:after="240" w:line="360" w:lineRule="auto"/>
      </w:pPr>
      <w:r>
        <w:rPr>
          <w:rFonts w:ascii="Times New Roman" w:hAnsi="Times New Roman"/>
        </w:rPr>
        <w:t>For pseudobulk analysis, samples were grouped by treatment condition based on BAM filename suffixes (.T for antibiotic-treated, .C for control), resulting in three biological replicates per condition. Differential TE expression analysis was performed using DESeq2 v1.48.1 with the design formula ~Type. TEs were considered significantly differentially expressed at an adjusted p-value (Benjamini-Hochberg) threshold of &lt; 0.05. Significant TEs were parsed from their RepeatMasker format (Name:Family:Class) and categorized into major TE classes including ERVK, ERV1, ERVL, ERVB, LINE, SINE, DNA transposons, and other LTR elements.</w:t>
      </w:r>
    </w:p>
    <w:p w14:paraId="17866773" w14:textId="77777777" w:rsidR="00751D47" w:rsidRDefault="00000000">
      <w:pPr>
        <w:spacing w:after="240" w:line="360" w:lineRule="auto"/>
      </w:pPr>
      <w:r>
        <w:rPr>
          <w:rFonts w:ascii="Times New Roman" w:hAnsi="Times New Roman"/>
        </w:rPr>
        <w:t>For visualization of significant TEs (Figure 4A), DESeq2-normalized counts were log2-transformed with a pseudocount of 1, and Z-score normalization was applied across samples. TEs were ordered by log2 fold change (most downregulated to most upregulated), and samples were grouped by condition without hierarchical clustering to preserve biological group structure. Heatmaps were generated using the pheatmap R package with a diverging red-blue color scale (RdBu palette).</w:t>
      </w:r>
    </w:p>
    <w:p w14:paraId="1A3B66FE" w14:textId="77777777" w:rsidR="00751D47" w:rsidRDefault="00000000">
      <w:pPr>
        <w:spacing w:after="240" w:line="360" w:lineRule="auto"/>
      </w:pPr>
      <w:r>
        <w:rPr>
          <w:rFonts w:ascii="Times New Roman" w:hAnsi="Times New Roman"/>
        </w:rPr>
        <w:t>To investigate potential regulatory functions of differentially expressed TEs, genomic coordinates of significant TEs were analyzed using the Genomic Regions Enrichment of Annotations Tool (GREAT) to identify enriched Gene Ontology (GO) terms in nearby genes. Upregulated and downregulated TEs were analyzed separately, and the top 10 enriched terms from each GO category (Biological Process, Molecular Function, Cellular Component) were visualized as bar plots showing -log10(adjusted p-value) (Figure 4H).</w:t>
      </w:r>
    </w:p>
    <w:p w14:paraId="73EAEB4C" w14:textId="77777777" w:rsidR="00751D47" w:rsidRDefault="00000000">
      <w:pPr>
        <w:spacing w:after="240" w:line="360" w:lineRule="auto"/>
      </w:pPr>
      <w:r>
        <w:rPr>
          <w:rFonts w:ascii="Times New Roman" w:hAnsi="Times New Roman"/>
        </w:rPr>
        <w:t xml:space="preserve">TE category distributions across treatment groups were compared by calculating mean normalized expression per TE in each condition and defining detected TEs as those with mean normalized counts &gt; 10. The number of detected TEs in each category (ERVK, ERV1, ERVL, </w:t>
      </w:r>
      <w:r>
        <w:rPr>
          <w:rFonts w:ascii="Times New Roman" w:hAnsi="Times New Roman"/>
        </w:rPr>
        <w:lastRenderedPageBreak/>
        <w:t>ERVB, LTR, LINE, SINE, DNA transposon, Other) was counted separately for control and antibiotic-treated samples and visualized as grouped bar charts (Supplemental Figure 4).</w:t>
      </w:r>
    </w:p>
    <w:sectPr w:rsidR="00751D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195407">
    <w:abstractNumId w:val="8"/>
  </w:num>
  <w:num w:numId="2" w16cid:durableId="1978295871">
    <w:abstractNumId w:val="6"/>
  </w:num>
  <w:num w:numId="3" w16cid:durableId="1942225034">
    <w:abstractNumId w:val="5"/>
  </w:num>
  <w:num w:numId="4" w16cid:durableId="157549146">
    <w:abstractNumId w:val="4"/>
  </w:num>
  <w:num w:numId="5" w16cid:durableId="495533593">
    <w:abstractNumId w:val="7"/>
  </w:num>
  <w:num w:numId="6" w16cid:durableId="2110539631">
    <w:abstractNumId w:val="3"/>
  </w:num>
  <w:num w:numId="7" w16cid:durableId="1816533279">
    <w:abstractNumId w:val="2"/>
  </w:num>
  <w:num w:numId="8" w16cid:durableId="904412981">
    <w:abstractNumId w:val="1"/>
  </w:num>
  <w:num w:numId="9" w16cid:durableId="674652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BD1"/>
    <w:rsid w:val="001F31A0"/>
    <w:rsid w:val="0029639D"/>
    <w:rsid w:val="00326F90"/>
    <w:rsid w:val="00751D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3172B"/>
  <w14:defaultImageDpi w14:val="300"/>
  <w15:docId w15:val="{813A2394-6BE0-3D46-A93E-E0705E5EE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 Leran</cp:lastModifiedBy>
  <cp:revision>2</cp:revision>
  <dcterms:created xsi:type="dcterms:W3CDTF">2013-12-23T23:15:00Z</dcterms:created>
  <dcterms:modified xsi:type="dcterms:W3CDTF">2026-03-24T18:16:00Z</dcterms:modified>
  <cp:category/>
</cp:coreProperties>
</file>